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9A093">
      <w:pPr>
        <w:pStyle w:val="21"/>
        <w:bidi w:val="0"/>
        <w:jc w:val="center"/>
        <w:rPr>
          <w:rFonts w:ascii="Times New Roman" w:hAnsi="Times New Roman"/>
          <w:b/>
          <w:bCs/>
          <w:color w:val="auto"/>
          <w:sz w:val="32"/>
          <w:szCs w:val="36"/>
        </w:rPr>
      </w:pPr>
      <w:r>
        <w:rPr>
          <w:rFonts w:hint="eastAsia" w:ascii="Times New Roman" w:hAnsi="Times New Roman"/>
          <w:b/>
          <w:bCs/>
          <w:color w:val="auto"/>
          <w:sz w:val="32"/>
          <w:szCs w:val="36"/>
        </w:rPr>
        <w:t>目录</w:t>
      </w:r>
    </w:p>
    <w:p w14:paraId="3B0E750F">
      <w:pPr>
        <w:pStyle w:val="25"/>
        <w:tabs>
          <w:tab w:val="right" w:leader="dot" w:pos="8844"/>
        </w:tabs>
        <w:rPr>
          <w:rFonts w:ascii="Times New Roman" w:hAnsi="Times New Roman"/>
          <w:color w:val="auto"/>
        </w:rPr>
      </w:pPr>
    </w:p>
    <w:p w14:paraId="4077E281">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color w:val="auto"/>
          <w:sz w:val="24"/>
        </w:rPr>
        <w:fldChar w:fldCharType="begin"/>
      </w:r>
      <w:r>
        <w:rPr>
          <w:rFonts w:hint="eastAsia" w:ascii="Times New Roman" w:hAnsi="Times New Roman"/>
          <w:color w:val="auto"/>
          <w:sz w:val="24"/>
        </w:rPr>
        <w:instrText xml:space="preserve">TOC\*MERGEFORMAT</w:instrText>
      </w:r>
      <w:r>
        <w:rPr>
          <w:rFonts w:hint="eastAsia" w:ascii="Times New Roman" w:hAnsi="Times New Roman"/>
          <w:color w:val="auto"/>
          <w:sz w:val="24"/>
        </w:rPr>
        <w:fldChar w:fldCharType="separate"/>
      </w:r>
      <w:r>
        <w:rPr>
          <w:rFonts w:hint="eastAsia" w:ascii="Times New Roman" w:hAnsi="Times New Roman" w:eastAsia="宋体" w:cs="宋体"/>
          <w:color w:val="auto"/>
          <w:sz w:val="24"/>
          <w:szCs w:val="24"/>
        </w:rPr>
        <w:t>一、建设项目基本情况</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_Toc4036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1</w:t>
      </w:r>
      <w:r>
        <w:rPr>
          <w:rFonts w:hint="eastAsia" w:ascii="Times New Roman" w:hAnsi="Times New Roman" w:eastAsia="宋体" w:cs="宋体"/>
          <w:color w:val="auto"/>
          <w:sz w:val="24"/>
          <w:szCs w:val="24"/>
        </w:rPr>
        <w:fldChar w:fldCharType="end"/>
      </w:r>
    </w:p>
    <w:p w14:paraId="6D223E7D">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二、建设项目工程分析</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_Toc17615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21</w:t>
      </w:r>
      <w:r>
        <w:rPr>
          <w:rFonts w:hint="eastAsia" w:ascii="Times New Roman" w:hAnsi="Times New Roman" w:eastAsia="宋体" w:cs="宋体"/>
          <w:color w:val="auto"/>
          <w:sz w:val="24"/>
          <w:szCs w:val="24"/>
        </w:rPr>
        <w:fldChar w:fldCharType="end"/>
      </w:r>
    </w:p>
    <w:p w14:paraId="015BF4FD">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三、区域环境质量现状、环境保护目标及评价标准</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_Toc5497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35</w:t>
      </w:r>
      <w:r>
        <w:rPr>
          <w:rFonts w:hint="eastAsia" w:ascii="Times New Roman" w:hAnsi="Times New Roman" w:eastAsia="宋体" w:cs="宋体"/>
          <w:color w:val="auto"/>
          <w:sz w:val="24"/>
          <w:szCs w:val="24"/>
        </w:rPr>
        <w:fldChar w:fldCharType="end"/>
      </w:r>
    </w:p>
    <w:p w14:paraId="1BBCBF96">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四、主要环境影响和保护措施</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_Toc31115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43</w:t>
      </w:r>
      <w:r>
        <w:rPr>
          <w:rFonts w:hint="eastAsia" w:ascii="Times New Roman" w:hAnsi="Times New Roman" w:eastAsia="宋体" w:cs="宋体"/>
          <w:color w:val="auto"/>
          <w:sz w:val="24"/>
          <w:szCs w:val="24"/>
        </w:rPr>
        <w:fldChar w:fldCharType="end"/>
      </w:r>
    </w:p>
    <w:p w14:paraId="17A28FD0">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五、环境保护措施监督检查清单</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_Toc6868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69</w:t>
      </w:r>
      <w:r>
        <w:rPr>
          <w:rFonts w:hint="eastAsia" w:ascii="Times New Roman" w:hAnsi="Times New Roman" w:eastAsia="宋体" w:cs="宋体"/>
          <w:color w:val="auto"/>
          <w:sz w:val="24"/>
          <w:szCs w:val="24"/>
        </w:rPr>
        <w:fldChar w:fldCharType="end"/>
      </w:r>
    </w:p>
    <w:p w14:paraId="6922CC3A">
      <w:pPr>
        <w:pStyle w:val="25"/>
        <w:tabs>
          <w:tab w:val="right" w:leader="dot" w:pos="8306"/>
        </w:tabs>
        <w:spacing w:line="360" w:lineRule="auto"/>
        <w:rPr>
          <w:rFonts w:hint="eastAsia" w:ascii="Times New Roman" w:hAnsi="Times New Roman" w:eastAsia="宋体" w:cs="宋体"/>
          <w:color w:val="auto"/>
          <w:sz w:val="24"/>
          <w:szCs w:val="24"/>
        </w:rPr>
      </w:pPr>
      <w:r>
        <w:rPr>
          <w:rFonts w:hint="eastAsia" w:ascii="Times New Roman" w:hAnsi="Times New Roman" w:eastAsia="宋体" w:cs="宋体"/>
          <w:bCs/>
          <w:color w:val="auto"/>
          <w:sz w:val="24"/>
          <w:szCs w:val="24"/>
          <w:lang w:val="en-US" w:eastAsia="zh-CN"/>
        </w:rPr>
        <w:t>六、结论</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_Toc8042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72</w:t>
      </w:r>
      <w:r>
        <w:rPr>
          <w:rFonts w:hint="eastAsia" w:ascii="Times New Roman" w:hAnsi="Times New Roman" w:eastAsia="宋体" w:cs="宋体"/>
          <w:color w:val="auto"/>
          <w:sz w:val="24"/>
          <w:szCs w:val="24"/>
        </w:rPr>
        <w:fldChar w:fldCharType="end"/>
      </w:r>
    </w:p>
    <w:p w14:paraId="36D376D8">
      <w:pPr>
        <w:pStyle w:val="25"/>
        <w:tabs>
          <w:tab w:val="right" w:leader="dot" w:pos="8306"/>
        </w:tabs>
        <w:spacing w:line="360" w:lineRule="auto"/>
        <w:rPr>
          <w:rFonts w:ascii="Times New Roman" w:hAnsi="Times New Roman"/>
          <w:color w:val="auto"/>
        </w:rPr>
      </w:pPr>
      <w:r>
        <w:rPr>
          <w:rFonts w:hint="eastAsia" w:ascii="Times New Roman" w:hAnsi="Times New Roman" w:eastAsia="宋体" w:cs="宋体"/>
          <w:color w:val="auto"/>
          <w:sz w:val="24"/>
          <w:szCs w:val="24"/>
        </w:rPr>
        <w:t>附</w:t>
      </w:r>
      <w:r>
        <w:rPr>
          <w:rFonts w:hint="eastAsia" w:ascii="Times New Roman" w:hAnsi="Times New Roman" w:eastAsia="宋体" w:cs="宋体"/>
          <w:color w:val="auto"/>
          <w:sz w:val="24"/>
          <w:szCs w:val="24"/>
          <w:lang w:val="en-US" w:eastAsia="zh-CN"/>
        </w:rPr>
        <w:t>表1：</w:t>
      </w:r>
      <w:r>
        <w:rPr>
          <w:rFonts w:hint="eastAsia" w:ascii="Times New Roman" w:hAnsi="Times New Roman" w:eastAsia="宋体" w:cs="宋体"/>
          <w:color w:val="auto"/>
          <w:sz w:val="24"/>
          <w:szCs w:val="24"/>
        </w:rPr>
        <w:t>建设项目污染物排放量汇总表</w:t>
      </w:r>
      <w:r>
        <w:rPr>
          <w:rFonts w:hint="eastAsia" w:ascii="Times New Roman" w:hAnsi="Times New Roman" w:eastAsia="宋体" w:cs="宋体"/>
          <w:color w:val="auto"/>
          <w:sz w:val="24"/>
          <w:szCs w:val="24"/>
        </w:rPr>
        <w:tab/>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PAGEREF _Toc9606 \h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73</w:t>
      </w:r>
      <w:r>
        <w:rPr>
          <w:rFonts w:hint="eastAsia" w:ascii="Times New Roman" w:hAnsi="Times New Roman" w:eastAsia="宋体" w:cs="宋体"/>
          <w:color w:val="auto"/>
          <w:sz w:val="24"/>
          <w:szCs w:val="24"/>
        </w:rPr>
        <w:fldChar w:fldCharType="end"/>
      </w:r>
    </w:p>
    <w:p w14:paraId="6B89EC6A">
      <w:pPr>
        <w:pStyle w:val="25"/>
        <w:tabs>
          <w:tab w:val="right" w:leader="dot" w:pos="8844"/>
        </w:tabs>
        <w:spacing w:line="360" w:lineRule="auto"/>
        <w:rPr>
          <w:rFonts w:hint="default" w:ascii="Times New Roman" w:hAnsi="Times New Roman" w:eastAsia="宋体"/>
          <w:color w:val="auto"/>
          <w:sz w:val="24"/>
          <w:lang w:val="en-US" w:eastAsia="zh-CN"/>
        </w:rPr>
      </w:pPr>
      <w:r>
        <w:rPr>
          <w:rFonts w:hint="eastAsia" w:ascii="Times New Roman" w:hAnsi="Times New Roman"/>
          <w:color w:val="auto"/>
        </w:rPr>
        <w:fldChar w:fldCharType="end"/>
      </w:r>
      <w:bookmarkStart w:id="0" w:name="_Toc32246"/>
    </w:p>
    <w:p w14:paraId="0B04A0F2">
      <w:pPr>
        <w:pStyle w:val="17"/>
        <w:spacing w:before="120" w:line="240" w:lineRule="auto"/>
        <w:ind w:firstLine="0" w:firstLineChars="0"/>
        <w:rPr>
          <w:rFonts w:ascii="Times New Roman" w:hAnsi="Times New Roman" w:eastAsia="宋体"/>
          <w:b/>
          <w:bCs w:val="0"/>
          <w:color w:val="auto"/>
          <w:szCs w:val="24"/>
        </w:rPr>
      </w:pPr>
      <w:r>
        <w:rPr>
          <w:rFonts w:hint="eastAsia" w:ascii="Times New Roman" w:hAnsi="Times New Roman" w:eastAsia="宋体"/>
          <w:b/>
          <w:bCs w:val="0"/>
          <w:color w:val="auto"/>
          <w:szCs w:val="24"/>
        </w:rPr>
        <w:t>附件：</w:t>
      </w:r>
    </w:p>
    <w:p w14:paraId="7F129771">
      <w:pPr>
        <w:pStyle w:val="17"/>
        <w:tabs>
          <w:tab w:val="left" w:pos="3237"/>
        </w:tabs>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附件1</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委托书</w:t>
      </w:r>
      <w:r>
        <w:rPr>
          <w:rFonts w:hint="eastAsia" w:ascii="Times New Roman" w:hAnsi="Times New Roman" w:eastAsia="宋体"/>
          <w:color w:val="auto"/>
          <w:szCs w:val="24"/>
          <w:lang w:eastAsia="zh-CN"/>
        </w:rPr>
        <w:tab/>
      </w:r>
      <w:r>
        <w:rPr>
          <w:rFonts w:hint="eastAsia" w:ascii="Times New Roman" w:hAnsi="Times New Roman" w:eastAsia="宋体"/>
          <w:color w:val="auto"/>
          <w:szCs w:val="24"/>
          <w:lang w:val="en-US" w:eastAsia="zh-CN"/>
        </w:rPr>
        <w:t xml:space="preserve"> </w:t>
      </w:r>
    </w:p>
    <w:p w14:paraId="57EC10E2">
      <w:pPr>
        <w:pStyle w:val="17"/>
        <w:tabs>
          <w:tab w:val="center" w:pos="4153"/>
        </w:tabs>
        <w:spacing w:before="120" w:line="240" w:lineRule="auto"/>
        <w:ind w:firstLine="0" w:firstLineChars="0"/>
        <w:rPr>
          <w:rFonts w:hint="eastAsia" w:ascii="Times New Roman" w:hAnsi="Times New Roman" w:eastAsia="宋体"/>
          <w:color w:val="auto"/>
          <w:szCs w:val="24"/>
          <w:lang w:eastAsia="zh-CN"/>
        </w:rPr>
      </w:pPr>
      <w:r>
        <w:rPr>
          <w:rFonts w:hint="eastAsia" w:ascii="Times New Roman" w:hAnsi="Times New Roman" w:eastAsia="宋体"/>
          <w:color w:val="auto"/>
          <w:szCs w:val="24"/>
        </w:rPr>
        <w:t>附件2</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项目投资</w:t>
      </w:r>
      <w:r>
        <w:rPr>
          <w:rFonts w:hint="eastAsia" w:ascii="Times New Roman" w:hAnsi="Times New Roman" w:eastAsia="宋体"/>
          <w:color w:val="auto"/>
          <w:szCs w:val="24"/>
        </w:rPr>
        <w:t>备案</w:t>
      </w:r>
      <w:r>
        <w:rPr>
          <w:rFonts w:hint="eastAsia" w:ascii="Times New Roman" w:hAnsi="Times New Roman" w:eastAsia="宋体"/>
          <w:color w:val="auto"/>
          <w:szCs w:val="24"/>
          <w:lang w:eastAsia="zh-CN"/>
        </w:rPr>
        <w:tab/>
      </w:r>
    </w:p>
    <w:p w14:paraId="48F09BF7">
      <w:pPr>
        <w:pStyle w:val="17"/>
        <w:spacing w:before="120" w:line="240" w:lineRule="auto"/>
        <w:ind w:firstLine="0" w:firstLineChars="0"/>
        <w:rPr>
          <w:rFonts w:hint="eastAsia" w:ascii="Times New Roman" w:hAnsi="Times New Roman" w:eastAsia="宋体"/>
          <w:color w:val="auto"/>
          <w:szCs w:val="24"/>
        </w:rPr>
      </w:pPr>
      <w:r>
        <w:rPr>
          <w:rFonts w:hint="eastAsia" w:ascii="Times New Roman" w:hAnsi="Times New Roman" w:eastAsia="宋体"/>
          <w:color w:val="auto"/>
          <w:szCs w:val="24"/>
        </w:rPr>
        <w:t>附件3</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营业执照</w:t>
      </w:r>
    </w:p>
    <w:p w14:paraId="5CB19213">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附件4</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厂房租赁协议</w:t>
      </w:r>
    </w:p>
    <w:p w14:paraId="0D387093">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附件5</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项目三区三线查询结果</w:t>
      </w:r>
    </w:p>
    <w:p w14:paraId="4C27D978">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附件6：项目三线一单查询结果</w:t>
      </w:r>
    </w:p>
    <w:p w14:paraId="628089F3">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附件7：污水排水接管证明</w:t>
      </w:r>
    </w:p>
    <w:p w14:paraId="37FC31E1">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附件8：生物质燃料检测报告</w:t>
      </w:r>
    </w:p>
    <w:p w14:paraId="4D6E8E19">
      <w:pPr>
        <w:pStyle w:val="17"/>
        <w:spacing w:before="120" w:line="240" w:lineRule="auto"/>
        <w:ind w:firstLine="0" w:firstLineChars="0"/>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附件9：环境质量现状检测报告</w:t>
      </w:r>
    </w:p>
    <w:p w14:paraId="03FC8730">
      <w:pPr>
        <w:pStyle w:val="17"/>
        <w:spacing w:before="120" w:line="240" w:lineRule="auto"/>
        <w:ind w:firstLine="0" w:firstLineChars="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附件10：技术咨询服务合同</w:t>
      </w:r>
    </w:p>
    <w:p w14:paraId="3DD955DA">
      <w:pPr>
        <w:pStyle w:val="17"/>
        <w:spacing w:before="120" w:line="240" w:lineRule="auto"/>
        <w:ind w:firstLine="0" w:firstLineChars="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附件11：全本信息公开</w:t>
      </w:r>
    </w:p>
    <w:p w14:paraId="590E4A7B">
      <w:pPr>
        <w:pStyle w:val="17"/>
        <w:spacing w:before="120" w:line="240" w:lineRule="auto"/>
        <w:ind w:firstLine="0" w:firstLineChars="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附件12：项目流程控制表</w:t>
      </w:r>
    </w:p>
    <w:p w14:paraId="2BF82356">
      <w:pPr>
        <w:pStyle w:val="17"/>
        <w:spacing w:before="120" w:line="240" w:lineRule="auto"/>
        <w:ind w:firstLine="0" w:firstLineChars="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附件13：审核表</w:t>
      </w:r>
    </w:p>
    <w:p w14:paraId="7B995285">
      <w:pPr>
        <w:pStyle w:val="17"/>
        <w:spacing w:before="120" w:line="240" w:lineRule="auto"/>
        <w:ind w:firstLine="0" w:firstLineChars="0"/>
        <w:rPr>
          <w:rFonts w:hint="default" w:ascii="Times New Roman" w:hAnsi="Times New Roman" w:eastAsia="宋体"/>
          <w:b/>
          <w:bCs w:val="0"/>
          <w:color w:val="auto"/>
          <w:szCs w:val="24"/>
          <w:lang w:val="en-US" w:eastAsia="zh-CN"/>
        </w:rPr>
      </w:pPr>
    </w:p>
    <w:p w14:paraId="4220004A">
      <w:pPr>
        <w:pStyle w:val="17"/>
        <w:spacing w:before="120" w:line="240" w:lineRule="auto"/>
        <w:ind w:firstLine="0" w:firstLineChars="0"/>
        <w:rPr>
          <w:rFonts w:ascii="Times New Roman" w:hAnsi="Times New Roman" w:eastAsia="宋体"/>
          <w:b/>
          <w:bCs w:val="0"/>
          <w:color w:val="auto"/>
          <w:szCs w:val="24"/>
        </w:rPr>
      </w:pPr>
      <w:r>
        <w:rPr>
          <w:rFonts w:hint="eastAsia" w:ascii="Times New Roman" w:hAnsi="Times New Roman" w:eastAsia="宋体"/>
          <w:b/>
          <w:bCs w:val="0"/>
          <w:color w:val="auto"/>
          <w:szCs w:val="24"/>
        </w:rPr>
        <w:t>附图：</w:t>
      </w:r>
    </w:p>
    <w:p w14:paraId="4B9D4EE9">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附图1</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项目地理位置图</w:t>
      </w:r>
    </w:p>
    <w:p w14:paraId="60B15578">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附图2</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项目区域水系图</w:t>
      </w:r>
    </w:p>
    <w:p w14:paraId="52C2CC4B">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附图3</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项目平面布置图</w:t>
      </w:r>
    </w:p>
    <w:p w14:paraId="617251DD">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附图4</w:t>
      </w:r>
      <w:r>
        <w:rPr>
          <w:rFonts w:hint="eastAsia" w:ascii="Times New Roman" w:hAnsi="Times New Roman" w:eastAsia="宋体"/>
          <w:color w:val="auto"/>
          <w:szCs w:val="24"/>
          <w:lang w:eastAsia="zh-CN"/>
        </w:rPr>
        <w:t>：</w:t>
      </w:r>
      <w:r>
        <w:rPr>
          <w:rFonts w:ascii="Times New Roman" w:hAnsi="Times New Roman" w:eastAsia="宋体"/>
          <w:color w:val="auto"/>
          <w:szCs w:val="24"/>
        </w:rPr>
        <w:t>项目周边关系图</w:t>
      </w:r>
    </w:p>
    <w:p w14:paraId="55DA85DC">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w:t>
      </w:r>
      <w:r>
        <w:rPr>
          <w:rFonts w:hint="eastAsia" w:ascii="Times New Roman" w:hAnsi="Times New Roman" w:eastAsia="宋体"/>
          <w:color w:val="auto"/>
          <w:szCs w:val="24"/>
          <w:lang w:val="en-US" w:eastAsia="zh-CN"/>
        </w:rPr>
        <w:t>5：</w:t>
      </w:r>
      <w:r>
        <w:rPr>
          <w:rFonts w:hint="eastAsia" w:ascii="Times New Roman" w:hAnsi="Times New Roman" w:eastAsia="宋体"/>
          <w:color w:val="auto"/>
          <w:szCs w:val="24"/>
        </w:rPr>
        <w:t>项目与牛栏江流域水环境保护区关系图</w:t>
      </w:r>
    </w:p>
    <w:p w14:paraId="63ECAFDC">
      <w:pPr>
        <w:bidi w:val="0"/>
        <w:rPr>
          <w:rFonts w:hint="eastAsia"/>
          <w:lang w:val="en-US" w:eastAsia="zh-CN"/>
        </w:rPr>
      </w:pPr>
    </w:p>
    <w:p w14:paraId="7C47C7A1">
      <w:pPr>
        <w:pStyle w:val="2"/>
        <w:jc w:val="center"/>
        <w:rPr>
          <w:rFonts w:hint="eastAsia" w:ascii="Times New Roman" w:hAnsi="Times New Roman"/>
          <w:color w:val="auto"/>
        </w:rPr>
        <w:sectPr>
          <w:footerReference r:id="rId3" w:type="default"/>
          <w:pgSz w:w="11906" w:h="16838"/>
          <w:pgMar w:top="1440" w:right="1800" w:bottom="1440" w:left="1800" w:header="851" w:footer="1077" w:gutter="0"/>
          <w:pgNumType w:start="1"/>
          <w:cols w:space="720" w:num="1"/>
          <w:docGrid w:linePitch="312" w:charSpace="0"/>
        </w:sectPr>
      </w:pPr>
      <w:bookmarkStart w:id="1" w:name="_Toc4036"/>
    </w:p>
    <w:p w14:paraId="34FF188E">
      <w:pPr>
        <w:pStyle w:val="2"/>
        <w:jc w:val="center"/>
        <w:rPr>
          <w:rFonts w:ascii="Times New Roman" w:hAnsi="Times New Roman"/>
          <w:color w:val="auto"/>
        </w:rPr>
      </w:pPr>
      <w:r>
        <w:rPr>
          <w:rFonts w:hint="eastAsia" w:ascii="Times New Roman" w:hAnsi="Times New Roman"/>
          <w:color w:val="auto"/>
        </w:rPr>
        <w:t>一、建设项目基本情况</w:t>
      </w:r>
      <w:bookmarkEnd w:id="0"/>
      <w:bookmarkEnd w:id="1"/>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52"/>
        <w:gridCol w:w="2417"/>
        <w:gridCol w:w="2071"/>
        <w:gridCol w:w="2830"/>
      </w:tblGrid>
      <w:tr w14:paraId="7BB2D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79D2F37C">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建设项目名称</w:t>
            </w:r>
          </w:p>
        </w:tc>
        <w:tc>
          <w:tcPr>
            <w:tcW w:w="7318" w:type="dxa"/>
            <w:gridSpan w:val="3"/>
            <w:vAlign w:val="top"/>
          </w:tcPr>
          <w:p w14:paraId="3268A8A2">
            <w:pPr>
              <w:adjustRightInd w:val="0"/>
              <w:snapToGrid w:val="0"/>
              <w:jc w:val="center"/>
              <w:rPr>
                <w:rFonts w:ascii="Times New Roman" w:hAnsi="Times New Roman" w:eastAsia="宋体" w:cs="Times New Roman"/>
                <w:color w:val="auto"/>
                <w:sz w:val="24"/>
              </w:rPr>
            </w:pPr>
            <w:r>
              <w:rPr>
                <w:rFonts w:hint="eastAsia" w:ascii="Times New Roman" w:hAnsi="Times New Roman" w:cs="Times New Roman"/>
                <w:color w:val="auto"/>
                <w:sz w:val="24"/>
                <w:lang w:eastAsia="zh-CN"/>
              </w:rPr>
              <w:t>澳力洁(昆明)洗涤有限公司布草洗涤项目</w:t>
            </w:r>
          </w:p>
        </w:tc>
      </w:tr>
      <w:tr w14:paraId="682F8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48C1105E">
            <w:pPr>
              <w:adjustRightInd w:val="0"/>
              <w:snapToGrid w:val="0"/>
              <w:jc w:val="center"/>
              <w:rPr>
                <w:rFonts w:ascii="Times New Roman" w:hAnsi="Times New Roman"/>
                <w:color w:val="auto"/>
                <w:sz w:val="24"/>
              </w:rPr>
            </w:pPr>
            <w:r>
              <w:rPr>
                <w:rFonts w:ascii="Times New Roman" w:hAnsi="Times New Roman"/>
                <w:color w:val="auto"/>
                <w:sz w:val="24"/>
              </w:rPr>
              <w:t>项目代码</w:t>
            </w:r>
          </w:p>
        </w:tc>
        <w:tc>
          <w:tcPr>
            <w:tcW w:w="7318" w:type="dxa"/>
            <w:gridSpan w:val="3"/>
            <w:vAlign w:val="top"/>
          </w:tcPr>
          <w:p w14:paraId="217DD76C">
            <w:pPr>
              <w:pStyle w:val="98"/>
              <w:spacing w:before="201" w:line="184" w:lineRule="auto"/>
              <w:ind w:left="1952" w:leftChars="0"/>
              <w:rPr>
                <w:rFonts w:hint="eastAsia" w:ascii="Times New Roman" w:hAnsi="Times New Roman" w:eastAsia="宋体"/>
                <w:color w:val="auto"/>
                <w:sz w:val="24"/>
                <w:lang w:eastAsia="zh-CN"/>
              </w:rPr>
            </w:pPr>
            <w:r>
              <w:rPr>
                <w:rFonts w:hint="eastAsia" w:ascii="Times New Roman" w:hAnsi="Times New Roman"/>
                <w:color w:val="auto"/>
                <w:spacing w:val="-1"/>
                <w:sz w:val="24"/>
                <w:szCs w:val="24"/>
                <w:lang w:eastAsia="zh-CN"/>
              </w:rPr>
              <w:t>2410-530129-04-01-652150</w:t>
            </w:r>
          </w:p>
        </w:tc>
      </w:tr>
      <w:tr w14:paraId="151AF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78167D99">
            <w:pPr>
              <w:adjustRightInd w:val="0"/>
              <w:snapToGrid w:val="0"/>
              <w:jc w:val="center"/>
              <w:rPr>
                <w:rFonts w:ascii="Times New Roman" w:hAnsi="Times New Roman"/>
                <w:color w:val="auto"/>
                <w:sz w:val="24"/>
              </w:rPr>
            </w:pPr>
            <w:r>
              <w:rPr>
                <w:rFonts w:ascii="Times New Roman" w:hAnsi="Times New Roman"/>
                <w:color w:val="auto"/>
                <w:sz w:val="24"/>
              </w:rPr>
              <w:t>建设单位联系人</w:t>
            </w:r>
          </w:p>
        </w:tc>
        <w:tc>
          <w:tcPr>
            <w:tcW w:w="2417" w:type="dxa"/>
            <w:vAlign w:val="top"/>
          </w:tcPr>
          <w:p w14:paraId="6C906058">
            <w:pPr>
              <w:pStyle w:val="98"/>
              <w:spacing w:before="135" w:line="222" w:lineRule="auto"/>
              <w:jc w:val="center"/>
              <w:rPr>
                <w:rFonts w:hint="eastAsia" w:ascii="Times New Roman" w:hAnsi="Times New Roman" w:eastAsia="宋体"/>
                <w:color w:val="auto"/>
                <w:sz w:val="24"/>
                <w:lang w:val="en-US" w:eastAsia="zh-CN"/>
              </w:rPr>
            </w:pPr>
          </w:p>
        </w:tc>
        <w:tc>
          <w:tcPr>
            <w:tcW w:w="2071" w:type="dxa"/>
            <w:vAlign w:val="top"/>
          </w:tcPr>
          <w:p w14:paraId="6DCEEF20">
            <w:pPr>
              <w:pStyle w:val="98"/>
              <w:spacing w:before="133" w:line="221" w:lineRule="auto"/>
              <w:ind w:left="555" w:leftChars="0"/>
              <w:rPr>
                <w:rFonts w:ascii="Times New Roman" w:hAnsi="Times New Roman"/>
                <w:color w:val="auto"/>
                <w:sz w:val="24"/>
              </w:rPr>
            </w:pPr>
            <w:r>
              <w:rPr>
                <w:rFonts w:ascii="Times New Roman" w:hAnsi="Times New Roman"/>
                <w:color w:val="auto"/>
                <w:spacing w:val="-2"/>
                <w:sz w:val="24"/>
                <w:szCs w:val="24"/>
              </w:rPr>
              <w:t>联系方式</w:t>
            </w:r>
          </w:p>
        </w:tc>
        <w:tc>
          <w:tcPr>
            <w:tcW w:w="2830" w:type="dxa"/>
            <w:vAlign w:val="top"/>
          </w:tcPr>
          <w:p w14:paraId="4B6D4438">
            <w:pPr>
              <w:pStyle w:val="98"/>
              <w:spacing w:before="192" w:line="184" w:lineRule="auto"/>
              <w:ind w:left="647" w:leftChars="0"/>
              <w:rPr>
                <w:rFonts w:hint="default" w:ascii="Times New Roman" w:hAnsi="Times New Roman" w:eastAsia="宋体"/>
                <w:color w:val="auto"/>
                <w:sz w:val="24"/>
                <w:lang w:val="en-US" w:eastAsia="zh-CN"/>
              </w:rPr>
            </w:pPr>
          </w:p>
        </w:tc>
      </w:tr>
      <w:tr w14:paraId="4399F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315EC8BA">
            <w:pPr>
              <w:adjustRightInd w:val="0"/>
              <w:snapToGrid w:val="0"/>
              <w:jc w:val="center"/>
              <w:rPr>
                <w:rFonts w:ascii="Times New Roman" w:hAnsi="Times New Roman"/>
                <w:color w:val="auto"/>
                <w:sz w:val="24"/>
              </w:rPr>
            </w:pPr>
            <w:r>
              <w:rPr>
                <w:rFonts w:ascii="Times New Roman" w:hAnsi="Times New Roman"/>
                <w:color w:val="auto"/>
                <w:sz w:val="24"/>
              </w:rPr>
              <w:t>建设地点</w:t>
            </w:r>
          </w:p>
        </w:tc>
        <w:tc>
          <w:tcPr>
            <w:tcW w:w="7318" w:type="dxa"/>
            <w:gridSpan w:val="3"/>
            <w:vAlign w:val="top"/>
          </w:tcPr>
          <w:p w14:paraId="70B24622">
            <w:pPr>
              <w:pStyle w:val="98"/>
              <w:spacing w:before="72" w:line="214" w:lineRule="auto"/>
              <w:ind w:left="3032" w:leftChars="0" w:right="24" w:rightChars="0" w:hanging="3000" w:firstLineChars="0"/>
              <w:jc w:val="center"/>
              <w:rPr>
                <w:rFonts w:ascii="Times New Roman" w:hAnsi="Times New Roman"/>
                <w:color w:val="auto"/>
                <w:sz w:val="24"/>
              </w:rPr>
            </w:pPr>
            <w:r>
              <w:rPr>
                <w:rFonts w:hint="eastAsia" w:ascii="Times New Roman" w:hAnsi="Times New Roman" w:eastAsia="宋体" w:cs="Times New Roman"/>
                <w:color w:val="auto"/>
                <w:kern w:val="2"/>
                <w:sz w:val="24"/>
                <w:szCs w:val="24"/>
                <w:lang w:val="en-US" w:eastAsia="zh-CN" w:bidi="ar-SA"/>
              </w:rPr>
              <w:t>昆明市寻甸县仁德街道办事处易天线小功山</w:t>
            </w:r>
          </w:p>
        </w:tc>
      </w:tr>
      <w:tr w14:paraId="5DE60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05C5942C">
            <w:pPr>
              <w:adjustRightInd w:val="0"/>
              <w:snapToGrid w:val="0"/>
              <w:jc w:val="center"/>
              <w:rPr>
                <w:rFonts w:ascii="Times New Roman" w:hAnsi="Times New Roman"/>
                <w:color w:val="auto"/>
                <w:sz w:val="24"/>
              </w:rPr>
            </w:pPr>
            <w:r>
              <w:rPr>
                <w:rFonts w:ascii="Times New Roman" w:hAnsi="Times New Roman"/>
                <w:color w:val="auto"/>
                <w:sz w:val="24"/>
              </w:rPr>
              <w:t>地理坐标</w:t>
            </w:r>
          </w:p>
        </w:tc>
        <w:tc>
          <w:tcPr>
            <w:tcW w:w="7318" w:type="dxa"/>
            <w:gridSpan w:val="3"/>
            <w:vAlign w:val="top"/>
          </w:tcPr>
          <w:p w14:paraId="3E720A72">
            <w:pPr>
              <w:pStyle w:val="98"/>
              <w:spacing w:before="139" w:line="216" w:lineRule="auto"/>
              <w:ind w:left="872" w:leftChars="0"/>
              <w:rPr>
                <w:rFonts w:ascii="Times New Roman" w:hAnsi="Times New Roman"/>
                <w:color w:val="auto"/>
                <w:sz w:val="24"/>
              </w:rPr>
            </w:pPr>
            <w:r>
              <w:rPr>
                <w:rFonts w:ascii="Times New Roman" w:hAnsi="Times New Roman"/>
                <w:color w:val="auto"/>
                <w:spacing w:val="7"/>
                <w:sz w:val="24"/>
                <w:szCs w:val="24"/>
              </w:rPr>
              <w:t>东经103°</w:t>
            </w:r>
            <w:r>
              <w:rPr>
                <w:rFonts w:hint="eastAsia" w:ascii="Times New Roman" w:hAnsi="Times New Roman"/>
                <w:color w:val="auto"/>
                <w:spacing w:val="7"/>
                <w:sz w:val="24"/>
                <w:szCs w:val="24"/>
                <w:lang w:val="en-US" w:eastAsia="zh-CN"/>
              </w:rPr>
              <w:t>14</w:t>
            </w:r>
            <w:r>
              <w:rPr>
                <w:rFonts w:ascii="Times New Roman" w:hAnsi="Times New Roman"/>
                <w:color w:val="auto"/>
                <w:spacing w:val="7"/>
                <w:sz w:val="24"/>
                <w:szCs w:val="24"/>
              </w:rPr>
              <w:t>′</w:t>
            </w:r>
            <w:r>
              <w:rPr>
                <w:rFonts w:hint="eastAsia" w:ascii="Times New Roman" w:hAnsi="Times New Roman"/>
                <w:color w:val="auto"/>
                <w:spacing w:val="7"/>
                <w:sz w:val="24"/>
                <w:szCs w:val="24"/>
              </w:rPr>
              <w:t>59.56</w:t>
            </w:r>
            <w:r>
              <w:rPr>
                <w:rFonts w:hint="eastAsia" w:ascii="Times New Roman" w:hAnsi="Times New Roman"/>
                <w:color w:val="auto"/>
                <w:spacing w:val="7"/>
                <w:sz w:val="24"/>
                <w:szCs w:val="24"/>
                <w:lang w:val="en-US" w:eastAsia="zh-CN"/>
              </w:rPr>
              <w:t>4</w:t>
            </w:r>
            <w:r>
              <w:rPr>
                <w:rFonts w:ascii="Times New Roman" w:hAnsi="Times New Roman"/>
                <w:color w:val="auto"/>
                <w:spacing w:val="7"/>
                <w:sz w:val="24"/>
                <w:szCs w:val="24"/>
              </w:rPr>
              <w:t>”</w:t>
            </w:r>
            <w:r>
              <w:rPr>
                <w:rFonts w:hint="eastAsia" w:ascii="Times New Roman" w:hAnsi="Times New Roman"/>
                <w:color w:val="auto"/>
                <w:spacing w:val="7"/>
                <w:sz w:val="24"/>
                <w:szCs w:val="24"/>
                <w:lang w:eastAsia="zh-CN"/>
              </w:rPr>
              <w:t>，</w:t>
            </w:r>
            <w:r>
              <w:rPr>
                <w:rFonts w:ascii="Times New Roman" w:hAnsi="Times New Roman"/>
                <w:color w:val="auto"/>
                <w:spacing w:val="7"/>
                <w:sz w:val="24"/>
                <w:szCs w:val="24"/>
              </w:rPr>
              <w:t>北纬25°</w:t>
            </w:r>
            <w:r>
              <w:rPr>
                <w:rFonts w:hint="eastAsia" w:ascii="Times New Roman" w:hAnsi="Times New Roman"/>
                <w:color w:val="auto"/>
                <w:spacing w:val="7"/>
                <w:sz w:val="24"/>
                <w:szCs w:val="24"/>
                <w:lang w:val="en-US" w:eastAsia="zh-CN"/>
              </w:rPr>
              <w:t>35</w:t>
            </w:r>
            <w:r>
              <w:rPr>
                <w:rFonts w:ascii="Times New Roman" w:hAnsi="Times New Roman"/>
                <w:color w:val="auto"/>
                <w:spacing w:val="7"/>
                <w:sz w:val="24"/>
                <w:szCs w:val="24"/>
              </w:rPr>
              <w:t>′</w:t>
            </w:r>
            <w:r>
              <w:rPr>
                <w:rFonts w:hint="eastAsia" w:ascii="Times New Roman" w:hAnsi="Times New Roman"/>
                <w:color w:val="auto"/>
                <w:spacing w:val="7"/>
                <w:sz w:val="24"/>
                <w:szCs w:val="24"/>
              </w:rPr>
              <w:t>11.72</w:t>
            </w:r>
            <w:r>
              <w:rPr>
                <w:rFonts w:hint="eastAsia" w:ascii="Times New Roman" w:hAnsi="Times New Roman"/>
                <w:color w:val="auto"/>
                <w:spacing w:val="7"/>
                <w:sz w:val="24"/>
                <w:szCs w:val="24"/>
                <w:lang w:val="en-US" w:eastAsia="zh-CN"/>
              </w:rPr>
              <w:t>2</w:t>
            </w:r>
            <w:r>
              <w:rPr>
                <w:rFonts w:ascii="Times New Roman" w:hAnsi="Times New Roman"/>
                <w:color w:val="auto"/>
                <w:spacing w:val="7"/>
                <w:sz w:val="24"/>
                <w:szCs w:val="24"/>
              </w:rPr>
              <w:t>”</w:t>
            </w:r>
          </w:p>
        </w:tc>
      </w:tr>
      <w:tr w14:paraId="725CC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10D71A46">
            <w:pPr>
              <w:adjustRightInd w:val="0"/>
              <w:snapToGrid w:val="0"/>
              <w:jc w:val="center"/>
              <w:rPr>
                <w:rFonts w:ascii="Times New Roman" w:hAnsi="Times New Roman"/>
                <w:color w:val="auto"/>
                <w:sz w:val="24"/>
              </w:rPr>
            </w:pPr>
            <w:r>
              <w:rPr>
                <w:rFonts w:ascii="Times New Roman" w:hAnsi="Times New Roman"/>
                <w:color w:val="auto"/>
                <w:sz w:val="24"/>
              </w:rPr>
              <w:t>国民经济</w:t>
            </w:r>
          </w:p>
          <w:p w14:paraId="3F11ACDF">
            <w:pPr>
              <w:adjustRightInd w:val="0"/>
              <w:snapToGrid w:val="0"/>
              <w:jc w:val="center"/>
              <w:rPr>
                <w:rFonts w:ascii="Times New Roman" w:hAnsi="Times New Roman"/>
                <w:color w:val="auto"/>
                <w:sz w:val="24"/>
              </w:rPr>
            </w:pPr>
            <w:r>
              <w:rPr>
                <w:rFonts w:ascii="Times New Roman" w:hAnsi="Times New Roman"/>
                <w:color w:val="auto"/>
                <w:sz w:val="24"/>
              </w:rPr>
              <w:t>行业类别</w:t>
            </w:r>
          </w:p>
        </w:tc>
        <w:tc>
          <w:tcPr>
            <w:tcW w:w="2417" w:type="dxa"/>
            <w:vAlign w:val="center"/>
          </w:tcPr>
          <w:p w14:paraId="48BD1964">
            <w:pPr>
              <w:pStyle w:val="98"/>
              <w:spacing w:before="44" w:line="225" w:lineRule="auto"/>
              <w:ind w:right="124" w:rightChars="0"/>
              <w:jc w:val="center"/>
              <w:rPr>
                <w:rFonts w:hint="default" w:ascii="Times New Roman" w:hAnsi="Times New Roman" w:eastAsia="宋体"/>
                <w:color w:val="auto"/>
                <w:sz w:val="24"/>
                <w:lang w:val="en-US" w:eastAsia="zh-CN"/>
              </w:rPr>
            </w:pPr>
            <w:r>
              <w:rPr>
                <w:rFonts w:hint="eastAsia" w:ascii="Times New Roman" w:hAnsi="Times New Roman"/>
                <w:color w:val="auto"/>
                <w:spacing w:val="2"/>
                <w:sz w:val="24"/>
                <w:szCs w:val="24"/>
                <w:lang w:val="en-US" w:eastAsia="zh-CN"/>
              </w:rPr>
              <w:t>O8030洗染服务D4430热力生产和供应</w:t>
            </w:r>
          </w:p>
        </w:tc>
        <w:tc>
          <w:tcPr>
            <w:tcW w:w="2071" w:type="dxa"/>
            <w:vAlign w:val="center"/>
          </w:tcPr>
          <w:p w14:paraId="54ECBBAB">
            <w:pPr>
              <w:pStyle w:val="98"/>
              <w:spacing w:before="44" w:line="225" w:lineRule="auto"/>
              <w:ind w:right="124" w:rightChars="0"/>
              <w:jc w:val="center"/>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建设项目行业类别</w:t>
            </w:r>
          </w:p>
        </w:tc>
        <w:tc>
          <w:tcPr>
            <w:tcW w:w="2830" w:type="dxa"/>
            <w:vAlign w:val="top"/>
          </w:tcPr>
          <w:p w14:paraId="624444BA">
            <w:pPr>
              <w:pStyle w:val="98"/>
              <w:spacing w:before="44" w:line="225" w:lineRule="auto"/>
              <w:ind w:right="124" w:rightChars="0"/>
              <w:jc w:val="center"/>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四十一、电力、热力生产和供应业-91 热力生产和供应工程（包括建设单位自建自用的供热工程）-使用其他高污染燃料的</w:t>
            </w:r>
          </w:p>
        </w:tc>
      </w:tr>
      <w:tr w14:paraId="2C6A3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1E2DE8E3">
            <w:pPr>
              <w:adjustRightInd w:val="0"/>
              <w:snapToGrid w:val="0"/>
              <w:jc w:val="center"/>
              <w:rPr>
                <w:rFonts w:ascii="Times New Roman" w:hAnsi="Times New Roman"/>
                <w:color w:val="auto"/>
                <w:sz w:val="24"/>
              </w:rPr>
            </w:pPr>
            <w:r>
              <w:rPr>
                <w:rFonts w:ascii="Times New Roman" w:hAnsi="Times New Roman"/>
                <w:color w:val="auto"/>
                <w:sz w:val="24"/>
              </w:rPr>
              <w:t>建设性质</w:t>
            </w:r>
          </w:p>
        </w:tc>
        <w:tc>
          <w:tcPr>
            <w:tcW w:w="2417" w:type="dxa"/>
            <w:vAlign w:val="center"/>
          </w:tcPr>
          <w:p w14:paraId="618880B4">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新建（迁建）</w:t>
            </w:r>
          </w:p>
          <w:p w14:paraId="738050AA">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改建</w:t>
            </w:r>
          </w:p>
          <w:p w14:paraId="461EA44C">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扩建</w:t>
            </w:r>
          </w:p>
          <w:p w14:paraId="2378FE5B">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技术改造</w:t>
            </w:r>
          </w:p>
        </w:tc>
        <w:tc>
          <w:tcPr>
            <w:tcW w:w="2071" w:type="dxa"/>
            <w:vAlign w:val="center"/>
          </w:tcPr>
          <w:p w14:paraId="196F6350">
            <w:pPr>
              <w:adjustRightInd w:val="0"/>
              <w:snapToGrid w:val="0"/>
              <w:jc w:val="center"/>
              <w:rPr>
                <w:rFonts w:ascii="Times New Roman" w:hAnsi="Times New Roman"/>
                <w:color w:val="auto"/>
                <w:sz w:val="24"/>
              </w:rPr>
            </w:pPr>
            <w:r>
              <w:rPr>
                <w:rFonts w:ascii="Times New Roman" w:hAnsi="Times New Roman"/>
                <w:color w:val="auto"/>
                <w:sz w:val="24"/>
              </w:rPr>
              <w:t>建设项目</w:t>
            </w:r>
          </w:p>
          <w:p w14:paraId="3D5AC18D">
            <w:pPr>
              <w:adjustRightInd w:val="0"/>
              <w:snapToGrid w:val="0"/>
              <w:jc w:val="center"/>
              <w:rPr>
                <w:rFonts w:ascii="Times New Roman" w:hAnsi="Times New Roman"/>
                <w:color w:val="auto"/>
                <w:sz w:val="24"/>
              </w:rPr>
            </w:pPr>
            <w:r>
              <w:rPr>
                <w:rFonts w:ascii="Times New Roman" w:hAnsi="Times New Roman"/>
                <w:color w:val="auto"/>
                <w:sz w:val="24"/>
              </w:rPr>
              <w:t>申报情形</w:t>
            </w:r>
          </w:p>
        </w:tc>
        <w:tc>
          <w:tcPr>
            <w:tcW w:w="2830" w:type="dxa"/>
            <w:vAlign w:val="center"/>
          </w:tcPr>
          <w:p w14:paraId="5871B4D0">
            <w:pPr>
              <w:jc w:val="left"/>
              <w:rPr>
                <w:rFonts w:ascii="Times New Roman" w:hAnsi="Times New Roman"/>
                <w:color w:val="auto"/>
                <w:sz w:val="24"/>
              </w:rPr>
            </w:pPr>
            <w:r>
              <w:rPr>
                <w:rFonts w:ascii="Times New Roman" w:hAnsi="Times New Roman"/>
                <w:color w:val="auto"/>
                <w:sz w:val="24"/>
              </w:rPr>
              <w:t>☑首次申报项目</w:t>
            </w:r>
          </w:p>
          <w:p w14:paraId="1E1F8235">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不予批准后再次申报项目</w:t>
            </w:r>
          </w:p>
          <w:p w14:paraId="29A2B4D1">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超五年重新审核项目</w:t>
            </w:r>
          </w:p>
          <w:p w14:paraId="6398D893">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重大变动重新报批项目</w:t>
            </w:r>
          </w:p>
        </w:tc>
      </w:tr>
      <w:tr w14:paraId="43C28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23990416">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项目审批（核准/备案）部门（选填）</w:t>
            </w:r>
          </w:p>
        </w:tc>
        <w:tc>
          <w:tcPr>
            <w:tcW w:w="2417" w:type="dxa"/>
            <w:vAlign w:val="center"/>
          </w:tcPr>
          <w:p w14:paraId="6D3B023A">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寻甸回族彝族自治 县发展改革局</w:t>
            </w:r>
          </w:p>
        </w:tc>
        <w:tc>
          <w:tcPr>
            <w:tcW w:w="2071" w:type="dxa"/>
            <w:vAlign w:val="center"/>
          </w:tcPr>
          <w:p w14:paraId="12F8185D">
            <w:pPr>
              <w:adjustRightInd w:val="0"/>
              <w:snapToGrid w:val="0"/>
              <w:jc w:val="center"/>
              <w:rPr>
                <w:rFonts w:ascii="Times New Roman" w:hAnsi="Times New Roman"/>
                <w:color w:val="auto"/>
                <w:sz w:val="24"/>
              </w:rPr>
            </w:pPr>
            <w:r>
              <w:rPr>
                <w:rFonts w:ascii="Times New Roman" w:hAnsi="Times New Roman"/>
                <w:color w:val="auto"/>
                <w:sz w:val="24"/>
              </w:rPr>
              <w:t>项目审批（核准/备案）文号（选填）</w:t>
            </w:r>
          </w:p>
        </w:tc>
        <w:tc>
          <w:tcPr>
            <w:tcW w:w="2830" w:type="dxa"/>
            <w:vAlign w:val="center"/>
          </w:tcPr>
          <w:p w14:paraId="77E29270">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color w:val="auto"/>
                <w:sz w:val="24"/>
                <w:lang w:val="en-US" w:eastAsia="zh-CN"/>
              </w:rPr>
              <w:t>/</w:t>
            </w:r>
          </w:p>
        </w:tc>
      </w:tr>
      <w:tr w14:paraId="0E7DE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6502058A">
            <w:pPr>
              <w:adjustRightInd w:val="0"/>
              <w:snapToGrid w:val="0"/>
              <w:jc w:val="center"/>
              <w:rPr>
                <w:rFonts w:ascii="Times New Roman" w:hAnsi="Times New Roman"/>
                <w:color w:val="auto"/>
                <w:sz w:val="24"/>
              </w:rPr>
            </w:pPr>
            <w:r>
              <w:rPr>
                <w:rFonts w:ascii="Times New Roman" w:hAnsi="Times New Roman"/>
                <w:color w:val="auto"/>
                <w:sz w:val="24"/>
              </w:rPr>
              <w:t>总投资（万元）</w:t>
            </w:r>
          </w:p>
        </w:tc>
        <w:tc>
          <w:tcPr>
            <w:tcW w:w="2417" w:type="dxa"/>
            <w:vAlign w:val="top"/>
          </w:tcPr>
          <w:p w14:paraId="09DC31E4">
            <w:pPr>
              <w:pStyle w:val="98"/>
              <w:spacing w:before="198" w:line="183" w:lineRule="auto"/>
              <w:ind w:left="862" w:leftChars="0"/>
              <w:rPr>
                <w:rFonts w:hint="default" w:ascii="Times New Roman" w:hAnsi="Times New Roman"/>
                <w:color w:val="auto"/>
                <w:sz w:val="24"/>
                <w:highlight w:val="none"/>
                <w:lang w:val="en-US"/>
              </w:rPr>
            </w:pPr>
            <w:r>
              <w:rPr>
                <w:rFonts w:hint="eastAsia" w:ascii="Times New Roman" w:hAnsi="Times New Roman"/>
                <w:color w:val="auto"/>
                <w:spacing w:val="-3"/>
                <w:sz w:val="24"/>
                <w:szCs w:val="24"/>
                <w:highlight w:val="none"/>
                <w:lang w:val="en-US" w:eastAsia="zh-CN"/>
              </w:rPr>
              <w:t>200</w:t>
            </w:r>
          </w:p>
        </w:tc>
        <w:tc>
          <w:tcPr>
            <w:tcW w:w="2071" w:type="dxa"/>
            <w:tcMar>
              <w:top w:w="16" w:type="dxa"/>
              <w:left w:w="16" w:type="dxa"/>
              <w:right w:w="16" w:type="dxa"/>
            </w:tcMar>
            <w:vAlign w:val="top"/>
          </w:tcPr>
          <w:p w14:paraId="1E675760">
            <w:pPr>
              <w:pStyle w:val="98"/>
              <w:spacing w:before="137" w:line="220" w:lineRule="auto"/>
              <w:ind w:left="65" w:leftChars="0"/>
              <w:rPr>
                <w:rFonts w:ascii="Times New Roman" w:hAnsi="Times New Roman"/>
                <w:color w:val="auto"/>
                <w:sz w:val="24"/>
                <w:highlight w:val="none"/>
              </w:rPr>
            </w:pPr>
            <w:r>
              <w:rPr>
                <w:rFonts w:ascii="Times New Roman" w:hAnsi="Times New Roman"/>
                <w:color w:val="auto"/>
                <w:spacing w:val="6"/>
                <w:sz w:val="24"/>
                <w:szCs w:val="24"/>
                <w:highlight w:val="none"/>
              </w:rPr>
              <w:t>环保投资(万元)</w:t>
            </w:r>
          </w:p>
        </w:tc>
        <w:tc>
          <w:tcPr>
            <w:tcW w:w="2830" w:type="dxa"/>
            <w:vAlign w:val="top"/>
          </w:tcPr>
          <w:p w14:paraId="3FABE69A">
            <w:pPr>
              <w:pStyle w:val="98"/>
              <w:spacing w:before="198" w:line="183" w:lineRule="auto"/>
              <w:ind w:left="1187" w:leftChars="0"/>
              <w:rPr>
                <w:rFonts w:hint="default" w:ascii="Times New Roman" w:hAnsi="Times New Roman"/>
                <w:color w:val="auto"/>
                <w:sz w:val="24"/>
                <w:highlight w:val="none"/>
                <w:lang w:val="en-US"/>
              </w:rPr>
            </w:pPr>
            <w:r>
              <w:rPr>
                <w:rFonts w:hint="eastAsia" w:ascii="Times New Roman" w:hAnsi="Times New Roman"/>
                <w:color w:val="auto"/>
                <w:sz w:val="24"/>
                <w:szCs w:val="24"/>
                <w:highlight w:val="none"/>
                <w:lang w:val="en-US" w:eastAsia="zh-CN"/>
              </w:rPr>
              <w:t>15.42</w:t>
            </w:r>
          </w:p>
        </w:tc>
      </w:tr>
      <w:tr w14:paraId="0A06F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5F93917D">
            <w:pPr>
              <w:adjustRightInd w:val="0"/>
              <w:snapToGrid w:val="0"/>
              <w:jc w:val="center"/>
              <w:rPr>
                <w:rFonts w:ascii="Times New Roman" w:hAnsi="Times New Roman"/>
                <w:color w:val="auto"/>
                <w:sz w:val="24"/>
              </w:rPr>
            </w:pPr>
            <w:r>
              <w:rPr>
                <w:rFonts w:ascii="Times New Roman" w:hAnsi="Times New Roman"/>
                <w:color w:val="auto"/>
                <w:sz w:val="24"/>
              </w:rPr>
              <w:t>环保投资占比（%）</w:t>
            </w:r>
          </w:p>
        </w:tc>
        <w:tc>
          <w:tcPr>
            <w:tcW w:w="2417" w:type="dxa"/>
            <w:vAlign w:val="top"/>
          </w:tcPr>
          <w:p w14:paraId="013E97E8">
            <w:pPr>
              <w:pStyle w:val="98"/>
              <w:spacing w:before="208" w:line="183" w:lineRule="auto"/>
              <w:ind w:left="862" w:leftChars="0"/>
              <w:rPr>
                <w:rFonts w:hint="default" w:ascii="Times New Roman" w:hAnsi="Times New Roman"/>
                <w:color w:val="auto"/>
                <w:sz w:val="24"/>
                <w:highlight w:val="none"/>
                <w:lang w:val="en-US"/>
              </w:rPr>
            </w:pPr>
            <w:r>
              <w:rPr>
                <w:rFonts w:hint="eastAsia" w:ascii="Times New Roman" w:hAnsi="Times New Roman"/>
                <w:color w:val="auto"/>
                <w:sz w:val="24"/>
                <w:szCs w:val="24"/>
                <w:highlight w:val="none"/>
                <w:lang w:val="en-US" w:eastAsia="zh-CN"/>
              </w:rPr>
              <w:t>7.71</w:t>
            </w:r>
          </w:p>
        </w:tc>
        <w:tc>
          <w:tcPr>
            <w:tcW w:w="2071" w:type="dxa"/>
            <w:tcMar>
              <w:top w:w="16" w:type="dxa"/>
              <w:left w:w="16" w:type="dxa"/>
              <w:right w:w="16" w:type="dxa"/>
            </w:tcMar>
            <w:vAlign w:val="top"/>
          </w:tcPr>
          <w:p w14:paraId="65615AA9">
            <w:pPr>
              <w:pStyle w:val="98"/>
              <w:spacing w:before="147" w:line="220" w:lineRule="auto"/>
              <w:ind w:left="555" w:leftChars="0"/>
              <w:rPr>
                <w:rFonts w:ascii="Times New Roman" w:hAnsi="Times New Roman"/>
                <w:color w:val="auto"/>
                <w:sz w:val="24"/>
                <w:highlight w:val="none"/>
              </w:rPr>
            </w:pPr>
            <w:r>
              <w:rPr>
                <w:rFonts w:ascii="Times New Roman" w:hAnsi="Times New Roman"/>
                <w:color w:val="auto"/>
                <w:spacing w:val="3"/>
                <w:sz w:val="24"/>
                <w:szCs w:val="24"/>
                <w:highlight w:val="none"/>
              </w:rPr>
              <w:t>施工工期</w:t>
            </w:r>
          </w:p>
        </w:tc>
        <w:tc>
          <w:tcPr>
            <w:tcW w:w="2830" w:type="dxa"/>
            <w:vAlign w:val="top"/>
          </w:tcPr>
          <w:p w14:paraId="49959ECC">
            <w:pPr>
              <w:pStyle w:val="98"/>
              <w:spacing w:before="147" w:line="219" w:lineRule="auto"/>
              <w:ind w:left="1007" w:leftChars="0"/>
              <w:rPr>
                <w:rFonts w:ascii="Times New Roman" w:hAnsi="Times New Roman"/>
                <w:color w:val="auto"/>
                <w:sz w:val="24"/>
                <w:highlight w:val="none"/>
              </w:rPr>
            </w:pPr>
            <w:r>
              <w:rPr>
                <w:rFonts w:ascii="Times New Roman" w:hAnsi="Times New Roman"/>
                <w:color w:val="auto"/>
                <w:spacing w:val="16"/>
                <w:sz w:val="24"/>
                <w:szCs w:val="24"/>
                <w:highlight w:val="none"/>
              </w:rPr>
              <w:t>2个月</w:t>
            </w:r>
          </w:p>
        </w:tc>
      </w:tr>
      <w:tr w14:paraId="27C3D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14:paraId="37688C91">
            <w:pPr>
              <w:adjustRightInd w:val="0"/>
              <w:snapToGrid w:val="0"/>
              <w:jc w:val="center"/>
              <w:rPr>
                <w:rFonts w:ascii="Times New Roman" w:hAnsi="Times New Roman"/>
                <w:color w:val="auto"/>
                <w:sz w:val="24"/>
              </w:rPr>
            </w:pPr>
            <w:r>
              <w:rPr>
                <w:rFonts w:ascii="Times New Roman" w:hAnsi="Times New Roman"/>
                <w:color w:val="auto"/>
                <w:sz w:val="24"/>
              </w:rPr>
              <w:t>是否开工建设</w:t>
            </w:r>
          </w:p>
        </w:tc>
        <w:tc>
          <w:tcPr>
            <w:tcW w:w="2417" w:type="dxa"/>
            <w:vAlign w:val="center"/>
          </w:tcPr>
          <w:p w14:paraId="5409D771">
            <w:pPr>
              <w:adjustRightInd w:val="0"/>
              <w:snapToGrid w:val="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否</w:t>
            </w:r>
          </w:p>
          <w:p w14:paraId="66410351">
            <w:pPr>
              <w:adjustRightInd w:val="0"/>
              <w:snapToGrid w:val="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是：</w:t>
            </w:r>
          </w:p>
        </w:tc>
        <w:tc>
          <w:tcPr>
            <w:tcW w:w="2071" w:type="dxa"/>
            <w:tcMar>
              <w:top w:w="16" w:type="dxa"/>
              <w:left w:w="16" w:type="dxa"/>
              <w:right w:w="16" w:type="dxa"/>
            </w:tcMar>
            <w:vAlign w:val="center"/>
          </w:tcPr>
          <w:p w14:paraId="03B810DA">
            <w:pPr>
              <w:adjustRightInd w:val="0"/>
              <w:snapToGrid w:val="0"/>
              <w:jc w:val="center"/>
              <w:rPr>
                <w:rFonts w:ascii="Times New Roman" w:hAnsi="Times New Roman"/>
                <w:color w:val="auto"/>
                <w:spacing w:val="-6"/>
                <w:sz w:val="24"/>
                <w:highlight w:val="none"/>
              </w:rPr>
            </w:pPr>
            <w:r>
              <w:rPr>
                <w:rFonts w:ascii="Times New Roman" w:hAnsi="Times New Roman"/>
                <w:color w:val="auto"/>
                <w:spacing w:val="-6"/>
                <w:sz w:val="24"/>
                <w:highlight w:val="none"/>
              </w:rPr>
              <w:t>用地（用海）</w:t>
            </w:r>
          </w:p>
          <w:p w14:paraId="1A8D3992">
            <w:pPr>
              <w:adjustRightInd w:val="0"/>
              <w:snapToGrid w:val="0"/>
              <w:jc w:val="center"/>
              <w:rPr>
                <w:rFonts w:ascii="Times New Roman" w:hAnsi="Times New Roman"/>
                <w:color w:val="auto"/>
                <w:sz w:val="24"/>
                <w:highlight w:val="none"/>
              </w:rPr>
            </w:pPr>
            <w:r>
              <w:rPr>
                <w:rFonts w:ascii="Times New Roman" w:hAnsi="Times New Roman"/>
                <w:color w:val="auto"/>
                <w:spacing w:val="-6"/>
                <w:sz w:val="24"/>
                <w:highlight w:val="none"/>
              </w:rPr>
              <w:t>面积（m</w:t>
            </w:r>
            <w:r>
              <w:rPr>
                <w:rFonts w:ascii="Times New Roman" w:hAnsi="Times New Roman"/>
                <w:color w:val="auto"/>
                <w:spacing w:val="-6"/>
                <w:sz w:val="24"/>
                <w:highlight w:val="none"/>
                <w:vertAlign w:val="superscript"/>
              </w:rPr>
              <w:t>2</w:t>
            </w:r>
            <w:r>
              <w:rPr>
                <w:rFonts w:ascii="Times New Roman" w:hAnsi="Times New Roman"/>
                <w:color w:val="auto"/>
                <w:spacing w:val="-6"/>
                <w:sz w:val="24"/>
                <w:highlight w:val="none"/>
              </w:rPr>
              <w:t>）</w:t>
            </w:r>
          </w:p>
        </w:tc>
        <w:tc>
          <w:tcPr>
            <w:tcW w:w="2830" w:type="dxa"/>
            <w:vAlign w:val="center"/>
          </w:tcPr>
          <w:p w14:paraId="2DF58D05">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2500</w:t>
            </w:r>
          </w:p>
        </w:tc>
      </w:tr>
      <w:tr w14:paraId="00C5E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14:paraId="52506950">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专项评价设置情况</w:t>
            </w:r>
          </w:p>
        </w:tc>
        <w:tc>
          <w:tcPr>
            <w:tcW w:w="7318" w:type="dxa"/>
            <w:gridSpan w:val="3"/>
            <w:vAlign w:val="center"/>
          </w:tcPr>
          <w:p w14:paraId="57B28EC3">
            <w:pPr>
              <w:pStyle w:val="98"/>
              <w:spacing w:before="42" w:line="218" w:lineRule="auto"/>
              <w:ind w:firstLine="436" w:firstLineChars="200"/>
              <w:rPr>
                <w:rFonts w:ascii="Times New Roman" w:hAnsi="Times New Roman"/>
                <w:color w:val="auto"/>
              </w:rPr>
            </w:pPr>
            <w:r>
              <w:rPr>
                <w:rFonts w:ascii="Times New Roman" w:hAnsi="Times New Roman"/>
                <w:color w:val="auto"/>
                <w:spacing w:val="-1"/>
              </w:rPr>
              <w:t>项目专项评价判定情况如下表所示。</w:t>
            </w:r>
          </w:p>
          <w:p w14:paraId="06C040CD">
            <w:pPr>
              <w:pStyle w:val="98"/>
              <w:spacing w:before="86" w:line="223" w:lineRule="auto"/>
              <w:jc w:val="center"/>
              <w:rPr>
                <w:rFonts w:ascii="Times New Roman" w:hAnsi="Times New Roman"/>
                <w:color w:val="auto"/>
                <w:sz w:val="20"/>
                <w:szCs w:val="20"/>
              </w:rPr>
            </w:pPr>
            <w:r>
              <w:rPr>
                <w:rFonts w:ascii="Times New Roman" w:hAnsi="Times New Roman"/>
                <w:b/>
                <w:bCs/>
                <w:color w:val="auto"/>
                <w:spacing w:val="5"/>
                <w:sz w:val="20"/>
                <w:szCs w:val="20"/>
              </w:rPr>
              <w:t>表</w:t>
            </w:r>
            <w:r>
              <w:rPr>
                <w:rFonts w:ascii="Times New Roman" w:hAnsi="Times New Roman" w:eastAsia="Times New Roman" w:cs="Times New Roman"/>
                <w:b/>
                <w:bCs/>
                <w:color w:val="auto"/>
                <w:spacing w:val="5"/>
                <w:sz w:val="20"/>
                <w:szCs w:val="20"/>
              </w:rPr>
              <w:t>1-1</w:t>
            </w:r>
            <w:r>
              <w:rPr>
                <w:rFonts w:ascii="Times New Roman" w:hAnsi="Times New Roman"/>
                <w:b/>
                <w:bCs/>
                <w:color w:val="auto"/>
                <w:spacing w:val="5"/>
                <w:sz w:val="20"/>
                <w:szCs w:val="20"/>
              </w:rPr>
              <w:t>项目专项评价判定表</w:t>
            </w:r>
          </w:p>
          <w:tbl>
            <w:tblPr>
              <w:tblStyle w:val="29"/>
              <w:tblW w:w="7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144"/>
              <w:gridCol w:w="2384"/>
              <w:gridCol w:w="992"/>
            </w:tblGrid>
            <w:tr w14:paraId="5ED7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2776CE58">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专项评价类比</w:t>
                  </w:r>
                </w:p>
              </w:tc>
              <w:tc>
                <w:tcPr>
                  <w:tcW w:w="2180" w:type="pct"/>
                  <w:vAlign w:val="center"/>
                </w:tcPr>
                <w:p w14:paraId="13126C41">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设置原则</w:t>
                  </w:r>
                </w:p>
              </w:tc>
              <w:tc>
                <w:tcPr>
                  <w:tcW w:w="1653" w:type="pct"/>
                  <w:vAlign w:val="center"/>
                </w:tcPr>
                <w:p w14:paraId="487F320C">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本项目情况</w:t>
                  </w:r>
                </w:p>
              </w:tc>
              <w:tc>
                <w:tcPr>
                  <w:tcW w:w="686" w:type="pct"/>
                  <w:vAlign w:val="center"/>
                </w:tcPr>
                <w:p w14:paraId="3864B93C">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是否设置专项</w:t>
                  </w:r>
                </w:p>
                <w:p w14:paraId="389A95C0">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评价</w:t>
                  </w:r>
                </w:p>
              </w:tc>
            </w:tr>
            <w:tr w14:paraId="3CA7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71629B9C">
                  <w:pPr>
                    <w:tabs>
                      <w:tab w:val="left" w:pos="3255"/>
                    </w:tabs>
                    <w:jc w:val="center"/>
                    <w:rPr>
                      <w:rFonts w:ascii="Times New Roman" w:hAnsi="Times New Roman"/>
                      <w:color w:val="auto"/>
                      <w:szCs w:val="21"/>
                      <w:highlight w:val="none"/>
                    </w:rPr>
                  </w:pPr>
                  <w:r>
                    <w:rPr>
                      <w:rFonts w:ascii="Times New Roman" w:hAnsi="Times New Roman"/>
                      <w:color w:val="auto"/>
                      <w:szCs w:val="21"/>
                      <w:highlight w:val="none"/>
                    </w:rPr>
                    <w:t>大气</w:t>
                  </w:r>
                </w:p>
              </w:tc>
              <w:tc>
                <w:tcPr>
                  <w:tcW w:w="2180" w:type="pct"/>
                  <w:vAlign w:val="center"/>
                </w:tcPr>
                <w:p w14:paraId="77493789">
                  <w:pPr>
                    <w:autoSpaceDE w:val="0"/>
                    <w:autoSpaceDN w:val="0"/>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排放废气含有毒有害污染物1、二噁英、苯并[a]芘、氰化物、氯气且厂界500m范围内有环境空气保护目标2的建设项目。</w:t>
                  </w:r>
                </w:p>
              </w:tc>
              <w:tc>
                <w:tcPr>
                  <w:tcW w:w="1653" w:type="pct"/>
                  <w:vAlign w:val="center"/>
                </w:tcPr>
                <w:p w14:paraId="0BC47C8B">
                  <w:pPr>
                    <w:autoSpaceDE w:val="0"/>
                    <w:autoSpaceDN w:val="0"/>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项目排放废气</w:t>
                  </w:r>
                  <w:r>
                    <w:rPr>
                      <w:rFonts w:hint="eastAsia" w:ascii="Times New Roman" w:hAnsi="Times New Roman" w:cs="Times New Roman"/>
                      <w:color w:val="auto"/>
                      <w:kern w:val="0"/>
                      <w:szCs w:val="21"/>
                      <w:highlight w:val="none"/>
                      <w:lang w:val="en-US" w:eastAsia="zh-CN"/>
                    </w:rPr>
                    <w:t>主要为颗粒物、SO</w:t>
                  </w:r>
                  <w:r>
                    <w:rPr>
                      <w:rFonts w:hint="eastAsia" w:ascii="Times New Roman" w:hAnsi="Times New Roman" w:cs="Times New Roman"/>
                      <w:color w:val="auto"/>
                      <w:kern w:val="0"/>
                      <w:szCs w:val="21"/>
                      <w:highlight w:val="none"/>
                      <w:vertAlign w:val="subscript"/>
                      <w:lang w:val="en-US" w:eastAsia="zh-CN"/>
                    </w:rPr>
                    <w:t>2</w:t>
                  </w:r>
                  <w:r>
                    <w:rPr>
                      <w:rFonts w:hint="eastAsia" w:ascii="Times New Roman" w:hAnsi="Times New Roman" w:cs="Times New Roman"/>
                      <w:color w:val="auto"/>
                      <w:kern w:val="0"/>
                      <w:szCs w:val="21"/>
                      <w:highlight w:val="none"/>
                      <w:lang w:val="en-US" w:eastAsia="zh-CN"/>
                    </w:rPr>
                    <w:t>、NOx,不涉及</w:t>
                  </w:r>
                  <w:r>
                    <w:rPr>
                      <w:rFonts w:ascii="Times New Roman" w:hAnsi="Times New Roman" w:eastAsia="宋体" w:cs="Times New Roman"/>
                      <w:color w:val="auto"/>
                      <w:kern w:val="0"/>
                      <w:szCs w:val="21"/>
                      <w:highlight w:val="none"/>
                    </w:rPr>
                    <w:t>含有毒有害污染物、二噁英、苯并[a]芘、氰化物、氯气等废气。</w:t>
                  </w:r>
                </w:p>
              </w:tc>
              <w:tc>
                <w:tcPr>
                  <w:tcW w:w="686" w:type="pct"/>
                  <w:vAlign w:val="center"/>
                </w:tcPr>
                <w:p w14:paraId="0A59E32F">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3B7A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798AD352">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地表水</w:t>
                  </w:r>
                </w:p>
              </w:tc>
              <w:tc>
                <w:tcPr>
                  <w:tcW w:w="2180" w:type="pct"/>
                  <w:vAlign w:val="center"/>
                </w:tcPr>
                <w:p w14:paraId="6B0C75CE">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新增工业废水直排建设项目（槽罐车外送污水处理厂的除外）；新增废水直排的污水集中处理厂。</w:t>
                  </w:r>
                </w:p>
              </w:tc>
              <w:tc>
                <w:tcPr>
                  <w:tcW w:w="1653" w:type="pct"/>
                  <w:vAlign w:val="center"/>
                </w:tcPr>
                <w:p w14:paraId="1DCBC827">
                  <w:pPr>
                    <w:autoSpaceDE w:val="0"/>
                    <w:autoSpaceDN w:val="0"/>
                    <w:adjustRightInd w:val="0"/>
                    <w:snapToGrid w:val="0"/>
                    <w:jc w:val="center"/>
                    <w:rPr>
                      <w:rFonts w:hint="eastAsia" w:ascii="Times New Roman" w:hAnsi="Times New Roman" w:cs="Times New Roman"/>
                      <w:color w:val="auto"/>
                      <w:kern w:val="0"/>
                      <w:szCs w:val="21"/>
                      <w:highlight w:val="none"/>
                      <w:lang w:eastAsia="zh-CN"/>
                    </w:rPr>
                  </w:pP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kern w:val="0"/>
                      <w:szCs w:val="21"/>
                      <w:highlight w:val="none"/>
                    </w:rPr>
                    <w:t>经</w:t>
                  </w:r>
                  <w:r>
                    <w:rPr>
                      <w:rFonts w:hint="eastAsia" w:ascii="Times New Roman" w:hAnsi="Times New Roman" w:cs="Times New Roman"/>
                      <w:color w:val="auto"/>
                      <w:kern w:val="0"/>
                      <w:szCs w:val="21"/>
                      <w:highlight w:val="none"/>
                      <w:lang w:val="en-US" w:eastAsia="zh-CN"/>
                    </w:rPr>
                    <w:t>三级沉淀处理达标后与经化粪池处理达标后的生活污水合并外排易天线市政污水管网，最终进入寻甸县污水处理厂统一处理</w:t>
                  </w:r>
                  <w:r>
                    <w:rPr>
                      <w:rFonts w:hint="eastAsia" w:ascii="Times New Roman" w:hAnsi="Times New Roman" w:cs="Times New Roman"/>
                      <w:color w:val="auto"/>
                      <w:kern w:val="0"/>
                      <w:szCs w:val="21"/>
                      <w:highlight w:val="none"/>
                      <w:lang w:eastAsia="zh-CN"/>
                    </w:rPr>
                    <w:t>。</w:t>
                  </w:r>
                </w:p>
              </w:tc>
              <w:tc>
                <w:tcPr>
                  <w:tcW w:w="686" w:type="pct"/>
                  <w:vAlign w:val="center"/>
                </w:tcPr>
                <w:p w14:paraId="56154902">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48A3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9" w:type="pct"/>
                  <w:vAlign w:val="center"/>
                </w:tcPr>
                <w:p w14:paraId="1389A1DA">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环境风险</w:t>
                  </w:r>
                </w:p>
              </w:tc>
              <w:tc>
                <w:tcPr>
                  <w:tcW w:w="2180" w:type="pct"/>
                  <w:vAlign w:val="center"/>
                </w:tcPr>
                <w:p w14:paraId="0BBB955E">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有毒有害和易燃易爆危险物质存储量超过临界量</w:t>
                  </w:r>
                  <w:r>
                    <w:rPr>
                      <w:rFonts w:ascii="Times New Roman" w:hAnsi="Times New Roman"/>
                      <w:color w:val="auto"/>
                      <w:kern w:val="0"/>
                      <w:szCs w:val="21"/>
                      <w:highlight w:val="none"/>
                      <w:vertAlign w:val="superscript"/>
                    </w:rPr>
                    <w:t>3</w:t>
                  </w:r>
                  <w:r>
                    <w:rPr>
                      <w:rFonts w:ascii="Times New Roman" w:hAnsi="Times New Roman"/>
                      <w:color w:val="auto"/>
                      <w:kern w:val="0"/>
                      <w:szCs w:val="21"/>
                      <w:highlight w:val="none"/>
                    </w:rPr>
                    <w:t>的建设项目。</w:t>
                  </w:r>
                </w:p>
              </w:tc>
              <w:tc>
                <w:tcPr>
                  <w:tcW w:w="1653" w:type="pct"/>
                  <w:vAlign w:val="center"/>
                </w:tcPr>
                <w:p w14:paraId="16BC0372">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项目涉</w:t>
                  </w:r>
                  <w:r>
                    <w:rPr>
                      <w:rFonts w:hint="eastAsia" w:ascii="Times New Roman" w:hAnsi="Times New Roman"/>
                      <w:color w:val="auto"/>
                      <w:kern w:val="0"/>
                      <w:szCs w:val="21"/>
                      <w:highlight w:val="none"/>
                    </w:rPr>
                    <w:t>及</w:t>
                  </w:r>
                  <w:r>
                    <w:rPr>
                      <w:rFonts w:ascii="Times New Roman" w:hAnsi="Times New Roman"/>
                      <w:color w:val="auto"/>
                      <w:kern w:val="0"/>
                      <w:szCs w:val="21"/>
                      <w:highlight w:val="none"/>
                    </w:rPr>
                    <w:t>有毒有害和易燃易爆危险物质</w:t>
                  </w:r>
                  <w:r>
                    <w:rPr>
                      <w:rFonts w:hint="eastAsia" w:ascii="Times New Roman" w:hAnsi="Times New Roman"/>
                      <w:color w:val="auto"/>
                      <w:kern w:val="0"/>
                      <w:szCs w:val="21"/>
                      <w:highlight w:val="none"/>
                      <w:lang w:val="en-US" w:eastAsia="zh-CN"/>
                    </w:rPr>
                    <w:t>为废机油，其废机油最大储存量为0.1，储存量均</w:t>
                  </w:r>
                  <w:r>
                    <w:rPr>
                      <w:rFonts w:hint="eastAsia" w:ascii="Times New Roman" w:hAnsi="Times New Roman"/>
                      <w:color w:val="auto"/>
                      <w:kern w:val="0"/>
                      <w:szCs w:val="21"/>
                      <w:highlight w:val="none"/>
                    </w:rPr>
                    <w:t>未超过临界量</w:t>
                  </w:r>
                  <w:r>
                    <w:rPr>
                      <w:rFonts w:ascii="Times New Roman" w:hAnsi="Times New Roman"/>
                      <w:color w:val="auto"/>
                      <w:kern w:val="0"/>
                      <w:szCs w:val="21"/>
                      <w:highlight w:val="none"/>
                    </w:rPr>
                    <w:t>。</w:t>
                  </w:r>
                </w:p>
              </w:tc>
              <w:tc>
                <w:tcPr>
                  <w:tcW w:w="686" w:type="pct"/>
                  <w:vAlign w:val="center"/>
                </w:tcPr>
                <w:p w14:paraId="7494BFB0">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55E9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5618B783">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生态</w:t>
                  </w:r>
                </w:p>
              </w:tc>
              <w:tc>
                <w:tcPr>
                  <w:tcW w:w="2180" w:type="pct"/>
                  <w:vAlign w:val="center"/>
                </w:tcPr>
                <w:p w14:paraId="32AE1EE0">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取水口下游500米范围内有重要水生生物的自然产卵场、索饵场、越冬场和洄游通道的新增河道取水的污染类建设项目。</w:t>
                  </w:r>
                </w:p>
              </w:tc>
              <w:tc>
                <w:tcPr>
                  <w:tcW w:w="1653" w:type="pct"/>
                  <w:vAlign w:val="center"/>
                </w:tcPr>
                <w:p w14:paraId="3E5FE0A4">
                  <w:pPr>
                    <w:autoSpaceDE w:val="0"/>
                    <w:autoSpaceDN w:val="0"/>
                    <w:adjustRightInd w:val="0"/>
                    <w:snapToGrid w:val="0"/>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项目不设取水口</w:t>
                  </w:r>
                  <w:r>
                    <w:rPr>
                      <w:rFonts w:ascii="Times New Roman" w:hAnsi="Times New Roman"/>
                      <w:color w:val="auto"/>
                      <w:kern w:val="0"/>
                      <w:szCs w:val="21"/>
                      <w:highlight w:val="none"/>
                    </w:rPr>
                    <w:t>。</w:t>
                  </w:r>
                </w:p>
              </w:tc>
              <w:tc>
                <w:tcPr>
                  <w:tcW w:w="686" w:type="pct"/>
                  <w:vAlign w:val="center"/>
                </w:tcPr>
                <w:p w14:paraId="3DA993B8">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253F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3B66DD62">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海洋</w:t>
                  </w:r>
                </w:p>
              </w:tc>
              <w:tc>
                <w:tcPr>
                  <w:tcW w:w="2180" w:type="pct"/>
                  <w:vAlign w:val="center"/>
                </w:tcPr>
                <w:p w14:paraId="7521FB76">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直接向海排放污染物的海洋工程建设项目。</w:t>
                  </w:r>
                </w:p>
              </w:tc>
              <w:tc>
                <w:tcPr>
                  <w:tcW w:w="1653" w:type="pct"/>
                  <w:vAlign w:val="center"/>
                </w:tcPr>
                <w:p w14:paraId="61BFBE2A">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项目</w:t>
                  </w:r>
                  <w:r>
                    <w:rPr>
                      <w:rFonts w:hint="eastAsia" w:ascii="Times New Roman" w:hAnsi="Times New Roman"/>
                      <w:color w:val="auto"/>
                      <w:kern w:val="0"/>
                      <w:szCs w:val="21"/>
                      <w:highlight w:val="none"/>
                    </w:rPr>
                    <w:t>不属于</w:t>
                  </w:r>
                  <w:r>
                    <w:rPr>
                      <w:rFonts w:ascii="Times New Roman" w:hAnsi="Times New Roman"/>
                      <w:color w:val="auto"/>
                      <w:kern w:val="0"/>
                      <w:szCs w:val="21"/>
                      <w:highlight w:val="none"/>
                    </w:rPr>
                    <w:t>海洋工程建设项目</w:t>
                  </w:r>
                  <w:r>
                    <w:rPr>
                      <w:rFonts w:hint="eastAsia" w:ascii="Times New Roman" w:hAnsi="Times New Roman"/>
                      <w:color w:val="auto"/>
                      <w:kern w:val="0"/>
                      <w:szCs w:val="21"/>
                      <w:highlight w:val="none"/>
                    </w:rPr>
                    <w:t>，</w:t>
                  </w:r>
                  <w:r>
                    <w:rPr>
                      <w:rFonts w:ascii="Times New Roman" w:hAnsi="Times New Roman"/>
                      <w:color w:val="auto"/>
                      <w:kern w:val="0"/>
                      <w:szCs w:val="21"/>
                      <w:highlight w:val="none"/>
                    </w:rPr>
                    <w:t>不向海洋排放污染物。</w:t>
                  </w:r>
                </w:p>
              </w:tc>
              <w:tc>
                <w:tcPr>
                  <w:tcW w:w="686" w:type="pct"/>
                  <w:vAlign w:val="center"/>
                </w:tcPr>
                <w:p w14:paraId="3B7F5B0F">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14:paraId="32FD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47714C99">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注：1.废气中有毒有害污染物指纳入《有毒有害大气污染物名录》的污染物（不包括无排放标准的污染物）。</w:t>
                  </w:r>
                </w:p>
                <w:p w14:paraId="2ADF7BE8">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2.环境空气保护目标指自然保护区、风景名胜区、居住区、文化区和农村地区中人群较集中的区域。</w:t>
                  </w:r>
                </w:p>
                <w:p w14:paraId="3F61F8FE">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3.临界量</w:t>
                  </w:r>
                  <w:r>
                    <w:rPr>
                      <w:rFonts w:hint="eastAsia" w:ascii="Times New Roman" w:hAnsi="Times New Roman"/>
                      <w:color w:val="auto"/>
                      <w:kern w:val="0"/>
                      <w:szCs w:val="21"/>
                      <w:highlight w:val="none"/>
                    </w:rPr>
                    <w:t>及</w:t>
                  </w:r>
                  <w:r>
                    <w:rPr>
                      <w:rFonts w:ascii="Times New Roman" w:hAnsi="Times New Roman"/>
                      <w:color w:val="auto"/>
                      <w:kern w:val="0"/>
                      <w:szCs w:val="21"/>
                      <w:highlight w:val="none"/>
                    </w:rPr>
                    <w:t>其计算方法可参考《建设项目环境风险评价技术导则》（HJ 169）附录B、附录C.。</w:t>
                  </w:r>
                </w:p>
              </w:tc>
            </w:tr>
          </w:tbl>
          <w:p w14:paraId="4C6081DC">
            <w:pPr>
              <w:autoSpaceDE w:val="0"/>
              <w:autoSpaceDN w:val="0"/>
              <w:adjustRightInd w:val="0"/>
              <w:snapToGrid w:val="0"/>
              <w:spacing w:line="360" w:lineRule="auto"/>
              <w:ind w:firstLine="480" w:firstLineChars="200"/>
              <w:jc w:val="both"/>
              <w:rPr>
                <w:rFonts w:ascii="Times New Roman" w:hAnsi="Times New Roman"/>
                <w:color w:val="auto"/>
                <w:sz w:val="24"/>
              </w:rPr>
            </w:pPr>
          </w:p>
          <w:p w14:paraId="5252CBF4">
            <w:pPr>
              <w:autoSpaceDE w:val="0"/>
              <w:autoSpaceDN w:val="0"/>
              <w:adjustRightInd w:val="0"/>
              <w:snapToGrid w:val="0"/>
              <w:spacing w:line="360" w:lineRule="auto"/>
              <w:ind w:firstLine="480" w:firstLineChars="200"/>
              <w:jc w:val="both"/>
              <w:rPr>
                <w:rFonts w:hint="eastAsia" w:ascii="Times New Roman" w:hAnsi="Times New Roman"/>
                <w:color w:val="auto"/>
                <w:sz w:val="24"/>
                <w:lang w:val="en-US" w:eastAsia="zh-CN"/>
              </w:rPr>
            </w:pPr>
            <w:r>
              <w:rPr>
                <w:rFonts w:ascii="Times New Roman" w:hAnsi="Times New Roman"/>
                <w:color w:val="auto"/>
                <w:sz w:val="24"/>
              </w:rPr>
              <w:t>由上表可知，本项目不设置专项评价。</w:t>
            </w:r>
          </w:p>
        </w:tc>
      </w:tr>
      <w:tr w14:paraId="3019B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552" w:type="dxa"/>
            <w:vAlign w:val="center"/>
          </w:tcPr>
          <w:p w14:paraId="61DB5877">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规划情况</w:t>
            </w:r>
          </w:p>
        </w:tc>
        <w:tc>
          <w:tcPr>
            <w:tcW w:w="7318" w:type="dxa"/>
            <w:gridSpan w:val="3"/>
            <w:vAlign w:val="center"/>
          </w:tcPr>
          <w:p w14:paraId="2DAA04B8">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14:paraId="6CB01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552" w:type="dxa"/>
            <w:vAlign w:val="center"/>
          </w:tcPr>
          <w:p w14:paraId="688D6C7B">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规划环境影</w:t>
            </w:r>
          </w:p>
          <w:p w14:paraId="37A50EA8">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评价情况</w:t>
            </w:r>
          </w:p>
        </w:tc>
        <w:tc>
          <w:tcPr>
            <w:tcW w:w="7318" w:type="dxa"/>
            <w:gridSpan w:val="3"/>
            <w:vAlign w:val="center"/>
          </w:tcPr>
          <w:p w14:paraId="4DEC9E3B">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14:paraId="567D4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14:paraId="2D95C0BA">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规划及规划环境影响评价符合性分析</w:t>
            </w:r>
          </w:p>
        </w:tc>
        <w:tc>
          <w:tcPr>
            <w:tcW w:w="7318" w:type="dxa"/>
            <w:gridSpan w:val="3"/>
            <w:vAlign w:val="center"/>
          </w:tcPr>
          <w:p w14:paraId="75E6C2D7">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14:paraId="34110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14:paraId="57271808">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sz w:val="24"/>
              </w:rPr>
              <w:t>其他符合性分析</w:t>
            </w:r>
          </w:p>
        </w:tc>
        <w:tc>
          <w:tcPr>
            <w:tcW w:w="7318" w:type="dxa"/>
            <w:gridSpan w:val="3"/>
            <w:vAlign w:val="center"/>
          </w:tcPr>
          <w:p w14:paraId="1CC090A7">
            <w:pPr>
              <w:autoSpaceDE w:val="0"/>
              <w:autoSpaceDN w:val="0"/>
              <w:adjustRightInd w:val="0"/>
              <w:snapToGrid w:val="0"/>
              <w:spacing w:line="360" w:lineRule="auto"/>
              <w:rPr>
                <w:rFonts w:ascii="Times New Roman" w:hAnsi="Times New Roman"/>
                <w:b/>
                <w:bCs/>
                <w:color w:val="auto"/>
                <w:kern w:val="0"/>
                <w:sz w:val="24"/>
              </w:rPr>
            </w:pPr>
            <w:r>
              <w:rPr>
                <w:rFonts w:ascii="Times New Roman" w:hAnsi="Times New Roman"/>
                <w:b/>
                <w:bCs/>
                <w:color w:val="auto"/>
                <w:kern w:val="0"/>
                <w:sz w:val="24"/>
              </w:rPr>
              <w:t>1、产业政策符合性分析</w:t>
            </w:r>
          </w:p>
          <w:p w14:paraId="7903DDD8">
            <w:pPr>
              <w:autoSpaceDE w:val="0"/>
              <w:autoSpaceDN w:val="0"/>
              <w:adjustRightInd w:val="0"/>
              <w:snapToGrid w:val="0"/>
              <w:spacing w:line="360" w:lineRule="auto"/>
              <w:ind w:firstLine="480" w:firstLineChars="200"/>
              <w:jc w:val="both"/>
              <w:rPr>
                <w:rFonts w:ascii="Times New Roman" w:hAnsi="Times New Roman" w:eastAsia="宋体"/>
                <w:color w:val="auto"/>
                <w:sz w:val="24"/>
                <w:lang w:val="en-US" w:eastAsia="zh-CN"/>
              </w:rPr>
            </w:pPr>
            <w:r>
              <w:rPr>
                <w:rFonts w:ascii="Times New Roman" w:hAnsi="Times New Roman" w:eastAsia="宋体"/>
                <w:color w:val="auto"/>
                <w:sz w:val="24"/>
                <w:lang w:val="en-US" w:eastAsia="zh-CN"/>
              </w:rPr>
              <w:t>本项目为洗染服务</w:t>
            </w:r>
            <w:r>
              <w:rPr>
                <w:rFonts w:ascii="Times New Roman" w:hAnsi="Times New Roman" w:eastAsia="宋体" w:cs="Times New Roman"/>
                <w:color w:val="auto"/>
                <w:sz w:val="24"/>
                <w:lang w:val="en-US" w:eastAsia="zh-CN"/>
              </w:rPr>
              <w:t>业，项目建设</w:t>
            </w:r>
            <w:r>
              <w:rPr>
                <w:rFonts w:hint="eastAsia" w:ascii="Times New Roman" w:hAnsi="Times New Roman" w:eastAsia="宋体" w:cs="Times New Roman"/>
                <w:color w:val="auto"/>
                <w:sz w:val="24"/>
                <w:lang w:val="en-US" w:eastAsia="zh-CN"/>
              </w:rPr>
              <w:t>1</w:t>
            </w:r>
            <w:r>
              <w:rPr>
                <w:rFonts w:ascii="Times New Roman" w:hAnsi="Times New Roman" w:eastAsia="宋体" w:cs="Times New Roman"/>
                <w:color w:val="auto"/>
                <w:sz w:val="24"/>
                <w:lang w:val="en-US" w:eastAsia="zh-CN"/>
              </w:rPr>
              <w:t>台3t/h生物质蒸汽发生器，为企业自建的热力供应工程，根据</w:t>
            </w:r>
            <w:r>
              <w:rPr>
                <w:rFonts w:hint="eastAsia" w:ascii="Times New Roman" w:hAnsi="Times New Roman" w:eastAsia="宋体" w:cs="Times New Roman"/>
                <w:color w:val="auto"/>
                <w:sz w:val="24"/>
                <w:lang w:val="en-US" w:eastAsia="zh-CN"/>
              </w:rPr>
              <w:t>《产业结构调整指导目录(2024年</w:t>
            </w:r>
            <w:r>
              <w:rPr>
                <w:rFonts w:hint="eastAsia" w:ascii="Times New Roman" w:hAnsi="Times New Roman" w:cs="Times New Roman"/>
                <w:color w:val="auto"/>
                <w:sz w:val="24"/>
                <w:lang w:val="en-US" w:eastAsia="zh-CN"/>
              </w:rPr>
              <w:t>版</w:t>
            </w:r>
            <w:r>
              <w:rPr>
                <w:rFonts w:hint="eastAsia" w:ascii="Times New Roman" w:hAnsi="Times New Roman" w:eastAsia="宋体" w:cs="Times New Roman"/>
                <w:color w:val="auto"/>
                <w:sz w:val="24"/>
                <w:lang w:val="en-US" w:eastAsia="zh-CN"/>
              </w:rPr>
              <w:t>)》</w:t>
            </w:r>
            <w:r>
              <w:rPr>
                <w:rFonts w:ascii="Times New Roman" w:hAnsi="Times New Roman" w:eastAsia="宋体" w:cs="Times New Roman"/>
                <w:color w:val="auto"/>
                <w:sz w:val="24"/>
                <w:lang w:val="en-US" w:eastAsia="zh-CN"/>
              </w:rPr>
              <w:t>，本项目不属于其中限制类、淘汰类，属</w:t>
            </w:r>
            <w:r>
              <w:rPr>
                <w:rFonts w:ascii="Times New Roman" w:hAnsi="Times New Roman" w:eastAsia="宋体"/>
                <w:color w:val="auto"/>
                <w:sz w:val="24"/>
                <w:lang w:val="en-US" w:eastAsia="zh-CN"/>
              </w:rPr>
              <w:t>于允许类项目，也不属于《市场准入负面清单（2022）中禁止准入和限制准入类项目》，亦不属于其他法律法规要求淘汰和限制的产业。</w:t>
            </w:r>
          </w:p>
          <w:p w14:paraId="5947490C">
            <w:pPr>
              <w:autoSpaceDE w:val="0"/>
              <w:autoSpaceDN w:val="0"/>
              <w:adjustRightInd w:val="0"/>
              <w:snapToGrid w:val="0"/>
              <w:spacing w:line="360" w:lineRule="auto"/>
              <w:ind w:firstLine="480" w:firstLineChars="200"/>
              <w:jc w:val="both"/>
              <w:rPr>
                <w:rFonts w:ascii="Times New Roman" w:hAnsi="Times New Roman" w:eastAsia="宋体"/>
                <w:color w:val="auto"/>
                <w:sz w:val="24"/>
                <w:lang w:val="en-US" w:eastAsia="zh-CN"/>
              </w:rPr>
            </w:pPr>
            <w:r>
              <w:rPr>
                <w:rFonts w:ascii="Times New Roman" w:hAnsi="Times New Roman" w:eastAsia="宋体"/>
                <w:color w:val="auto"/>
                <w:sz w:val="24"/>
                <w:lang w:val="en-US" w:eastAsia="zh-CN"/>
              </w:rPr>
              <w:t>项目</w:t>
            </w:r>
            <w:r>
              <w:rPr>
                <w:rFonts w:hint="eastAsia" w:ascii="Times New Roman" w:hAnsi="Times New Roman" w:eastAsia="宋体"/>
                <w:color w:val="auto"/>
                <w:sz w:val="24"/>
                <w:lang w:val="en-US" w:eastAsia="zh-CN"/>
              </w:rPr>
              <w:t>已在</w:t>
            </w:r>
            <w:r>
              <w:rPr>
                <w:rFonts w:ascii="Times New Roman" w:hAnsi="Times New Roman" w:eastAsia="宋体"/>
                <w:color w:val="auto"/>
                <w:sz w:val="24"/>
              </w:rPr>
              <w:t>寻甸回族彝族自治县发展改革局</w:t>
            </w:r>
            <w:r>
              <w:rPr>
                <w:rFonts w:hint="eastAsia" w:ascii="Times New Roman" w:hAnsi="Times New Roman" w:eastAsia="宋体"/>
                <w:color w:val="auto"/>
                <w:sz w:val="24"/>
                <w:lang w:val="en-US" w:eastAsia="zh-CN"/>
              </w:rPr>
              <w:t>完成</w:t>
            </w:r>
            <w:r>
              <w:rPr>
                <w:rFonts w:ascii="Times New Roman" w:hAnsi="Times New Roman" w:eastAsia="宋体"/>
                <w:color w:val="auto"/>
                <w:sz w:val="24"/>
                <w:lang w:val="en-US" w:eastAsia="zh-CN"/>
              </w:rPr>
              <w:t>云南省固定资产投资</w:t>
            </w:r>
            <w:r>
              <w:rPr>
                <w:rFonts w:hint="eastAsia" w:ascii="Times New Roman" w:hAnsi="Times New Roman" w:eastAsia="宋体"/>
                <w:color w:val="auto"/>
                <w:sz w:val="24"/>
                <w:lang w:val="en-US" w:eastAsia="zh-CN"/>
              </w:rPr>
              <w:t>项目备案，</w:t>
            </w:r>
            <w:r>
              <w:rPr>
                <w:rFonts w:ascii="Times New Roman" w:hAnsi="Times New Roman" w:eastAsia="宋体"/>
                <w:color w:val="auto"/>
                <w:sz w:val="24"/>
                <w:lang w:val="en-US" w:eastAsia="zh-CN"/>
              </w:rPr>
              <w:t>项目代码：</w:t>
            </w:r>
            <w:r>
              <w:rPr>
                <w:rFonts w:hint="eastAsia" w:ascii="Times New Roman" w:hAnsi="Times New Roman"/>
                <w:color w:val="auto"/>
                <w:spacing w:val="-1"/>
                <w:sz w:val="24"/>
                <w:szCs w:val="24"/>
                <w:lang w:eastAsia="zh-CN"/>
              </w:rPr>
              <w:t>2410-530129-04-01-652150</w:t>
            </w:r>
            <w:r>
              <w:rPr>
                <w:rFonts w:ascii="Times New Roman" w:hAnsi="Times New Roman" w:eastAsia="宋体"/>
                <w:color w:val="auto"/>
                <w:sz w:val="24"/>
                <w:lang w:val="en-US" w:eastAsia="zh-CN"/>
              </w:rPr>
              <w:t>。</w:t>
            </w:r>
          </w:p>
          <w:p w14:paraId="6A457AC5">
            <w:pPr>
              <w:autoSpaceDE w:val="0"/>
              <w:autoSpaceDN w:val="0"/>
              <w:adjustRightInd w:val="0"/>
              <w:snapToGrid w:val="0"/>
              <w:spacing w:line="360" w:lineRule="auto"/>
              <w:ind w:firstLine="480" w:firstLineChars="200"/>
              <w:jc w:val="both"/>
              <w:rPr>
                <w:rFonts w:hint="eastAsia" w:ascii="Times New Roman" w:hAnsi="Times New Roman" w:eastAsia="宋体"/>
                <w:color w:val="auto"/>
                <w:sz w:val="24"/>
                <w:lang w:val="en-US" w:eastAsia="zh-CN"/>
              </w:rPr>
            </w:pPr>
            <w:r>
              <w:rPr>
                <w:rFonts w:ascii="Times New Roman" w:hAnsi="Times New Roman" w:eastAsia="宋体"/>
                <w:color w:val="auto"/>
                <w:sz w:val="24"/>
                <w:lang w:val="en-US" w:eastAsia="zh-CN"/>
              </w:rPr>
              <w:t>综上所述，项目符合国家产业政策。</w:t>
            </w:r>
          </w:p>
          <w:p w14:paraId="05A2488F">
            <w:pPr>
              <w:numPr>
                <w:ilvl w:val="0"/>
                <w:numId w:val="3"/>
              </w:numPr>
              <w:spacing w:line="360" w:lineRule="auto"/>
              <w:ind w:left="0" w:leftChars="0" w:firstLine="0" w:firstLineChars="0"/>
              <w:rPr>
                <w:rFonts w:ascii="Times New Roman" w:hAnsi="Times New Roman"/>
                <w:b/>
                <w:bCs/>
                <w:color w:val="auto"/>
                <w:spacing w:val="-9"/>
                <w:sz w:val="24"/>
                <w:szCs w:val="24"/>
              </w:rPr>
            </w:pPr>
            <w:r>
              <w:rPr>
                <w:rFonts w:hint="eastAsia" w:ascii="Times New Roman" w:hAnsi="Times New Roman"/>
                <w:b/>
                <w:bCs/>
                <w:color w:val="auto"/>
                <w:spacing w:val="-13"/>
                <w:sz w:val="24"/>
                <w:szCs w:val="24"/>
                <w:lang w:val="en-US" w:eastAsia="zh-CN"/>
              </w:rPr>
              <w:t>项目</w:t>
            </w:r>
            <w:r>
              <w:rPr>
                <w:rFonts w:ascii="Times New Roman" w:hAnsi="Times New Roman"/>
                <w:b/>
                <w:bCs/>
                <w:color w:val="auto"/>
                <w:spacing w:val="-13"/>
                <w:sz w:val="24"/>
                <w:szCs w:val="24"/>
              </w:rPr>
              <w:t>与《昆明市生态环境分区管控动态更新方案（</w:t>
            </w:r>
            <w:r>
              <w:rPr>
                <w:rFonts w:hint="eastAsia" w:ascii="Times New Roman" w:hAnsi="Times New Roman"/>
                <w:b/>
                <w:bCs/>
                <w:color w:val="auto"/>
                <w:spacing w:val="-13"/>
                <w:sz w:val="24"/>
                <w:szCs w:val="24"/>
                <w:lang w:val="en-US" w:eastAsia="zh-CN"/>
              </w:rPr>
              <w:t>2023年</w:t>
            </w:r>
            <w:r>
              <w:rPr>
                <w:rFonts w:ascii="Times New Roman" w:hAnsi="Times New Roman"/>
                <w:b/>
                <w:bCs/>
                <w:color w:val="auto"/>
                <w:spacing w:val="-14"/>
                <w:sz w:val="24"/>
                <w:szCs w:val="24"/>
              </w:rPr>
              <w:t>）</w:t>
            </w:r>
            <w:r>
              <w:rPr>
                <w:rFonts w:ascii="Times New Roman" w:hAnsi="Times New Roman"/>
                <w:b/>
                <w:bCs/>
                <w:color w:val="auto"/>
                <w:spacing w:val="-13"/>
                <w:sz w:val="24"/>
                <w:szCs w:val="24"/>
              </w:rPr>
              <w:t>》</w:t>
            </w:r>
            <w:r>
              <w:rPr>
                <w:rFonts w:ascii="Times New Roman" w:hAnsi="Times New Roman"/>
                <w:b/>
                <w:bCs/>
                <w:color w:val="auto"/>
                <w:spacing w:val="-9"/>
                <w:sz w:val="24"/>
                <w:szCs w:val="24"/>
              </w:rPr>
              <w:t>的符合性分析</w:t>
            </w:r>
          </w:p>
          <w:p w14:paraId="7BCFB505">
            <w:pPr>
              <w:pStyle w:val="98"/>
              <w:spacing w:before="48" w:line="360" w:lineRule="auto"/>
              <w:ind w:left="525"/>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项目与昆明市生态环境分区管控动态更新方案总体要求如下：</w:t>
            </w:r>
          </w:p>
          <w:p w14:paraId="406DCED6">
            <w:pPr>
              <w:spacing w:line="360" w:lineRule="auto"/>
              <w:rPr>
                <w:rFonts w:hint="eastAsia" w:ascii="Times New Roman" w:hAnsi="Times New Roman" w:eastAsia="Times New Roman" w:cs="宋体"/>
                <w:b/>
                <w:bCs/>
                <w:snapToGrid w:val="0"/>
                <w:color w:val="auto"/>
                <w:kern w:val="0"/>
                <w:sz w:val="24"/>
                <w:szCs w:val="24"/>
                <w:lang w:val="en-US" w:eastAsia="zh-CN" w:bidi="ar-SA"/>
              </w:rPr>
            </w:pPr>
            <w:r>
              <w:rPr>
                <w:rFonts w:hint="eastAsia" w:ascii="Times New Roman" w:hAnsi="Times New Roman" w:eastAsia="Times New Roman" w:cs="宋体"/>
                <w:b/>
                <w:bCs/>
                <w:snapToGrid w:val="0"/>
                <w:color w:val="auto"/>
                <w:kern w:val="0"/>
                <w:sz w:val="24"/>
                <w:szCs w:val="24"/>
                <w:lang w:val="en-US" w:eastAsia="zh-CN" w:bidi="ar-SA"/>
              </w:rPr>
              <w:t>（1）环境管控单元更新结果</w:t>
            </w:r>
          </w:p>
          <w:p w14:paraId="0221D9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14:paraId="482FB1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本项目位于昆明</w:t>
            </w:r>
            <w:r>
              <w:rPr>
                <w:rFonts w:hint="eastAsia" w:ascii="Times New Roman" w:hAnsi="Times New Roman" w:eastAsia="宋体" w:cs="Times New Roman"/>
                <w:color w:val="auto"/>
                <w:kern w:val="2"/>
                <w:sz w:val="24"/>
                <w:szCs w:val="24"/>
                <w:lang w:val="en-US" w:eastAsia="zh-CN" w:bidi="ar-SA"/>
              </w:rPr>
              <w:t>市寻甸县仁德街道办事处易天线小功山。根</w:t>
            </w:r>
            <w:r>
              <w:rPr>
                <w:rFonts w:ascii="Times New Roman" w:hAnsi="Times New Roman"/>
                <w:color w:val="auto"/>
                <w:sz w:val="24"/>
              </w:rPr>
              <w:t>据昆明市生态环境工程评估中心出具的《关于查询</w:t>
            </w:r>
            <w:r>
              <w:rPr>
                <w:rFonts w:hint="eastAsia" w:ascii="Times New Roman" w:hAnsi="Times New Roman"/>
                <w:color w:val="auto"/>
                <w:spacing w:val="2"/>
                <w:sz w:val="24"/>
                <w:szCs w:val="24"/>
                <w:lang w:eastAsia="zh-CN"/>
              </w:rPr>
              <w:t>澳力洁(昆明)洗涤有限公司布草洗涤项目</w:t>
            </w:r>
            <w:r>
              <w:rPr>
                <w:rFonts w:hint="eastAsia" w:ascii="Times New Roman" w:hAnsi="Times New Roman"/>
                <w:color w:val="auto"/>
                <w:spacing w:val="2"/>
                <w:sz w:val="24"/>
                <w:szCs w:val="24"/>
                <w:lang w:val="en-US" w:eastAsia="zh-CN"/>
              </w:rPr>
              <w:t>涉及昆明市生态环境分区管控情况的复函</w:t>
            </w:r>
            <w:r>
              <w:rPr>
                <w:rFonts w:ascii="Times New Roman" w:hAnsi="Times New Roman"/>
                <w:color w:val="auto"/>
                <w:sz w:val="24"/>
              </w:rPr>
              <w:t>》</w:t>
            </w:r>
            <w:r>
              <w:rPr>
                <w:rFonts w:hint="eastAsia" w:ascii="Times New Roman" w:hAnsi="Times New Roman"/>
                <w:color w:val="auto"/>
                <w:sz w:val="24"/>
              </w:rPr>
              <w:t>（昆环评估复函〔2024]267号</w:t>
            </w:r>
            <w:r>
              <w:rPr>
                <w:rFonts w:hint="eastAsia" w:ascii="Times New Roman" w:hAnsi="Times New Roman"/>
                <w:color w:val="auto"/>
                <w:sz w:val="24"/>
                <w:lang w:eastAsia="zh-CN"/>
              </w:rPr>
              <w:t>）</w:t>
            </w:r>
            <w:r>
              <w:rPr>
                <w:rFonts w:ascii="Times New Roman" w:hAnsi="Times New Roman"/>
                <w:color w:val="auto"/>
                <w:sz w:val="24"/>
              </w:rPr>
              <w:t>内容，项目占地与昆明市生态环境管控单元查询对比，项目占地位于</w:t>
            </w:r>
            <w:r>
              <w:rPr>
                <w:rFonts w:hint="eastAsia" w:ascii="Times New Roman" w:hAnsi="Times New Roman"/>
                <w:color w:val="auto"/>
                <w:sz w:val="24"/>
              </w:rPr>
              <w:t>寻甸回族彝族自治县</w:t>
            </w:r>
            <w:r>
              <w:rPr>
                <w:rFonts w:ascii="Times New Roman" w:hAnsi="Times New Roman"/>
                <w:color w:val="auto"/>
                <w:sz w:val="24"/>
              </w:rPr>
              <w:t>一般管控单元</w:t>
            </w:r>
            <w:r>
              <w:rPr>
                <w:rFonts w:hint="eastAsia" w:ascii="Times New Roman" w:hAnsi="Times New Roman"/>
                <w:color w:val="auto"/>
                <w:sz w:val="24"/>
                <w:lang w:eastAsia="zh-CN"/>
              </w:rPr>
              <w:t>（</w:t>
            </w:r>
            <w:r>
              <w:rPr>
                <w:rFonts w:hint="eastAsia" w:ascii="Times New Roman" w:hAnsi="Times New Roman"/>
                <w:color w:val="auto"/>
                <w:sz w:val="24"/>
                <w:lang w:val="en-US" w:eastAsia="zh-CN"/>
              </w:rPr>
              <w:t>详见附件6</w:t>
            </w:r>
            <w:r>
              <w:rPr>
                <w:rFonts w:hint="eastAsia" w:ascii="Times New Roman" w:hAnsi="Times New Roman"/>
                <w:color w:val="auto"/>
                <w:sz w:val="24"/>
                <w:lang w:eastAsia="zh-CN"/>
              </w:rPr>
              <w:t>）</w:t>
            </w:r>
            <w:r>
              <w:rPr>
                <w:rFonts w:hint="eastAsia" w:ascii="Times New Roman" w:hAnsi="Times New Roman" w:eastAsia="Times New Roman" w:cs="宋体"/>
                <w:b w:val="0"/>
                <w:bCs w:val="0"/>
                <w:snapToGrid w:val="0"/>
                <w:color w:val="auto"/>
                <w:kern w:val="0"/>
                <w:sz w:val="24"/>
                <w:szCs w:val="24"/>
                <w:lang w:val="en-US" w:eastAsia="zh-CN" w:bidi="ar-SA"/>
              </w:rPr>
              <w:t>。</w:t>
            </w:r>
          </w:p>
          <w:p w14:paraId="23E65786">
            <w:pPr>
              <w:keepNext w:val="0"/>
              <w:keepLines w:val="0"/>
              <w:pageBreakBefore w:val="0"/>
              <w:widowControl/>
              <w:kinsoku/>
              <w:wordWrap w:val="0"/>
              <w:overflowPunct/>
              <w:topLinePunct/>
              <w:autoSpaceDE/>
              <w:autoSpaceDN/>
              <w:bidi w:val="0"/>
              <w:adjustRightInd w:val="0"/>
              <w:snapToGrid w:val="0"/>
              <w:spacing w:before="0" w:after="0" w:line="240" w:lineRule="auto"/>
              <w:ind w:left="0" w:right="0" w:firstLine="420" w:firstLineChars="200"/>
              <w:jc w:val="center"/>
              <w:textAlignment w:val="baseline"/>
              <w:rPr>
                <w:rFonts w:hint="eastAsia" w:ascii="Times New Roman" w:hAnsi="Times New Roman" w:eastAsia="Times New Roman" w:cs="宋体"/>
                <w:b/>
                <w:bCs/>
                <w:snapToGrid w:val="0"/>
                <w:color w:val="auto"/>
                <w:kern w:val="0"/>
                <w:sz w:val="21"/>
                <w:szCs w:val="21"/>
                <w:lang w:val="en-US" w:eastAsia="zh-CN" w:bidi="ar-SA"/>
              </w:rPr>
            </w:pPr>
            <w:r>
              <w:rPr>
                <w:rFonts w:hint="eastAsia" w:ascii="Times New Roman" w:hAnsi="Times New Roman" w:eastAsia="Times New Roman" w:cs="宋体"/>
                <w:b/>
                <w:bCs/>
                <w:snapToGrid w:val="0"/>
                <w:color w:val="auto"/>
                <w:kern w:val="0"/>
                <w:sz w:val="21"/>
                <w:szCs w:val="21"/>
                <w:lang w:val="en-US" w:eastAsia="zh-CN" w:bidi="ar-SA"/>
              </w:rPr>
              <w:t xml:space="preserve">表1-2 </w:t>
            </w:r>
            <w:r>
              <w:rPr>
                <w:rFonts w:hint="eastAsia" w:ascii="Times New Roman" w:hAnsi="Times New Roman" w:eastAsiaTheme="minorEastAsia" w:cstheme="minorEastAsia"/>
                <w:b/>
                <w:bCs w:val="0"/>
                <w:color w:val="auto"/>
                <w:kern w:val="2"/>
                <w:sz w:val="21"/>
                <w:szCs w:val="21"/>
                <w:lang w:val="en-US" w:eastAsia="zh-CN" w:bidi="ar-SA"/>
              </w:rPr>
              <w:t>项目与昆明市生态环境管控总体准入要求》的符合性分析</w:t>
            </w:r>
          </w:p>
          <w:tbl>
            <w:tblPr>
              <w:tblStyle w:val="28"/>
              <w:tblW w:w="7200"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268"/>
              <w:gridCol w:w="1876"/>
              <w:gridCol w:w="415"/>
            </w:tblGrid>
            <w:tr w14:paraId="5C47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top"/>
                </w:tcPr>
                <w:p w14:paraId="467364E2">
                  <w:pPr>
                    <w:pStyle w:val="4"/>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b w:val="0"/>
                      <w:bCs w:val="0"/>
                      <w:color w:val="auto"/>
                      <w:kern w:val="0"/>
                      <w:sz w:val="21"/>
                      <w:szCs w:val="21"/>
                      <w:lang w:bidi="ar"/>
                    </w:rPr>
                  </w:pPr>
                  <w:r>
                    <w:rPr>
                      <w:rFonts w:hint="eastAsia" w:ascii="Times New Roman" w:hAnsi="Times New Roman" w:eastAsiaTheme="minorEastAsia" w:cstheme="minorEastAsia"/>
                      <w:color w:val="auto"/>
                      <w:sz w:val="21"/>
                      <w:szCs w:val="21"/>
                    </w:rPr>
                    <w:t>管控领域</w:t>
                  </w:r>
                </w:p>
              </w:tc>
              <w:tc>
                <w:tcPr>
                  <w:tcW w:w="4268" w:type="dxa"/>
                  <w:noWrap w:val="0"/>
                  <w:vAlign w:val="center"/>
                </w:tcPr>
                <w:p w14:paraId="396CA542">
                  <w:pPr>
                    <w:pStyle w:val="4"/>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b w:val="0"/>
                      <w:bCs w:val="0"/>
                      <w:color w:val="auto"/>
                      <w:kern w:val="0"/>
                      <w:sz w:val="21"/>
                      <w:szCs w:val="21"/>
                      <w:lang w:bidi="ar"/>
                    </w:rPr>
                  </w:pPr>
                  <w:r>
                    <w:rPr>
                      <w:rFonts w:hint="eastAsia" w:ascii="Times New Roman" w:hAnsi="Times New Roman" w:eastAsiaTheme="minorEastAsia" w:cstheme="minorEastAsia"/>
                      <w:color w:val="auto"/>
                      <w:sz w:val="21"/>
                      <w:szCs w:val="21"/>
                    </w:rPr>
                    <w:t>管控要求</w:t>
                  </w:r>
                </w:p>
              </w:tc>
              <w:tc>
                <w:tcPr>
                  <w:tcW w:w="1876" w:type="dxa"/>
                  <w:noWrap w:val="0"/>
                  <w:vAlign w:val="center"/>
                </w:tcPr>
                <w:p w14:paraId="15191D0D">
                  <w:pPr>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color w:val="auto"/>
                      <w:sz w:val="21"/>
                      <w:szCs w:val="21"/>
                    </w:rPr>
                  </w:pPr>
                  <w:r>
                    <w:rPr>
                      <w:rFonts w:hint="default" w:ascii="Times New Roman" w:hAnsi="Times New Roman" w:cs="Times New Roman"/>
                      <w:b/>
                      <w:bCs/>
                      <w:color w:val="auto"/>
                      <w:sz w:val="21"/>
                      <w:szCs w:val="21"/>
                      <w:highlight w:val="none"/>
                    </w:rPr>
                    <w:t>项目情况</w:t>
                  </w:r>
                </w:p>
              </w:tc>
              <w:tc>
                <w:tcPr>
                  <w:tcW w:w="415" w:type="dxa"/>
                  <w:noWrap w:val="0"/>
                  <w:vAlign w:val="center"/>
                </w:tcPr>
                <w:p w14:paraId="43A98DDB">
                  <w:pPr>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sz w:val="21"/>
                      <w:szCs w:val="21"/>
                      <w:lang w:eastAsia="zh-CN"/>
                    </w:rPr>
                  </w:pPr>
                  <w:r>
                    <w:rPr>
                      <w:rFonts w:hint="eastAsia" w:ascii="Times New Roman" w:hAnsi="Times New Roman" w:cs="Times New Roman" w:eastAsiaTheme="minorEastAsia"/>
                      <w:b/>
                      <w:bCs/>
                      <w:color w:val="auto"/>
                      <w:sz w:val="21"/>
                      <w:szCs w:val="21"/>
                      <w:highlight w:val="none"/>
                      <w:lang w:val="en-US" w:eastAsia="zh-CN"/>
                    </w:rPr>
                    <w:t>符合性</w:t>
                  </w:r>
                </w:p>
              </w:tc>
            </w:tr>
            <w:tr w14:paraId="7AEC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6" w:hRule="atLeast"/>
              </w:trPr>
              <w:tc>
                <w:tcPr>
                  <w:tcW w:w="641" w:type="dxa"/>
                  <w:noWrap w:val="0"/>
                  <w:vAlign w:val="center"/>
                </w:tcPr>
                <w:p w14:paraId="3DF72032">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空间布局约束</w:t>
                  </w:r>
                </w:p>
              </w:tc>
              <w:tc>
                <w:tcPr>
                  <w:tcW w:w="4268" w:type="dxa"/>
                  <w:noWrap w:val="0"/>
                  <w:vAlign w:val="center"/>
                </w:tcPr>
                <w:p w14:paraId="6647E9D4">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1.根据《昆明市国土空间总体规划（2021—2035年）》进行空间管控。</w:t>
                  </w:r>
                </w:p>
                <w:p w14:paraId="5F158CFA">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2.牛栏江流域内，严格按照《云南省牛栏江保护条例》相关要求对水环境进行分区管控。</w:t>
                  </w:r>
                </w:p>
                <w:p w14:paraId="62DA7705">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3.滇池流域内，严格按照《云南省滇池湖滨生态红线及湖泊生态黄线“两线”划定方案》相关要求进行分区管控。</w:t>
                  </w:r>
                </w:p>
                <w:p w14:paraId="04A1762D">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4.阳宗海流域内，严格按照《云南省阳宗海湖滨生态红线及湖泊生态黄线“两线”划定方案》相关要求进行分区管控。</w:t>
                  </w:r>
                </w:p>
              </w:tc>
              <w:tc>
                <w:tcPr>
                  <w:tcW w:w="1876" w:type="dxa"/>
                  <w:noWrap w:val="0"/>
                  <w:vAlign w:val="center"/>
                </w:tcPr>
                <w:p w14:paraId="045D0C78">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宋体"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1.项目租用寻甸仁德子超养殖场内已建厂房作为项目生产使用，不新增用地。根据寻甸县自然资源局出具的“关于澳力洁(昆明)洗涤有限公司布草洗涤项目是否涉及生态保护红线、城镇开发边界的情况说明”，项目用地范围未与寻甸县生态保护红线重叠，不涉及城镇开发边界。根据</w:t>
                  </w:r>
                  <w:r>
                    <w:rPr>
                      <w:rFonts w:hint="eastAsia" w:ascii="Times New Roman" w:hAnsi="Times New Roman" w:eastAsiaTheme="minorEastAsia" w:cstheme="minorEastAsia"/>
                      <w:color w:val="auto"/>
                      <w:kern w:val="0"/>
                      <w:sz w:val="21"/>
                      <w:szCs w:val="21"/>
                      <w:lang w:bidi="ar"/>
                    </w:rPr>
                    <w:t>昆明市生态环境工程评估中心出具的《关于查询</w:t>
                  </w:r>
                  <w:r>
                    <w:rPr>
                      <w:rFonts w:hint="eastAsia" w:ascii="Times New Roman" w:hAnsi="Times New Roman" w:eastAsiaTheme="minorEastAsia" w:cstheme="minorEastAsia"/>
                      <w:color w:val="auto"/>
                      <w:kern w:val="0"/>
                      <w:sz w:val="21"/>
                      <w:szCs w:val="21"/>
                      <w:lang w:eastAsia="zh-CN" w:bidi="ar"/>
                    </w:rPr>
                    <w:t>澳力洁(昆明)洗涤有限公司布草洗涤项目</w:t>
                  </w:r>
                  <w:r>
                    <w:rPr>
                      <w:rFonts w:hint="eastAsia" w:ascii="Times New Roman" w:hAnsi="Times New Roman" w:eastAsiaTheme="minorEastAsia" w:cstheme="minorEastAsia"/>
                      <w:color w:val="auto"/>
                      <w:kern w:val="0"/>
                      <w:sz w:val="21"/>
                      <w:szCs w:val="21"/>
                      <w:lang w:val="en-US" w:eastAsia="zh-CN" w:bidi="ar"/>
                    </w:rPr>
                    <w:t>涉及昆明市生态环境分区管控情况的复函</w:t>
                  </w:r>
                  <w:r>
                    <w:rPr>
                      <w:rFonts w:hint="eastAsia" w:ascii="Times New Roman" w:hAnsi="Times New Roman" w:eastAsiaTheme="minorEastAsia" w:cstheme="minorEastAsia"/>
                      <w:color w:val="auto"/>
                      <w:kern w:val="0"/>
                      <w:sz w:val="21"/>
                      <w:szCs w:val="21"/>
                      <w:lang w:bidi="ar"/>
                    </w:rPr>
                    <w:t>》（昆环评估复函〔2024]267号</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bidi="ar"/>
                    </w:rPr>
                    <w:t>内容，项目位于寻甸回族彝族自治县一般管控单元</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根据下表1-3分析，项目符合《寻甸县环境管控单元生态环境准入清单》。</w:t>
                  </w:r>
                </w:p>
                <w:p w14:paraId="3708AA20">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2.项目位于寻甸县仁德街道办事处易天线小功山，属于</w:t>
                  </w:r>
                  <w:r>
                    <w:rPr>
                      <w:rFonts w:hint="eastAsia" w:ascii="Times New Roman" w:hAnsi="Times New Roman" w:eastAsiaTheme="minorEastAsia" w:cstheme="minorEastAsia"/>
                      <w:color w:val="auto"/>
                      <w:kern w:val="0"/>
                      <w:sz w:val="21"/>
                      <w:szCs w:val="21"/>
                      <w:lang w:bidi="ar"/>
                    </w:rPr>
                    <w:t>牛栏江流域内</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根据下表1-4、1-5、1-6、1-7分析，项目符合</w:t>
                  </w:r>
                  <w:r>
                    <w:rPr>
                      <w:rFonts w:hint="eastAsia" w:ascii="Times New Roman" w:hAnsi="Times New Roman" w:eastAsiaTheme="minorEastAsia" w:cstheme="minorEastAsia"/>
                      <w:color w:val="auto"/>
                      <w:kern w:val="0"/>
                      <w:sz w:val="21"/>
                      <w:szCs w:val="21"/>
                      <w:lang w:bidi="ar"/>
                    </w:rPr>
                    <w:t>云南省牛栏江保护条例》相关要求对水环境进行分区管控。</w:t>
                  </w:r>
                </w:p>
              </w:tc>
              <w:tc>
                <w:tcPr>
                  <w:tcW w:w="415" w:type="dxa"/>
                  <w:noWrap w:val="0"/>
                  <w:vAlign w:val="center"/>
                </w:tcPr>
                <w:p w14:paraId="0008BED8">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符合</w:t>
                  </w:r>
                </w:p>
              </w:tc>
            </w:tr>
            <w:tr w14:paraId="37C6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14:paraId="4EA94EA7">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污染物排放管控</w:t>
                  </w:r>
                </w:p>
              </w:tc>
              <w:tc>
                <w:tcPr>
                  <w:tcW w:w="4268" w:type="dxa"/>
                  <w:noWrap w:val="0"/>
                  <w:vAlign w:val="top"/>
                </w:tcPr>
                <w:p w14:paraId="77FF5B51">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1.到2025 年，</w:t>
                  </w:r>
                  <w:r>
                    <w:rPr>
                      <w:rFonts w:hint="eastAsia" w:ascii="Times New Roman" w:hAnsi="Times New Roman" w:eastAsiaTheme="minorEastAsia" w:cstheme="minorEastAsia"/>
                      <w:color w:val="auto"/>
                      <w:kern w:val="0"/>
                      <w:sz w:val="21"/>
                      <w:szCs w:val="21"/>
                      <w:lang w:eastAsia="zh-CN" w:bidi="ar"/>
                    </w:rPr>
                    <w:t>昆明市地表水国控断面达到或好于</w:t>
                  </w:r>
                  <w:r>
                    <w:rPr>
                      <w:rFonts w:hint="eastAsia" w:ascii="Times New Roman" w:hAnsi="Times New Roman" w:eastAsiaTheme="minorEastAsia" w:cstheme="minorEastAsia"/>
                      <w:color w:val="auto"/>
                      <w:kern w:val="0"/>
                      <w:sz w:val="21"/>
                      <w:szCs w:val="21"/>
                      <w:lang w:bidi="ar"/>
                    </w:rPr>
                    <w:t>Ⅲ类</w:t>
                  </w:r>
                  <w:r>
                    <w:rPr>
                      <w:rFonts w:hint="eastAsia" w:ascii="Times New Roman" w:hAnsi="Times New Roman" w:eastAsiaTheme="minorEastAsia" w:cstheme="minorEastAsia"/>
                      <w:color w:val="auto"/>
                      <w:kern w:val="0"/>
                      <w:sz w:val="21"/>
                      <w:szCs w:val="21"/>
                      <w:lang w:eastAsia="zh-CN" w:bidi="ar"/>
                    </w:rPr>
                    <w:t>水体比例应达到</w:t>
                  </w:r>
                  <w:r>
                    <w:rPr>
                      <w:rFonts w:hint="eastAsia" w:ascii="Times New Roman" w:hAnsi="Times New Roman" w:eastAsiaTheme="minorEastAsia" w:cstheme="minorEastAsia"/>
                      <w:color w:val="auto"/>
                      <w:kern w:val="0"/>
                      <w:sz w:val="21"/>
                      <w:szCs w:val="21"/>
                      <w:lang w:bidi="ar"/>
                    </w:rPr>
                    <w:t>81.5%，45个省控断面达到或</w:t>
                  </w:r>
                  <w:r>
                    <w:rPr>
                      <w:rFonts w:hint="eastAsia" w:ascii="Times New Roman" w:hAnsi="Times New Roman" w:eastAsiaTheme="minorEastAsia" w:cstheme="minorEastAsia"/>
                      <w:color w:val="auto"/>
                      <w:kern w:val="0"/>
                      <w:sz w:val="21"/>
                      <w:szCs w:val="21"/>
                      <w:lang w:eastAsia="zh-CN" w:bidi="ar"/>
                    </w:rPr>
                    <w:t>好</w:t>
                  </w:r>
                  <w:r>
                    <w:rPr>
                      <w:rFonts w:hint="eastAsia" w:ascii="Times New Roman" w:hAnsi="Times New Roman" w:eastAsiaTheme="minorEastAsia" w:cstheme="minorEastAsia"/>
                      <w:color w:val="auto"/>
                      <w:kern w:val="0"/>
                      <w:sz w:val="21"/>
                      <w:szCs w:val="21"/>
                      <w:lang w:bidi="ar"/>
                    </w:rPr>
                    <w:t>于Ⅲ类</w:t>
                  </w:r>
                  <w:r>
                    <w:rPr>
                      <w:rFonts w:hint="eastAsia" w:ascii="Times New Roman" w:hAnsi="Times New Roman" w:eastAsiaTheme="minorEastAsia" w:cstheme="minorEastAsia"/>
                      <w:color w:val="auto"/>
                      <w:kern w:val="0"/>
                      <w:sz w:val="21"/>
                      <w:szCs w:val="21"/>
                      <w:lang w:eastAsia="zh-CN" w:bidi="ar"/>
                    </w:rPr>
                    <w:t>水体</w:t>
                  </w:r>
                  <w:r>
                    <w:rPr>
                      <w:rFonts w:hint="eastAsia" w:ascii="Times New Roman" w:hAnsi="Times New Roman" w:eastAsiaTheme="minorEastAsia" w:cstheme="minorEastAsia"/>
                      <w:color w:val="auto"/>
                      <w:kern w:val="0"/>
                      <w:sz w:val="21"/>
                      <w:szCs w:val="21"/>
                      <w:lang w:bidi="ar"/>
                    </w:rPr>
                    <w:t>比例</w:t>
                  </w:r>
                  <w:r>
                    <w:rPr>
                      <w:rFonts w:hint="eastAsia" w:ascii="Times New Roman" w:hAnsi="Times New Roman" w:eastAsiaTheme="minorEastAsia" w:cstheme="minorEastAsia"/>
                      <w:color w:val="auto"/>
                      <w:kern w:val="0"/>
                      <w:sz w:val="21"/>
                      <w:szCs w:val="21"/>
                      <w:lang w:eastAsia="zh-CN" w:bidi="ar"/>
                    </w:rPr>
                    <w:t>应</w:t>
                  </w:r>
                  <w:r>
                    <w:rPr>
                      <w:rFonts w:hint="eastAsia" w:ascii="Times New Roman" w:hAnsi="Times New Roman" w:eastAsiaTheme="minorEastAsia" w:cstheme="minorEastAsia"/>
                      <w:color w:val="auto"/>
                      <w:kern w:val="0"/>
                      <w:sz w:val="21"/>
                      <w:szCs w:val="21"/>
                      <w:lang w:bidi="ar"/>
                    </w:rPr>
                    <w:t>达到80%，劣</w:t>
                  </w:r>
                  <w:r>
                    <w:rPr>
                      <w:rFonts w:hint="eastAsia" w:ascii="Times New Roman" w:hAnsi="Times New Roman" w:eastAsiaTheme="minorEastAsia" w:cstheme="minorEastAsia"/>
                      <w:color w:val="auto"/>
                      <w:kern w:val="0"/>
                      <w:sz w:val="21"/>
                      <w:szCs w:val="21"/>
                      <w:lang w:bidi="ar"/>
                    </w:rPr>
                    <w:fldChar w:fldCharType="begin"/>
                  </w:r>
                  <w:r>
                    <w:rPr>
                      <w:rFonts w:hint="eastAsia" w:ascii="Times New Roman" w:hAnsi="Times New Roman" w:eastAsiaTheme="minorEastAsia" w:cstheme="minorEastAsia"/>
                      <w:color w:val="auto"/>
                      <w:kern w:val="0"/>
                      <w:sz w:val="21"/>
                      <w:szCs w:val="21"/>
                      <w:lang w:bidi="ar"/>
                    </w:rPr>
                    <w:instrText xml:space="preserve"> = 5 \* ROMAN </w:instrText>
                  </w:r>
                  <w:r>
                    <w:rPr>
                      <w:rFonts w:hint="eastAsia" w:ascii="Times New Roman" w:hAnsi="Times New Roman" w:eastAsiaTheme="minorEastAsia" w:cstheme="minorEastAsia"/>
                      <w:color w:val="auto"/>
                      <w:kern w:val="0"/>
                      <w:sz w:val="21"/>
                      <w:szCs w:val="21"/>
                      <w:lang w:bidi="ar"/>
                    </w:rPr>
                    <w:fldChar w:fldCharType="separate"/>
                  </w:r>
                  <w:r>
                    <w:rPr>
                      <w:rFonts w:hint="eastAsia" w:ascii="Times New Roman" w:hAnsi="Times New Roman" w:eastAsiaTheme="minorEastAsia" w:cstheme="minorEastAsia"/>
                      <w:color w:val="auto"/>
                      <w:kern w:val="0"/>
                      <w:sz w:val="21"/>
                      <w:szCs w:val="21"/>
                      <w:lang w:bidi="ar"/>
                    </w:rPr>
                    <w:t>V</w:t>
                  </w:r>
                  <w:r>
                    <w:rPr>
                      <w:rFonts w:hint="eastAsia" w:ascii="Times New Roman" w:hAnsi="Times New Roman" w:eastAsiaTheme="minorEastAsia" w:cstheme="minorEastAsia"/>
                      <w:color w:val="auto"/>
                      <w:kern w:val="0"/>
                      <w:sz w:val="21"/>
                      <w:szCs w:val="21"/>
                      <w:lang w:bidi="ar"/>
                    </w:rPr>
                    <w:fldChar w:fldCharType="end"/>
                  </w:r>
                  <w:r>
                    <w:rPr>
                      <w:rFonts w:hint="eastAsia" w:ascii="Times New Roman" w:hAnsi="Times New Roman" w:eastAsiaTheme="minorEastAsia" w:cstheme="minorEastAsia"/>
                      <w:color w:val="auto"/>
                      <w:kern w:val="0"/>
                      <w:sz w:val="21"/>
                      <w:szCs w:val="21"/>
                      <w:lang w:bidi="ar"/>
                    </w:rPr>
                    <w:t>类水体全面消除，县级</w:t>
                  </w:r>
                  <w:r>
                    <w:rPr>
                      <w:rFonts w:hint="eastAsia" w:ascii="Times New Roman" w:hAnsi="Times New Roman" w:eastAsiaTheme="minorEastAsia" w:cstheme="minorEastAsia"/>
                      <w:color w:val="auto"/>
                      <w:kern w:val="0"/>
                      <w:sz w:val="21"/>
                      <w:szCs w:val="21"/>
                      <w:lang w:eastAsia="zh-CN" w:bidi="ar"/>
                    </w:rPr>
                    <w:t>及</w:t>
                  </w:r>
                  <w:r>
                    <w:rPr>
                      <w:rFonts w:hint="eastAsia" w:ascii="Times New Roman" w:hAnsi="Times New Roman" w:eastAsiaTheme="minorEastAsia" w:cstheme="minorEastAsia"/>
                      <w:color w:val="auto"/>
                      <w:kern w:val="0"/>
                      <w:sz w:val="21"/>
                      <w:szCs w:val="21"/>
                      <w:lang w:bidi="ar"/>
                    </w:rPr>
                    <w:t>以上集中式饮用水水源</w:t>
                  </w:r>
                  <w:r>
                    <w:rPr>
                      <w:rFonts w:hint="eastAsia" w:ascii="Times New Roman" w:hAnsi="Times New Roman" w:eastAsiaTheme="minorEastAsia" w:cstheme="minorEastAsia"/>
                      <w:color w:val="auto"/>
                      <w:kern w:val="0"/>
                      <w:sz w:val="21"/>
                      <w:szCs w:val="21"/>
                      <w:lang w:eastAsia="zh-CN" w:bidi="ar"/>
                    </w:rPr>
                    <w:t>地水质达标率</w:t>
                  </w:r>
                  <w:r>
                    <w:rPr>
                      <w:rFonts w:hint="eastAsia" w:ascii="Times New Roman" w:hAnsi="Times New Roman" w:eastAsiaTheme="minorEastAsia" w:cstheme="minorEastAsia"/>
                      <w:color w:val="auto"/>
                      <w:kern w:val="0"/>
                      <w:sz w:val="21"/>
                      <w:szCs w:val="21"/>
                      <w:lang w:bidi="ar"/>
                    </w:rPr>
                    <w:t>100%；滇池草海水质稳定达到IV类、外海水质达到IV类（COD≤40mg/L），阳宗海水质稳定达到Ⅲ类水标准，县级及以上集中式饮用水水源地水质达标率100%。化学需氧量重点工程减排量10243t，氨氮重点工程减排量1009t。</w:t>
                  </w:r>
                </w:p>
                <w:p w14:paraId="3CED46C4">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2.到2025年，昆明市环境空气质量优良天数比例应达到99.1%，城市细颗粒物（PM2.5）平均浓度应达到24μg/m³；氮氧化物重点工程减排量2237t，挥发性有机物重点工程减排量1684t。</w:t>
                  </w:r>
                </w:p>
                <w:p w14:paraId="7F060468">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5C36818C">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4.建立完善源头、过程和末端的VOCs全过程控制体系，实施VOCs排放总量控制。</w:t>
                  </w:r>
                </w:p>
                <w:p w14:paraId="4BDE1FCC">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5.推进农业废弃物综合利用，2025年底前综合利用率达90%以上。</w:t>
                  </w:r>
                </w:p>
                <w:p w14:paraId="5324D81D">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10A40CD0">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38066225">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6A46AD5E">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9.推动昆明市磷石膏综合利用率2023年达到52%，2024年达到64%，2025年确保达到73%，力争达到75%；到2025年底，中心城区污泥无害化处置率达到95%以上，县城污泥无害化处置率达到90%以上。</w:t>
                  </w:r>
                </w:p>
              </w:tc>
              <w:tc>
                <w:tcPr>
                  <w:tcW w:w="1876" w:type="dxa"/>
                  <w:noWrap w:val="0"/>
                  <w:vAlign w:val="center"/>
                </w:tcPr>
                <w:p w14:paraId="2C7E24C2">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cs="Times New Roman"/>
                      <w:color w:val="auto"/>
                      <w:kern w:val="0"/>
                      <w:szCs w:val="21"/>
                      <w:highlight w:val="none"/>
                      <w:lang w:val="en-US" w:eastAsia="zh-CN"/>
                    </w:rPr>
                  </w:pPr>
                  <w:r>
                    <w:rPr>
                      <w:rFonts w:hint="eastAsia" w:ascii="Times New Roman" w:hAnsi="Times New Roman" w:eastAsiaTheme="minorEastAsia" w:cstheme="minorEastAsia"/>
                      <w:color w:val="auto"/>
                      <w:kern w:val="0"/>
                      <w:sz w:val="21"/>
                      <w:szCs w:val="21"/>
                      <w:lang w:val="en-US" w:eastAsia="zh-CN" w:bidi="ar"/>
                    </w:rPr>
                    <w:t>1.</w:t>
                  </w: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生产废水经三级沉淀处理达标后与经化粪池处理达标后的生活污水合并外排易天线市政污水管网，最终进入寻甸县污水处理厂统一处理</w:t>
                  </w:r>
                  <w:r>
                    <w:rPr>
                      <w:rFonts w:hint="eastAsia" w:ascii="Times New Roman" w:hAnsi="Times New Roman" w:cs="Times New Roman"/>
                      <w:color w:val="auto"/>
                      <w:kern w:val="0"/>
                      <w:szCs w:val="21"/>
                      <w:highlight w:val="none"/>
                      <w:lang w:eastAsia="zh-CN"/>
                    </w:rPr>
                    <w:t>。</w:t>
                  </w:r>
                  <w:r>
                    <w:rPr>
                      <w:rFonts w:hint="eastAsia" w:ascii="Times New Roman" w:hAnsi="Times New Roman" w:eastAsiaTheme="minorEastAsia" w:cstheme="minorEastAsia"/>
                      <w:color w:val="auto"/>
                      <w:kern w:val="0"/>
                      <w:sz w:val="21"/>
                      <w:szCs w:val="21"/>
                      <w:lang w:eastAsia="zh-CN" w:bidi="ar"/>
                    </w:rPr>
                    <w:t>水污染物总量控制指标</w:t>
                  </w:r>
                  <w:r>
                    <w:rPr>
                      <w:rFonts w:hint="eastAsia" w:ascii="Times New Roman" w:hAnsi="Times New Roman" w:eastAsiaTheme="minorEastAsia" w:cstheme="minorEastAsia"/>
                      <w:color w:val="auto"/>
                      <w:kern w:val="0"/>
                      <w:sz w:val="21"/>
                      <w:szCs w:val="21"/>
                      <w:lang w:val="en-US" w:eastAsia="zh-CN" w:bidi="ar"/>
                    </w:rPr>
                    <w:t>可</w:t>
                  </w:r>
                  <w:r>
                    <w:rPr>
                      <w:rFonts w:hint="eastAsia" w:ascii="Times New Roman" w:hAnsi="Times New Roman" w:eastAsiaTheme="minorEastAsia" w:cstheme="minorEastAsia"/>
                      <w:color w:val="auto"/>
                      <w:kern w:val="0"/>
                      <w:sz w:val="21"/>
                      <w:szCs w:val="21"/>
                      <w:lang w:eastAsia="zh-CN" w:bidi="ar"/>
                    </w:rPr>
                    <w:t>纳入</w:t>
                  </w:r>
                  <w:r>
                    <w:rPr>
                      <w:rFonts w:hint="eastAsia" w:ascii="Times New Roman" w:hAnsi="Times New Roman" w:cs="Times New Roman"/>
                      <w:color w:val="auto"/>
                      <w:kern w:val="0"/>
                      <w:szCs w:val="21"/>
                      <w:highlight w:val="none"/>
                      <w:lang w:val="en-US" w:eastAsia="zh-CN"/>
                    </w:rPr>
                    <w:t>寻甸县污水处理厂</w:t>
                  </w:r>
                  <w:r>
                    <w:rPr>
                      <w:rFonts w:hint="eastAsia" w:ascii="Times New Roman" w:hAnsi="Times New Roman" w:eastAsiaTheme="minorEastAsia" w:cstheme="minorEastAsia"/>
                      <w:color w:val="auto"/>
                      <w:kern w:val="0"/>
                      <w:sz w:val="21"/>
                      <w:szCs w:val="21"/>
                      <w:lang w:val="en-US" w:eastAsia="zh-CN" w:bidi="ar"/>
                    </w:rPr>
                    <w:t>总量控制指</w:t>
                  </w:r>
                  <w:r>
                    <w:rPr>
                      <w:rFonts w:hint="eastAsia" w:ascii="Times New Roman" w:hAnsi="Times New Roman" w:cs="Times New Roman"/>
                      <w:color w:val="auto"/>
                      <w:kern w:val="0"/>
                      <w:szCs w:val="21"/>
                      <w:highlight w:val="none"/>
                      <w:lang w:val="en-US" w:eastAsia="zh-CN"/>
                    </w:rPr>
                    <w:t>标。</w:t>
                  </w:r>
                </w:p>
                <w:p w14:paraId="57B61681">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kern w:val="0"/>
                      <w:szCs w:val="21"/>
                      <w:highlight w:val="none"/>
                      <w:lang w:val="en-US" w:eastAsia="zh-CN"/>
                    </w:rPr>
                    <w:t>2.根据下文分析，</w:t>
                  </w:r>
                  <w:r>
                    <w:rPr>
                      <w:rFonts w:hint="default" w:ascii="Times New Roman" w:hAnsi="Times New Roman" w:cs="Times New Roman"/>
                      <w:color w:val="auto"/>
                      <w:kern w:val="0"/>
                      <w:szCs w:val="21"/>
                      <w:highlight w:val="none"/>
                      <w:lang w:val="en-US" w:eastAsia="zh-CN"/>
                    </w:rPr>
                    <w:t>项目所在区域的环境空气质量能达到《环境空气质量标准》（GB3095-2012）二级标准，</w:t>
                  </w:r>
                  <w:r>
                    <w:rPr>
                      <w:rFonts w:hint="eastAsia" w:ascii="Times New Roman" w:hAnsi="Times New Roman" w:cs="Times New Roman"/>
                      <w:color w:val="auto"/>
                      <w:kern w:val="0"/>
                      <w:szCs w:val="21"/>
                      <w:highlight w:val="none"/>
                      <w:lang w:val="en-US" w:eastAsia="zh-CN"/>
                    </w:rPr>
                    <w:t>生物质锅炉燃烧废气经</w:t>
                  </w:r>
                  <w:r>
                    <w:rPr>
                      <w:rFonts w:hint="eastAsia" w:ascii="Times New Roman" w:hAnsi="Times New Roman" w:eastAsia="宋体" w:cs="Times New Roman"/>
                      <w:color w:val="auto"/>
                      <w:szCs w:val="21"/>
                      <w:lang w:val="en-US" w:eastAsia="zh-CN"/>
                    </w:rPr>
                    <w:t>布袋除尘器</w:t>
                  </w:r>
                  <w:r>
                    <w:rPr>
                      <w:rFonts w:hint="eastAsia" w:ascii="Times New Roman" w:hAnsi="Times New Roman" w:cs="Times New Roman"/>
                      <w:color w:val="auto"/>
                      <w:szCs w:val="21"/>
                      <w:lang w:val="en-US" w:eastAsia="zh-CN"/>
                    </w:rPr>
                    <w:t>处理后，各污染物可达标排放，对区域大气环境影响较小。</w:t>
                  </w:r>
                </w:p>
                <w:p w14:paraId="3B37BAAA">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3.</w:t>
                  </w:r>
                  <w:r>
                    <w:rPr>
                      <w:rFonts w:hint="eastAsia" w:ascii="Times New Roman" w:hAnsi="Times New Roman" w:eastAsiaTheme="minorEastAsia" w:cstheme="minorEastAsia"/>
                      <w:color w:val="auto"/>
                      <w:kern w:val="0"/>
                      <w:sz w:val="21"/>
                      <w:szCs w:val="21"/>
                      <w:lang w:bidi="ar"/>
                    </w:rPr>
                    <w:t>项目为</w:t>
                  </w:r>
                  <w:r>
                    <w:rPr>
                      <w:rFonts w:hint="eastAsia" w:ascii="Times New Roman" w:hAnsi="Times New Roman" w:eastAsiaTheme="minorEastAsia" w:cstheme="minorEastAsia"/>
                      <w:color w:val="auto"/>
                      <w:kern w:val="0"/>
                      <w:sz w:val="21"/>
                      <w:szCs w:val="21"/>
                      <w:lang w:val="en-US" w:eastAsia="zh-CN" w:bidi="ar"/>
                    </w:rPr>
                    <w:t>洗染服务行业</w:t>
                  </w:r>
                  <w:r>
                    <w:rPr>
                      <w:rFonts w:hint="eastAsia" w:ascii="Times New Roman" w:hAnsi="Times New Roman" w:eastAsiaTheme="minorEastAsia" w:cstheme="minorEastAsia"/>
                      <w:color w:val="auto"/>
                      <w:kern w:val="0"/>
                      <w:sz w:val="21"/>
                      <w:szCs w:val="21"/>
                      <w:lang w:bidi="ar"/>
                    </w:rPr>
                    <w:t>，不属于钢铁、磷石膏行业，不涉及超低排放改造</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不涉及</w:t>
                  </w:r>
                  <w:r>
                    <w:rPr>
                      <w:rFonts w:hint="eastAsia" w:ascii="Times New Roman" w:hAnsi="Times New Roman" w:eastAsiaTheme="minorEastAsia" w:cstheme="minorEastAsia"/>
                      <w:color w:val="auto"/>
                      <w:kern w:val="0"/>
                      <w:sz w:val="21"/>
                      <w:szCs w:val="21"/>
                      <w:lang w:bidi="ar"/>
                    </w:rPr>
                    <w:t>农业废弃物综合利用</w:t>
                  </w:r>
                  <w:r>
                    <w:rPr>
                      <w:rFonts w:hint="eastAsia" w:ascii="Times New Roman" w:hAnsi="Times New Roman" w:eastAsiaTheme="minorEastAsia" w:cstheme="minorEastAsia"/>
                      <w:color w:val="auto"/>
                      <w:kern w:val="0"/>
                      <w:sz w:val="21"/>
                      <w:szCs w:val="21"/>
                      <w:lang w:val="en-US" w:eastAsia="zh-CN" w:bidi="ar"/>
                    </w:rPr>
                    <w:t>等。</w:t>
                  </w:r>
                </w:p>
              </w:tc>
              <w:tc>
                <w:tcPr>
                  <w:tcW w:w="415" w:type="dxa"/>
                  <w:noWrap w:val="0"/>
                  <w:vAlign w:val="center"/>
                </w:tcPr>
                <w:p w14:paraId="280907CB">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r w14:paraId="19AE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14:paraId="0B931B2D">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环境风险防控</w:t>
                  </w:r>
                </w:p>
              </w:tc>
              <w:tc>
                <w:tcPr>
                  <w:tcW w:w="4268" w:type="dxa"/>
                  <w:noWrap w:val="0"/>
                  <w:vAlign w:val="top"/>
                </w:tcPr>
                <w:p w14:paraId="20A5099F">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加大放射性物质、电磁辐射、危险废物、医疗废物、尾矿库渣场、危险化学品、重金属等风险要素防控力度，全过程监控风险要素产生、使用、储存、运输、处理处置，实现智能化预警与报警，有效降低各类环境风险。</w:t>
                  </w:r>
                </w:p>
                <w:p w14:paraId="4920A3B8">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2.针对持久性有机污染物、内分泌干扰物等新污染物，制定实施新污染物治理行动方案，开展新污染物筛查与评估，建立清单，开展化学物质生产使用信息调查，实施调查监测和环境风险评估。</w:t>
                  </w:r>
                </w:p>
                <w:p w14:paraId="44A756BC">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4F3A3155">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4.开展“千吨万人”农村饮用水水源保护区环境风险排查整治，加强农村水源水质监测。</w:t>
                  </w:r>
                </w:p>
                <w:p w14:paraId="5D9C4620">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62F4110E">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6.严格新（改、扩）建尾矿库环境准入，健全尾矿库环境监管清单，加强尾矿库分类分级环境监管。严格落实《云南省尾矿库专项整治工作实施方案》。</w:t>
                  </w:r>
                </w:p>
              </w:tc>
              <w:tc>
                <w:tcPr>
                  <w:tcW w:w="1876" w:type="dxa"/>
                  <w:noWrap w:val="0"/>
                  <w:vAlign w:val="center"/>
                </w:tcPr>
                <w:p w14:paraId="2A14D271">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项目不涉及</w:t>
                  </w:r>
                  <w:r>
                    <w:rPr>
                      <w:rFonts w:hint="eastAsia" w:ascii="Times New Roman" w:hAnsi="Times New Roman" w:eastAsiaTheme="minorEastAsia" w:cstheme="minorEastAsia"/>
                      <w:color w:val="auto"/>
                      <w:sz w:val="21"/>
                      <w:szCs w:val="21"/>
                    </w:rPr>
                    <w:t>放射性物质、电磁辐射、危险废物、医疗废物、尾矿库渣场、危险化学品、重金属等风险</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根据下文分析，项目环境风险物质为</w:t>
                  </w:r>
                  <w:r>
                    <w:rPr>
                      <w:rFonts w:hint="default" w:ascii="Times New Roman" w:hAnsi="Times New Roman" w:eastAsiaTheme="minorEastAsia" w:cstheme="minorEastAsia"/>
                      <w:color w:val="auto"/>
                      <w:sz w:val="21"/>
                      <w:szCs w:val="21"/>
                      <w:lang w:val="en-US" w:eastAsia="zh-CN"/>
                    </w:rPr>
                    <w:t>废机油</w:t>
                  </w:r>
                  <w:r>
                    <w:rPr>
                      <w:rFonts w:hint="eastAsia" w:ascii="Times New Roman" w:hAnsi="Times New Roman" w:eastAsiaTheme="minorEastAsia" w:cstheme="minorEastAsia"/>
                      <w:color w:val="auto"/>
                      <w:sz w:val="21"/>
                      <w:szCs w:val="21"/>
                      <w:lang w:val="en-US" w:eastAsia="zh-CN"/>
                    </w:rPr>
                    <w:t>，</w:t>
                  </w:r>
                  <w:r>
                    <w:rPr>
                      <w:rFonts w:hint="default" w:ascii="Times New Roman" w:hAnsi="Times New Roman" w:eastAsiaTheme="minorEastAsia" w:cstheme="minorEastAsia"/>
                      <w:color w:val="auto"/>
                      <w:sz w:val="21"/>
                      <w:szCs w:val="21"/>
                      <w:lang w:eastAsia="zh-CN"/>
                    </w:rPr>
                    <w:t>项目环境风险潜势为I</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rPr>
                    <w:t>本次评价要求建设单位尽快编制完成突发环境事件应急预案，并完成备案</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后期</w:t>
                  </w:r>
                  <w:r>
                    <w:rPr>
                      <w:rFonts w:hint="eastAsia" w:ascii="Times New Roman" w:hAnsi="Times New Roman" w:eastAsiaTheme="minorEastAsia" w:cstheme="minorEastAsia"/>
                      <w:color w:val="auto"/>
                      <w:sz w:val="21"/>
                      <w:szCs w:val="21"/>
                    </w:rPr>
                    <w:t>定期组织开展预案演练</w:t>
                  </w:r>
                  <w:r>
                    <w:rPr>
                      <w:rFonts w:hint="eastAsia" w:ascii="Times New Roman" w:hAnsi="Times New Roman" w:eastAsiaTheme="minorEastAsia" w:cstheme="minorEastAsia"/>
                      <w:color w:val="auto"/>
                      <w:sz w:val="21"/>
                      <w:szCs w:val="21"/>
                      <w:lang w:eastAsia="zh-CN"/>
                    </w:rPr>
                    <w:t>。</w:t>
                  </w:r>
                </w:p>
              </w:tc>
              <w:tc>
                <w:tcPr>
                  <w:tcW w:w="415" w:type="dxa"/>
                  <w:noWrap w:val="0"/>
                  <w:vAlign w:val="center"/>
                </w:tcPr>
                <w:p w14:paraId="6B5A0637">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r w14:paraId="3E1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14:paraId="1FFA1A35">
                  <w:pPr>
                    <w:pStyle w:val="5"/>
                    <w:pageBreakBefore w:val="0"/>
                    <w:kinsoku/>
                    <w:wordWrap/>
                    <w:overflowPunct/>
                    <w:topLinePunct w:val="0"/>
                    <w:autoSpaceDE/>
                    <w:autoSpaceDN/>
                    <w:bidi w:val="0"/>
                    <w:spacing w:before="0" w:after="0" w:line="240" w:lineRule="auto"/>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资源开发利用效率</w:t>
                  </w:r>
                </w:p>
              </w:tc>
              <w:tc>
                <w:tcPr>
                  <w:tcW w:w="4268" w:type="dxa"/>
                  <w:noWrap w:val="0"/>
                  <w:vAlign w:val="top"/>
                </w:tcPr>
                <w:p w14:paraId="4D2BB787">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1.到2025年，基本建成与经济社会高质量发展和生态文明建设要求相适应、与由全面建成小康社会向基本实现现代化迈进起步期相协同的水安全保障体系。</w:t>
                  </w:r>
                </w:p>
                <w:p w14:paraId="7B70C7AF">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2.节水型生产和生活方式初步建立，用水效率和效益显著提高，全社会节水意识明显增强，新时代节水型社会基本建成。全市用水总量控制在35.48亿m3以内，万元GDP用水量较2020年下降10%，万元工业增加值用水量较2020年下降10%，农田灌溉水有效利用系数提高到0.55以上。</w:t>
                  </w:r>
                </w:p>
                <w:p w14:paraId="26D0E3CC">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3.万元工业增加值用水量≤30（立方米/万元）。</w:t>
                  </w:r>
                </w:p>
                <w:p w14:paraId="1F3CDE0A">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4.2025年底前，全市单位地区生产总值能源消耗较2020年下降14%，能源消费总量得到合理控制。</w:t>
                  </w:r>
                </w:p>
                <w:p w14:paraId="2ACFB6A9">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5.单位GDP能源消耗累计下降23.6%，不低于省级下达目标。</w:t>
                  </w:r>
                </w:p>
                <w:p w14:paraId="04A41831">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6.对照国家有关高耗能行业重点领域能效标杆水平，实施钢铁、有色金属、冶炼等17个高耗能行业节能降碳改造升级，加快提升重点行业、企业能效水平。</w:t>
                  </w:r>
                </w:p>
                <w:p w14:paraId="4C0AA274">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7.加强节能监察和探索用能预算管理，实施电机、变压器等重点用能设备能效提升三年行动，推广先进节能技术。</w:t>
                  </w:r>
                </w:p>
                <w:p w14:paraId="7FB66FDA">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8.到2025年，钢铁行业全面完成超低排放改造。</w:t>
                  </w:r>
                </w:p>
                <w:p w14:paraId="6C2688B8">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9.加快推进有色、化工、印染、烟草等行业清洁生产和工业废水资源化利用。</w:t>
                  </w:r>
                </w:p>
                <w:p w14:paraId="7B9D0175">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10.到2025年，全市新建大型及以上数据中心绿色低碳等级达到4A以上，电源使用效率（PUE）达到1.3以下，逐步组织电源使用效率超过1.5的数据中心进行节能降碳改造。</w:t>
                  </w:r>
                </w:p>
                <w:p w14:paraId="3BD233CC">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11.“十四五”期间，全市规模以上工业单位增加值能耗下降14.5%，万元工业增加值用水量下降12%。</w:t>
                  </w:r>
                </w:p>
                <w:p w14:paraId="288052E3">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12.到2025年，通过实施节能降碳提升工程，钢铁、电解铝、水泥、平板玻璃、炼油、乙烯、合成氨、电石等重点行业产能和数据中心达到能效标杆水平的比例超过30%。</w:t>
                  </w:r>
                </w:p>
                <w:p w14:paraId="620DAC70">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13.公共机构单位建筑面积碳排放量比2020年下降7%。</w:t>
                  </w:r>
                </w:p>
                <w:p w14:paraId="1E43C76D">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14.非化石能源消费占一次能源消费比重达到40%以上，完成省级下达目标。</w:t>
                  </w:r>
                </w:p>
                <w:p w14:paraId="242F333E">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15.单位GDP二氧化碳排放累计下降23%，不低于省级下达目标。</w:t>
                  </w:r>
                </w:p>
                <w:p w14:paraId="238DDB48">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16.严把新上项目的碳排放关，严格环境影响评价审批，加强固定资产投资项目节能审查，推动新建“两高一低”项目能效水平应提尽提。</w:t>
                  </w:r>
                </w:p>
                <w:p w14:paraId="28878634">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2156C333">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18.加快淘汰落后和低端低效产能退出。</w:t>
                  </w:r>
                </w:p>
                <w:p w14:paraId="47100367">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19.指导金融机构加强“两高一低”项目贷前审核。</w:t>
                  </w:r>
                </w:p>
              </w:tc>
              <w:tc>
                <w:tcPr>
                  <w:tcW w:w="1876" w:type="dxa"/>
                  <w:noWrap w:val="0"/>
                  <w:vAlign w:val="center"/>
                </w:tcPr>
                <w:p w14:paraId="64238C65">
                  <w:pPr>
                    <w:pageBreakBefore w:val="0"/>
                    <w:kinsoku/>
                    <w:wordWrap/>
                    <w:overflowPunct/>
                    <w:topLinePunct w:val="0"/>
                    <w:autoSpaceDE/>
                    <w:autoSpaceDN/>
                    <w:bidi w:val="0"/>
                    <w:spacing w:line="240" w:lineRule="auto"/>
                    <w:jc w:val="center"/>
                    <w:rPr>
                      <w:rFonts w:hint="eastAsia" w:ascii="Times New Roman" w:hAnsi="Times New Roman" w:eastAsia="宋体" w:cstheme="minorEastAsia"/>
                      <w:color w:val="auto"/>
                      <w:sz w:val="21"/>
                      <w:szCs w:val="21"/>
                      <w:lang w:eastAsia="zh-CN"/>
                    </w:rPr>
                  </w:pPr>
                  <w:r>
                    <w:rPr>
                      <w:rFonts w:hint="eastAsia" w:ascii="Times New Roman" w:hAnsi="Times New Roman" w:eastAsiaTheme="minorEastAsia" w:cstheme="minorEastAsia"/>
                      <w:color w:val="auto"/>
                      <w:sz w:val="21"/>
                      <w:szCs w:val="21"/>
                    </w:rPr>
                    <w:t>项目为</w:t>
                  </w:r>
                  <w:r>
                    <w:rPr>
                      <w:rFonts w:hint="eastAsia" w:ascii="Times New Roman" w:hAnsi="Times New Roman" w:eastAsiaTheme="minorEastAsia" w:cstheme="minorEastAsia"/>
                      <w:color w:val="auto"/>
                      <w:sz w:val="21"/>
                      <w:szCs w:val="21"/>
                      <w:lang w:val="en-US" w:eastAsia="zh-CN"/>
                    </w:rPr>
                    <w:t>洗染服务行业，不属于“两高一低”项目，</w:t>
                  </w: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kern w:val="0"/>
                      <w:szCs w:val="21"/>
                      <w:highlight w:val="none"/>
                    </w:rPr>
                    <w:t>经</w:t>
                  </w:r>
                  <w:r>
                    <w:rPr>
                      <w:rFonts w:hint="eastAsia" w:ascii="Times New Roman" w:hAnsi="Times New Roman" w:cs="Times New Roman"/>
                      <w:color w:val="auto"/>
                      <w:kern w:val="0"/>
                      <w:szCs w:val="21"/>
                      <w:highlight w:val="none"/>
                      <w:lang w:val="en-US" w:eastAsia="zh-CN"/>
                    </w:rPr>
                    <w:t>三级沉淀处理达标后与经化粪池处理达标后的生活污水合并外排易天线市政污水管网，最终进入寻甸县污水处理厂统一处理</w:t>
                  </w:r>
                  <w:r>
                    <w:rPr>
                      <w:rFonts w:hint="eastAsia" w:ascii="Times New Roman" w:hAnsi="Times New Roman" w:eastAsiaTheme="minorEastAsia" w:cstheme="minorEastAsia"/>
                      <w:color w:val="auto"/>
                      <w:sz w:val="21"/>
                      <w:szCs w:val="21"/>
                      <w:lang w:val="en-US" w:eastAsia="zh-CN"/>
                    </w:rPr>
                    <w:t>，且用水量较少；</w:t>
                  </w:r>
                  <w:r>
                    <w:rPr>
                      <w:rFonts w:hint="eastAsia" w:ascii="Times New Roman" w:hAnsi="Times New Roman" w:eastAsiaTheme="minorEastAsia" w:cstheme="minorEastAsia"/>
                      <w:color w:val="auto"/>
                      <w:sz w:val="21"/>
                      <w:szCs w:val="21"/>
                    </w:rPr>
                    <w:t>生产过程中</w:t>
                  </w:r>
                  <w:r>
                    <w:rPr>
                      <w:rFonts w:hint="eastAsia" w:ascii="Times New Roman" w:hAnsi="Times New Roman" w:eastAsiaTheme="minorEastAsia" w:cstheme="minorEastAsia"/>
                      <w:color w:val="auto"/>
                      <w:sz w:val="21"/>
                      <w:szCs w:val="21"/>
                      <w:lang w:val="en-US" w:eastAsia="zh-CN"/>
                    </w:rPr>
                    <w:t>使用能源为</w:t>
                  </w:r>
                  <w:r>
                    <w:rPr>
                      <w:rFonts w:hint="eastAsia" w:ascii="Times New Roman" w:hAnsi="Times New Roman" w:eastAsiaTheme="minorEastAsia" w:cstheme="minorEastAsia"/>
                      <w:color w:val="auto"/>
                      <w:sz w:val="21"/>
                      <w:szCs w:val="21"/>
                    </w:rPr>
                    <w:t>电能</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生物质燃料</w:t>
                  </w:r>
                  <w:r>
                    <w:rPr>
                      <w:rFonts w:hint="eastAsia" w:ascii="Times New Roman" w:hAnsi="Times New Roman" w:eastAsiaTheme="minorEastAsia" w:cstheme="minorEastAsia"/>
                      <w:color w:val="auto"/>
                      <w:sz w:val="21"/>
                      <w:szCs w:val="21"/>
                    </w:rPr>
                    <w:t>，且能耗不高</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项目属于《产业结构调整指导目录(2024年版)》目录中的允许类项</w:t>
                  </w:r>
                  <w:r>
                    <w:rPr>
                      <w:rFonts w:hint="eastAsia" w:ascii="Times New Roman" w:hAnsi="Times New Roman" w:eastAsiaTheme="minorEastAsia" w:cstheme="minorEastAsia"/>
                      <w:color w:val="auto"/>
                      <w:sz w:val="21"/>
                      <w:szCs w:val="21"/>
                    </w:rPr>
                    <w:t>目，符合国家产业政策</w:t>
                  </w:r>
                  <w:r>
                    <w:rPr>
                      <w:rFonts w:hint="eastAsia" w:ascii="Times New Roman" w:hAnsi="Times New Roman" w:eastAsiaTheme="minorEastAsia" w:cstheme="minorEastAsia"/>
                      <w:color w:val="auto"/>
                      <w:sz w:val="21"/>
                      <w:szCs w:val="21"/>
                      <w:lang w:eastAsia="zh-CN"/>
                    </w:rPr>
                    <w:t>。</w:t>
                  </w:r>
                </w:p>
              </w:tc>
              <w:tc>
                <w:tcPr>
                  <w:tcW w:w="415" w:type="dxa"/>
                  <w:noWrap w:val="0"/>
                  <w:vAlign w:val="center"/>
                </w:tcPr>
                <w:p w14:paraId="32E1076C">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bl>
          <w:p w14:paraId="782D8427">
            <w:pPr>
              <w:keepNext w:val="0"/>
              <w:keepLines w:val="0"/>
              <w:pageBreakBefore w:val="0"/>
              <w:widowControl/>
              <w:kinsoku/>
              <w:wordWrap w:val="0"/>
              <w:overflowPunct/>
              <w:topLinePunct/>
              <w:autoSpaceDE/>
              <w:autoSpaceDN/>
              <w:bidi w:val="0"/>
              <w:adjustRightInd w:val="0"/>
              <w:snapToGrid w:val="0"/>
              <w:spacing w:before="0" w:after="0" w:line="240" w:lineRule="auto"/>
              <w:ind w:right="0"/>
              <w:jc w:val="both"/>
              <w:textAlignment w:val="baseline"/>
              <w:rPr>
                <w:rFonts w:hint="eastAsia" w:ascii="Times New Roman" w:hAnsi="Times New Roman" w:eastAsia="Times New Roman" w:cs="宋体"/>
                <w:b/>
                <w:bCs/>
                <w:snapToGrid w:val="0"/>
                <w:color w:val="auto"/>
                <w:kern w:val="0"/>
                <w:sz w:val="21"/>
                <w:szCs w:val="21"/>
                <w:lang w:val="en-US" w:eastAsia="zh-CN" w:bidi="ar-SA"/>
              </w:rPr>
            </w:pPr>
          </w:p>
          <w:p w14:paraId="4C9E8B76">
            <w:pPr>
              <w:spacing w:line="360" w:lineRule="auto"/>
              <w:ind w:firstLine="480" w:firstLineChars="200"/>
              <w:rPr>
                <w:rFonts w:hint="eastAsia" w:ascii="Times New Roman" w:hAnsi="Times New Roman" w:eastAsia="Times New Roman" w:cs="宋体"/>
                <w:b/>
                <w:bCs/>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综上所述，项目符合《昆明市生态环境管控总体准入要求》中相关要求。</w:t>
            </w:r>
          </w:p>
          <w:p w14:paraId="03BF4DF8">
            <w:pPr>
              <w:pStyle w:val="98"/>
              <w:spacing w:before="49" w:line="352" w:lineRule="auto"/>
              <w:ind w:right="11" w:firstLine="484" w:firstLineChars="200"/>
              <w:jc w:val="both"/>
              <w:rPr>
                <w:rFonts w:hint="eastAsia" w:ascii="Times New Roman" w:hAnsi="Times New Roman" w:eastAsia="宋体" w:cs="宋体"/>
                <w:color w:val="auto"/>
                <w:spacing w:val="1"/>
                <w:sz w:val="24"/>
                <w:szCs w:val="24"/>
                <w:lang w:val="en-US" w:eastAsia="zh-CN"/>
              </w:rPr>
            </w:pPr>
            <w:r>
              <w:rPr>
                <w:rFonts w:hint="eastAsia" w:ascii="Times New Roman" w:hAnsi="Times New Roman" w:eastAsia="宋体" w:cs="宋体"/>
                <w:color w:val="auto"/>
                <w:spacing w:val="1"/>
                <w:sz w:val="24"/>
                <w:szCs w:val="24"/>
                <w:lang w:val="en-US" w:eastAsia="zh-CN"/>
              </w:rPr>
              <w:t>根据《</w:t>
            </w:r>
            <w:r>
              <w:rPr>
                <w:rFonts w:hint="eastAsia" w:ascii="Times New Roman" w:hAnsi="Times New Roman" w:cs="宋体"/>
                <w:color w:val="auto"/>
                <w:spacing w:val="1"/>
                <w:sz w:val="24"/>
                <w:szCs w:val="24"/>
                <w:lang w:val="en-US" w:eastAsia="zh-CN"/>
              </w:rPr>
              <w:t>寻甸</w:t>
            </w:r>
            <w:r>
              <w:rPr>
                <w:rFonts w:hint="eastAsia" w:ascii="Times New Roman" w:hAnsi="Times New Roman" w:eastAsia="宋体" w:cs="宋体"/>
                <w:color w:val="auto"/>
                <w:spacing w:val="1"/>
                <w:sz w:val="24"/>
                <w:szCs w:val="24"/>
                <w:lang w:val="en-US" w:eastAsia="zh-CN"/>
              </w:rPr>
              <w:t>县环境管控单元生态环境准入清单》，项目符合性分析如下。</w:t>
            </w:r>
          </w:p>
          <w:p w14:paraId="6AE125EE">
            <w:pPr>
              <w:pStyle w:val="54"/>
              <w:keepNext w:val="0"/>
              <w:keepLines w:val="0"/>
              <w:pageBreakBefore w:val="0"/>
              <w:widowControl/>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color w:val="auto"/>
                <w:sz w:val="21"/>
                <w:szCs w:val="21"/>
              </w:rPr>
            </w:pPr>
            <w:r>
              <w:rPr>
                <w:rFonts w:ascii="Times New Roman" w:hAnsi="Times New Roman"/>
                <w:color w:val="auto"/>
                <w:sz w:val="21"/>
                <w:szCs w:val="21"/>
              </w:rPr>
              <w:t>表</w:t>
            </w:r>
            <w:r>
              <w:rPr>
                <w:rFonts w:hint="eastAsia" w:ascii="Times New Roman" w:hAnsi="Times New Roman" w:cs="Times New Roman"/>
                <w:color w:val="auto"/>
                <w:sz w:val="21"/>
                <w:szCs w:val="21"/>
                <w:lang w:val="en-US" w:eastAsia="zh-CN"/>
              </w:rPr>
              <w:t xml:space="preserve">1-3 </w:t>
            </w:r>
            <w:r>
              <w:rPr>
                <w:rFonts w:ascii="Times New Roman" w:hAnsi="Times New Roman"/>
                <w:color w:val="auto"/>
                <w:sz w:val="21"/>
                <w:szCs w:val="21"/>
              </w:rPr>
              <w:t>项目与</w:t>
            </w:r>
            <w:r>
              <w:rPr>
                <w:rFonts w:hint="eastAsia" w:ascii="Times New Roman" w:hAnsi="Times New Roman"/>
                <w:color w:val="auto"/>
                <w:sz w:val="21"/>
                <w:szCs w:val="21"/>
                <w:lang w:val="en-US" w:eastAsia="zh-CN"/>
              </w:rPr>
              <w:t>寻甸县</w:t>
            </w:r>
            <w:r>
              <w:rPr>
                <w:rFonts w:ascii="Times New Roman" w:hAnsi="Times New Roman"/>
                <w:color w:val="auto"/>
                <w:sz w:val="21"/>
                <w:szCs w:val="21"/>
              </w:rPr>
              <w:t>生态准入清单符合性分析</w:t>
            </w:r>
          </w:p>
          <w:tbl>
            <w:tblPr>
              <w:tblStyle w:val="28"/>
              <w:tblW w:w="7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31"/>
              <w:gridCol w:w="423"/>
              <w:gridCol w:w="2663"/>
              <w:gridCol w:w="2714"/>
              <w:gridCol w:w="512"/>
            </w:tblGrid>
            <w:tr w14:paraId="5FD6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noWrap w:val="0"/>
                  <w:vAlign w:val="center"/>
                </w:tcPr>
                <w:p w14:paraId="0B025EA4">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单元</w:t>
                  </w:r>
                </w:p>
                <w:p w14:paraId="37A1A723">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300" w:type="pct"/>
                  <w:noWrap w:val="0"/>
                  <w:vAlign w:val="center"/>
                </w:tcPr>
                <w:p w14:paraId="2CAD4A29">
                  <w:pPr>
                    <w:keepNext w:val="0"/>
                    <w:keepLines w:val="0"/>
                    <w:pageBreakBefore w:val="0"/>
                    <w:kinsoku/>
                    <w:wordWrap/>
                    <w:overflowPunct/>
                    <w:topLinePunct w:val="0"/>
                    <w:autoSpaceDE/>
                    <w:autoSpaceDN/>
                    <w:bidi w:val="0"/>
                    <w:snapToGrid w:val="0"/>
                    <w:spacing w:line="240" w:lineRule="auto"/>
                    <w:ind w:left="0" w:leftChars="0" w:firstLine="0" w:firstLineChars="0"/>
                    <w:jc w:val="both"/>
                    <w:rPr>
                      <w:rStyle w:val="83"/>
                      <w:rFonts w:hint="default" w:ascii="Times New Roman" w:hAnsi="Times New Roman" w:cs="Times New Roman"/>
                      <w:b/>
                      <w:bCs/>
                      <w:color w:val="auto"/>
                      <w:kern w:val="0"/>
                      <w:sz w:val="21"/>
                      <w:szCs w:val="21"/>
                      <w:highlight w:val="none"/>
                    </w:rPr>
                  </w:pPr>
                  <w:r>
                    <w:rPr>
                      <w:rStyle w:val="83"/>
                      <w:rFonts w:hint="default" w:ascii="Times New Roman" w:hAnsi="Times New Roman" w:cs="Times New Roman"/>
                      <w:b/>
                      <w:bCs/>
                      <w:color w:val="auto"/>
                      <w:kern w:val="0"/>
                      <w:sz w:val="21"/>
                      <w:szCs w:val="21"/>
                      <w:highlight w:val="none"/>
                    </w:rPr>
                    <w:t>单元</w:t>
                  </w:r>
                </w:p>
                <w:p w14:paraId="52477425">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Style w:val="83"/>
                      <w:rFonts w:hint="default" w:ascii="Times New Roman" w:hAnsi="Times New Roman" w:cs="Times New Roman"/>
                      <w:b/>
                      <w:bCs/>
                      <w:color w:val="auto"/>
                      <w:sz w:val="21"/>
                      <w:szCs w:val="21"/>
                      <w:highlight w:val="none"/>
                    </w:rPr>
                    <w:t>分类</w:t>
                  </w:r>
                </w:p>
              </w:tc>
              <w:tc>
                <w:tcPr>
                  <w:tcW w:w="2152" w:type="pct"/>
                  <w:gridSpan w:val="2"/>
                  <w:noWrap w:val="0"/>
                  <w:vAlign w:val="center"/>
                </w:tcPr>
                <w:p w14:paraId="094FB59A">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管控要求</w:t>
                  </w:r>
                </w:p>
              </w:tc>
              <w:tc>
                <w:tcPr>
                  <w:tcW w:w="1893" w:type="pct"/>
                  <w:noWrap w:val="0"/>
                  <w:vAlign w:val="center"/>
                </w:tcPr>
                <w:p w14:paraId="13EEBDCA">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357" w:type="pct"/>
                  <w:noWrap w:val="0"/>
                  <w:vAlign w:val="center"/>
                </w:tcPr>
                <w:p w14:paraId="2B132BA9">
                  <w:pPr>
                    <w:pStyle w:val="8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6422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restart"/>
                  <w:noWrap w:val="0"/>
                  <w:vAlign w:val="center"/>
                </w:tcPr>
                <w:p w14:paraId="31119B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寻甸回族彝族自治县一般管控单元</w:t>
                  </w:r>
                </w:p>
              </w:tc>
              <w:tc>
                <w:tcPr>
                  <w:tcW w:w="300" w:type="pct"/>
                  <w:vMerge w:val="restart"/>
                  <w:noWrap w:val="0"/>
                  <w:vAlign w:val="center"/>
                </w:tcPr>
                <w:p w14:paraId="5EC374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一般</w:t>
                  </w:r>
                  <w:r>
                    <w:rPr>
                      <w:rFonts w:hint="default" w:ascii="Times New Roman" w:hAnsi="Times New Roman" w:cs="Times New Roman"/>
                      <w:color w:val="auto"/>
                      <w:sz w:val="21"/>
                      <w:szCs w:val="21"/>
                      <w:highlight w:val="none"/>
                    </w:rPr>
                    <w:t>管控单元</w:t>
                  </w:r>
                </w:p>
              </w:tc>
              <w:tc>
                <w:tcPr>
                  <w:tcW w:w="295" w:type="pct"/>
                  <w:noWrap w:val="0"/>
                  <w:vAlign w:val="center"/>
                </w:tcPr>
                <w:p w14:paraId="1743A9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w:t>
                  </w:r>
                </w:p>
                <w:p w14:paraId="1412D5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约束</w:t>
                  </w:r>
                </w:p>
              </w:tc>
              <w:tc>
                <w:tcPr>
                  <w:tcW w:w="2663" w:type="dxa"/>
                  <w:noWrap w:val="0"/>
                  <w:vAlign w:val="center"/>
                </w:tcPr>
                <w:p w14:paraId="315FE7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禁止在林地、河湖管理范围内新建、改建、扩建房地产开发项目。</w:t>
                  </w:r>
                </w:p>
                <w:p w14:paraId="01835E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禁止围湖造田和侵占江河滩地。</w:t>
                  </w:r>
                </w:p>
                <w:p w14:paraId="49D3B0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禁止企业向滩涂、沼泽、荒地等未利用地非法排污、倾倒有毒有害物质。</w:t>
                  </w:r>
                </w:p>
              </w:tc>
              <w:tc>
                <w:tcPr>
                  <w:tcW w:w="1893" w:type="pct"/>
                  <w:noWrap w:val="0"/>
                  <w:vAlign w:val="center"/>
                </w:tcPr>
                <w:p w14:paraId="321A9F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建设</w:t>
                  </w:r>
                  <w:r>
                    <w:rPr>
                      <w:rFonts w:hint="default" w:ascii="Times New Roman" w:hAnsi="Times New Roman" w:eastAsia="宋体" w:cs="Times New Roman"/>
                      <w:color w:val="auto"/>
                      <w:sz w:val="21"/>
                      <w:szCs w:val="21"/>
                      <w:highlight w:val="none"/>
                      <w:lang w:val="en-US" w:eastAsia="zh-CN"/>
                    </w:rPr>
                    <w:t>不</w:t>
                  </w:r>
                  <w:r>
                    <w:rPr>
                      <w:rFonts w:hint="default" w:ascii="Times New Roman" w:hAnsi="Times New Roman" w:cs="Times New Roman"/>
                      <w:color w:val="auto"/>
                      <w:sz w:val="21"/>
                      <w:szCs w:val="21"/>
                      <w:highlight w:val="none"/>
                    </w:rPr>
                    <w:t>在林地、河湖管理范围内新建、改建、扩建房地产开发项目。</w:t>
                  </w:r>
                  <w:r>
                    <w:rPr>
                      <w:rFonts w:hint="eastAsia" w:ascii="Times New Roman" w:hAnsi="Times New Roman" w:cs="Times New Roman"/>
                      <w:color w:val="auto"/>
                      <w:sz w:val="21"/>
                      <w:szCs w:val="21"/>
                      <w:highlight w:val="none"/>
                      <w:lang w:val="en-US" w:eastAsia="zh-CN"/>
                    </w:rPr>
                    <w:t>项目不涉及围</w:t>
                  </w:r>
                  <w:r>
                    <w:rPr>
                      <w:rFonts w:hint="default" w:ascii="Times New Roman" w:hAnsi="Times New Roman" w:cs="Times New Roman"/>
                      <w:color w:val="auto"/>
                      <w:sz w:val="21"/>
                      <w:szCs w:val="21"/>
                      <w:highlight w:val="none"/>
                    </w:rPr>
                    <w:t>湖造田和侵占江河滩地</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项目内设有</w:t>
                  </w:r>
                  <w:r>
                    <w:rPr>
                      <w:rFonts w:hint="eastAsia" w:ascii="Times New Roman" w:hAnsi="Times New Roman" w:cs="Times New Roman"/>
                      <w:color w:val="auto"/>
                      <w:sz w:val="21"/>
                      <w:szCs w:val="21"/>
                      <w:highlight w:val="none"/>
                      <w:lang w:val="en-US" w:eastAsia="zh-CN"/>
                    </w:rPr>
                    <w:t>固废</w:t>
                  </w:r>
                  <w:r>
                    <w:rPr>
                      <w:rFonts w:hint="default" w:ascii="Times New Roman" w:hAnsi="Times New Roman" w:cs="Times New Roman"/>
                      <w:color w:val="auto"/>
                      <w:sz w:val="21"/>
                      <w:szCs w:val="21"/>
                      <w:highlight w:val="none"/>
                      <w:lang w:val="en-US" w:eastAsia="zh-CN"/>
                    </w:rPr>
                    <w:t>收集设施，可保证固废合理收集处置</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本</w:t>
                  </w:r>
                  <w:r>
                    <w:rPr>
                      <w:rFonts w:hint="eastAsia"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生产废水</w:t>
                  </w:r>
                  <w:r>
                    <w:rPr>
                      <w:rFonts w:hint="eastAsia" w:ascii="Times New Roman" w:hAnsi="Times New Roman" w:cs="Times New Roman"/>
                      <w:color w:val="auto"/>
                      <w:sz w:val="21"/>
                      <w:szCs w:val="21"/>
                      <w:highlight w:val="none"/>
                    </w:rPr>
                    <w:t>经</w:t>
                  </w:r>
                  <w:r>
                    <w:rPr>
                      <w:rFonts w:hint="eastAsia" w:ascii="Times New Roman" w:hAnsi="Times New Roman" w:cs="Times New Roman"/>
                      <w:color w:val="auto"/>
                      <w:sz w:val="21"/>
                      <w:szCs w:val="21"/>
                      <w:highlight w:val="none"/>
                      <w:lang w:val="en-US" w:eastAsia="zh-CN"/>
                    </w:rPr>
                    <w:t>三级沉淀处理达标后与经化粪池处理达标后的生</w:t>
                  </w:r>
                  <w:r>
                    <w:rPr>
                      <w:rFonts w:hint="eastAsia" w:ascii="Times New Roman" w:hAnsi="Times New Roman" w:cs="Times New Roman"/>
                      <w:color w:val="auto"/>
                      <w:kern w:val="0"/>
                      <w:szCs w:val="21"/>
                      <w:highlight w:val="none"/>
                      <w:lang w:val="en-US" w:eastAsia="zh-CN"/>
                    </w:rPr>
                    <w:t>活污水合并外排易天线市政污水管网，</w:t>
                  </w:r>
                  <w:r>
                    <w:rPr>
                      <w:rFonts w:hint="eastAsia" w:ascii="Times New Roman" w:hAnsi="Times New Roman" w:cs="Times New Roman"/>
                      <w:color w:val="auto"/>
                      <w:sz w:val="21"/>
                      <w:szCs w:val="21"/>
                      <w:highlight w:val="none"/>
                      <w:lang w:val="en-US" w:eastAsia="zh-CN"/>
                    </w:rPr>
                    <w:t>最终进入寻甸县污水处理厂统一处理，</w:t>
                  </w:r>
                  <w:r>
                    <w:rPr>
                      <w:rFonts w:hint="default" w:ascii="Times New Roman" w:hAnsi="Times New Roman" w:cs="Times New Roman"/>
                      <w:color w:val="auto"/>
                      <w:sz w:val="21"/>
                      <w:szCs w:val="21"/>
                      <w:highlight w:val="none"/>
                      <w:lang w:val="en-US" w:eastAsia="zh-CN"/>
                    </w:rPr>
                    <w:t>不向</w:t>
                  </w:r>
                  <w:r>
                    <w:rPr>
                      <w:rFonts w:hint="default" w:ascii="Times New Roman" w:hAnsi="Times New Roman" w:cs="Times New Roman"/>
                      <w:color w:val="auto"/>
                      <w:sz w:val="21"/>
                      <w:szCs w:val="21"/>
                      <w:highlight w:val="none"/>
                    </w:rPr>
                    <w:t>滩涂、沼泽</w:t>
                  </w:r>
                  <w:r>
                    <w:rPr>
                      <w:rFonts w:hint="eastAsia" w:ascii="Times New Roman" w:hAnsi="Times New Roman" w:cs="Times New Roman"/>
                      <w:color w:val="auto"/>
                      <w:sz w:val="21"/>
                      <w:szCs w:val="21"/>
                      <w:highlight w:val="none"/>
                      <w:lang w:val="en-US" w:eastAsia="zh-CN"/>
                    </w:rPr>
                    <w:t>荒地等</w:t>
                  </w:r>
                  <w:r>
                    <w:rPr>
                      <w:rFonts w:hint="default" w:ascii="Times New Roman" w:hAnsi="Times New Roman" w:cs="Times New Roman"/>
                      <w:color w:val="auto"/>
                      <w:sz w:val="21"/>
                      <w:szCs w:val="21"/>
                      <w:highlight w:val="none"/>
                    </w:rPr>
                    <w:t>未利用地非法排污、倾倒有毒有害物质</w:t>
                  </w:r>
                  <w:r>
                    <w:rPr>
                      <w:rFonts w:hint="default" w:ascii="Times New Roman" w:hAnsi="Times New Roman" w:cs="Times New Roman"/>
                      <w:color w:val="auto"/>
                      <w:sz w:val="21"/>
                      <w:szCs w:val="21"/>
                      <w:highlight w:val="none"/>
                      <w:lang w:val="en-US" w:eastAsia="zh-CN"/>
                    </w:rPr>
                    <w:t>；</w:t>
                  </w:r>
                </w:p>
              </w:tc>
              <w:tc>
                <w:tcPr>
                  <w:tcW w:w="357" w:type="pct"/>
                  <w:noWrap w:val="0"/>
                  <w:vAlign w:val="center"/>
                </w:tcPr>
                <w:p w14:paraId="5381E8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33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continue"/>
                  <w:noWrap w:val="0"/>
                  <w:vAlign w:val="center"/>
                </w:tcPr>
                <w:p w14:paraId="129D40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lang w:val="en-US" w:eastAsia="zh-CN"/>
                    </w:rPr>
                  </w:pPr>
                </w:p>
              </w:tc>
              <w:tc>
                <w:tcPr>
                  <w:tcW w:w="300" w:type="pct"/>
                  <w:vMerge w:val="continue"/>
                  <w:noWrap w:val="0"/>
                  <w:vAlign w:val="center"/>
                </w:tcPr>
                <w:p w14:paraId="71B53D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lang w:val="en-US" w:eastAsia="zh-CN"/>
                    </w:rPr>
                  </w:pPr>
                </w:p>
              </w:tc>
              <w:tc>
                <w:tcPr>
                  <w:tcW w:w="295" w:type="pct"/>
                  <w:noWrap w:val="0"/>
                  <w:vAlign w:val="center"/>
                </w:tcPr>
                <w:p w14:paraId="1CB9D6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污染物排放管控制</w:t>
                  </w:r>
                </w:p>
              </w:tc>
              <w:tc>
                <w:tcPr>
                  <w:tcW w:w="2663" w:type="dxa"/>
                  <w:noWrap w:val="0"/>
                  <w:vAlign w:val="center"/>
                </w:tcPr>
                <w:p w14:paraId="4B693D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严格控制“两高”行业新增产能，新、改、扩建项目要实行产能等量或减量置换。</w:t>
                  </w:r>
                </w:p>
                <w:p w14:paraId="16551B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严格用地准入，工业用地及商业用地供地前，自然资源部门需对拟供地块进行土壤环境状况调查，评估环境污染风险后方可供地。</w:t>
                  </w:r>
                </w:p>
                <w:p w14:paraId="1BABD8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禁止使用炸鱼、毒鱼、电鱼等破坏渔业资源方法进行捕捞。</w:t>
                  </w:r>
                </w:p>
                <w:p w14:paraId="60342B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禁止在禁渔区、禁渔期进行捕捞。禁止使用小于最小网目尺寸的网具进行捕捞，未依法取得捕捞许可证擅自捕捞。</w:t>
                  </w:r>
                </w:p>
              </w:tc>
              <w:tc>
                <w:tcPr>
                  <w:tcW w:w="1893" w:type="pct"/>
                  <w:noWrap w:val="0"/>
                  <w:vAlign w:val="center"/>
                </w:tcPr>
                <w:p w14:paraId="10A817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项目为</w:t>
                  </w:r>
                  <w:r>
                    <w:rPr>
                      <w:rFonts w:hint="eastAsia" w:ascii="Times New Roman" w:hAnsi="Times New Roman" w:cs="Times New Roman"/>
                      <w:color w:val="auto"/>
                      <w:sz w:val="21"/>
                      <w:szCs w:val="21"/>
                      <w:highlight w:val="none"/>
                      <w:lang w:val="en-US" w:eastAsia="zh-CN"/>
                    </w:rPr>
                    <w:t>洗染服务</w:t>
                  </w:r>
                  <w:r>
                    <w:rPr>
                      <w:rFonts w:hint="eastAsia"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，不涉及两高项目。项目租用寻甸仁德子超养殖场内已建厂房进行生产建设，现已办理相关手续。项目不涉及</w:t>
                  </w:r>
                  <w:r>
                    <w:rPr>
                      <w:rFonts w:hint="default" w:ascii="Times New Roman" w:hAnsi="Times New Roman" w:cs="Times New Roman"/>
                      <w:color w:val="auto"/>
                      <w:sz w:val="21"/>
                      <w:szCs w:val="21"/>
                      <w:highlight w:val="none"/>
                    </w:rPr>
                    <w:t>使用炸鱼、毒鱼、电鱼等破坏渔业资源方法进行捕捞</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项目不涉及捕捞。</w:t>
                  </w:r>
                </w:p>
              </w:tc>
              <w:tc>
                <w:tcPr>
                  <w:tcW w:w="357" w:type="pct"/>
                  <w:noWrap w:val="0"/>
                  <w:vAlign w:val="center"/>
                </w:tcPr>
                <w:p w14:paraId="5863BD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14:paraId="6E5A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noWrap w:val="0"/>
                  <w:vAlign w:val="center"/>
                </w:tcPr>
                <w:p w14:paraId="1D5258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highlight w:val="none"/>
                    </w:rPr>
                  </w:pPr>
                </w:p>
              </w:tc>
              <w:tc>
                <w:tcPr>
                  <w:tcW w:w="300" w:type="pct"/>
                  <w:vMerge w:val="continue"/>
                  <w:noWrap w:val="0"/>
                  <w:vAlign w:val="center"/>
                </w:tcPr>
                <w:p w14:paraId="61E1E2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highlight w:val="none"/>
                    </w:rPr>
                  </w:pPr>
                </w:p>
              </w:tc>
              <w:tc>
                <w:tcPr>
                  <w:tcW w:w="295" w:type="pct"/>
                  <w:noWrap w:val="0"/>
                  <w:vAlign w:val="center"/>
                </w:tcPr>
                <w:p w14:paraId="123B36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环境风险防控</w:t>
                  </w:r>
                </w:p>
              </w:tc>
              <w:tc>
                <w:tcPr>
                  <w:tcW w:w="1857" w:type="pct"/>
                  <w:noWrap w:val="0"/>
                  <w:vAlign w:val="center"/>
                </w:tcPr>
                <w:p w14:paraId="603645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严格限制《环境保护综合名录》（2021年版）中“高污染、高环境风险”产品与工艺装备。</w:t>
                  </w:r>
                </w:p>
                <w:p w14:paraId="3238EB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禁止使用剧毒、高残留以及可能二次中毒的农药。</w:t>
                  </w:r>
                </w:p>
                <w:p w14:paraId="7CE01B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严格污染场地开发利用和流转审批，在影响健康地块修复达标之前，禁止建设居民区、学校、医疗和养老机构。</w:t>
                  </w:r>
                </w:p>
              </w:tc>
              <w:tc>
                <w:tcPr>
                  <w:tcW w:w="1893" w:type="pct"/>
                  <w:noWrap w:val="0"/>
                  <w:vAlign w:val="center"/>
                </w:tcPr>
                <w:p w14:paraId="10EB27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为</w:t>
                  </w:r>
                  <w:r>
                    <w:rPr>
                      <w:rFonts w:hint="eastAsia" w:ascii="Times New Roman" w:hAnsi="Times New Roman"/>
                      <w:color w:val="auto"/>
                      <w:sz w:val="21"/>
                      <w:szCs w:val="21"/>
                      <w:lang w:val="en-US" w:eastAsia="zh-CN"/>
                    </w:rPr>
                    <w:t>洗染服务</w:t>
                  </w:r>
                  <w:r>
                    <w:rPr>
                      <w:rFonts w:hint="eastAsia" w:ascii="Times New Roman" w:hAnsi="Times New Roman" w:cs="Times New Roman"/>
                      <w:color w:val="auto"/>
                      <w:sz w:val="21"/>
                      <w:szCs w:val="21"/>
                      <w:highlight w:val="none"/>
                      <w:lang w:val="en-US" w:eastAsia="zh-CN"/>
                    </w:rPr>
                    <w:t>项目，所用设备不属于</w:t>
                  </w:r>
                  <w:r>
                    <w:rPr>
                      <w:rFonts w:hint="default" w:ascii="Times New Roman" w:hAnsi="Times New Roman" w:cs="Times New Roman"/>
                      <w:color w:val="auto"/>
                      <w:sz w:val="21"/>
                      <w:szCs w:val="21"/>
                      <w:highlight w:val="none"/>
                    </w:rPr>
                    <w:t>《环境保护综合名录》（2021年版）中“高污染、高环境风险”产品与工艺装备；</w:t>
                  </w:r>
                  <w:r>
                    <w:rPr>
                      <w:rFonts w:hint="eastAsia" w:ascii="Times New Roman" w:hAnsi="Times New Roman" w:cs="Times New Roman"/>
                      <w:color w:val="auto"/>
                      <w:sz w:val="21"/>
                      <w:szCs w:val="21"/>
                      <w:highlight w:val="none"/>
                      <w:lang w:val="en-US" w:eastAsia="zh-CN"/>
                    </w:rPr>
                    <w:t>项目不</w:t>
                  </w:r>
                  <w:r>
                    <w:rPr>
                      <w:rFonts w:hint="default" w:ascii="Times New Roman" w:hAnsi="Times New Roman" w:cs="Times New Roman"/>
                      <w:color w:val="auto"/>
                      <w:sz w:val="21"/>
                      <w:szCs w:val="21"/>
                      <w:highlight w:val="none"/>
                    </w:rPr>
                    <w:t>使用剧毒、高残留以及可能二次中毒的农药</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项目不使用含磷洗衣粉。项目用地现状为寻甸仁德子超养殖场内已建厂房，不属于污染场地</w:t>
                  </w:r>
                  <w:r>
                    <w:rPr>
                      <w:rFonts w:hint="default" w:ascii="Times New Roman" w:hAnsi="Times New Roman" w:cs="Times New Roman"/>
                      <w:color w:val="auto"/>
                      <w:sz w:val="21"/>
                      <w:szCs w:val="21"/>
                      <w:highlight w:val="none"/>
                      <w:lang w:val="en-US" w:eastAsia="zh-CN"/>
                    </w:rPr>
                    <w:t>。</w:t>
                  </w:r>
                </w:p>
              </w:tc>
              <w:tc>
                <w:tcPr>
                  <w:tcW w:w="357" w:type="pct"/>
                  <w:noWrap w:val="0"/>
                  <w:vAlign w:val="center"/>
                </w:tcPr>
                <w:p w14:paraId="1EF91D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758FE3E8">
            <w:pPr>
              <w:autoSpaceDE w:val="0"/>
              <w:autoSpaceDN w:val="0"/>
              <w:adjustRightInd w:val="0"/>
              <w:snapToGrid w:val="0"/>
              <w:spacing w:line="360" w:lineRule="auto"/>
              <w:ind w:firstLine="480" w:firstLineChars="200"/>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宋体" w:cs="Times New Roman"/>
                <w:bCs/>
                <w:color w:val="auto"/>
                <w:kern w:val="0"/>
                <w:sz w:val="24"/>
              </w:rPr>
              <w:t>由上表可知，本项目建设符合</w:t>
            </w:r>
            <w:r>
              <w:rPr>
                <w:rFonts w:hint="eastAsia" w:ascii="Times New Roman" w:hAnsi="Times New Roman" w:eastAsia="宋体" w:cs="宋体"/>
                <w:color w:val="auto"/>
                <w:spacing w:val="1"/>
                <w:sz w:val="24"/>
                <w:szCs w:val="24"/>
                <w:lang w:val="en-US" w:eastAsia="zh-CN"/>
              </w:rPr>
              <w:t>《</w:t>
            </w:r>
            <w:r>
              <w:rPr>
                <w:rFonts w:hint="eastAsia" w:ascii="Times New Roman" w:hAnsi="Times New Roman" w:cs="宋体"/>
                <w:color w:val="auto"/>
                <w:spacing w:val="1"/>
                <w:sz w:val="24"/>
                <w:szCs w:val="24"/>
                <w:lang w:val="en-US" w:eastAsia="zh-CN"/>
              </w:rPr>
              <w:t>寻甸</w:t>
            </w:r>
            <w:r>
              <w:rPr>
                <w:rFonts w:hint="eastAsia" w:ascii="Times New Roman" w:hAnsi="Times New Roman" w:eastAsia="宋体" w:cs="宋体"/>
                <w:color w:val="auto"/>
                <w:spacing w:val="1"/>
                <w:sz w:val="24"/>
                <w:szCs w:val="24"/>
                <w:lang w:val="en-US" w:eastAsia="zh-CN"/>
              </w:rPr>
              <w:t>县环境管控单元生态环境准入清单》</w:t>
            </w:r>
            <w:r>
              <w:rPr>
                <w:rFonts w:hint="eastAsia" w:ascii="Times New Roman" w:hAnsi="Times New Roman" w:eastAsia="宋体" w:cs="Times New Roman"/>
                <w:bCs/>
                <w:color w:val="auto"/>
                <w:kern w:val="0"/>
                <w:sz w:val="24"/>
              </w:rPr>
              <w:t>中相关要求。</w:t>
            </w:r>
          </w:p>
          <w:p w14:paraId="2F34DFF1">
            <w:pPr>
              <w:pStyle w:val="98"/>
              <w:spacing w:before="33" w:line="360" w:lineRule="auto"/>
              <w:ind w:left="499"/>
              <w:rPr>
                <w:rFonts w:hint="eastAsia" w:ascii="Times New Roman" w:hAnsi="Times New Roman" w:eastAsia="宋体" w:cs="宋体"/>
                <w:color w:val="auto"/>
                <w:sz w:val="24"/>
                <w:szCs w:val="24"/>
              </w:rPr>
            </w:pPr>
            <w:r>
              <w:rPr>
                <w:rFonts w:hint="eastAsia" w:ascii="Times New Roman" w:hAnsi="Times New Roman" w:eastAsia="宋体" w:cs="宋体"/>
                <w:b/>
                <w:bCs/>
                <w:color w:val="auto"/>
                <w:spacing w:val="-3"/>
                <w:sz w:val="24"/>
                <w:szCs w:val="24"/>
                <w:lang w:eastAsia="zh-CN"/>
              </w:rPr>
              <w:t>（</w:t>
            </w:r>
            <w:r>
              <w:rPr>
                <w:rFonts w:hint="eastAsia" w:ascii="Times New Roman" w:hAnsi="Times New Roman" w:eastAsia="宋体" w:cs="宋体"/>
                <w:b/>
                <w:bCs/>
                <w:color w:val="auto"/>
                <w:spacing w:val="-3"/>
                <w:sz w:val="24"/>
                <w:szCs w:val="24"/>
                <w:lang w:val="en-US" w:eastAsia="zh-CN"/>
              </w:rPr>
              <w:t>2</w:t>
            </w:r>
            <w:r>
              <w:rPr>
                <w:rFonts w:hint="eastAsia" w:ascii="Times New Roman" w:hAnsi="Times New Roman" w:eastAsia="宋体" w:cs="宋体"/>
                <w:b/>
                <w:bCs/>
                <w:color w:val="auto"/>
                <w:spacing w:val="-3"/>
                <w:sz w:val="24"/>
                <w:szCs w:val="24"/>
                <w:lang w:eastAsia="zh-CN"/>
              </w:rPr>
              <w:t>）</w:t>
            </w:r>
            <w:r>
              <w:rPr>
                <w:rFonts w:hint="eastAsia" w:ascii="Times New Roman" w:hAnsi="Times New Roman" w:eastAsia="宋体" w:cs="宋体"/>
                <w:b/>
                <w:bCs/>
                <w:color w:val="auto"/>
                <w:spacing w:val="-3"/>
                <w:sz w:val="24"/>
                <w:szCs w:val="24"/>
              </w:rPr>
              <w:t>生态保护红线及一般生态空间更新结果</w:t>
            </w:r>
          </w:p>
          <w:p w14:paraId="11C9A73F">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Times New Roman" w:hAnsi="Times New Roman" w:eastAsia="宋体" w:cs="宋体"/>
                <w:color w:val="auto"/>
                <w:spacing w:val="-3"/>
                <w:kern w:val="2"/>
                <w:sz w:val="24"/>
                <w:szCs w:val="24"/>
                <w:lang w:val="en-US" w:eastAsia="zh-CN" w:bidi="ar-SA"/>
              </w:rPr>
            </w:pPr>
            <w:r>
              <w:rPr>
                <w:rFonts w:hint="eastAsia" w:ascii="Times New Roman" w:hAnsi="Times New Roman" w:eastAsia="宋体" w:cs="宋体"/>
                <w:color w:val="auto"/>
                <w:spacing w:val="-3"/>
                <w:kern w:val="2"/>
                <w:sz w:val="24"/>
                <w:szCs w:val="24"/>
                <w:lang w:val="en-US" w:eastAsia="zh-CN" w:bidi="ar-SA"/>
              </w:rPr>
              <w:t>更新后，生态保护红线全面与《昆明市国土空间总体规划（2021-2035年）》衔接，全市生态保护红线面积4274.70平方公里，占全市国土面积的20.34%，较原有面积占比减少1.85%。全市一般生态空间面积5151.56km</w:t>
            </w:r>
            <w:r>
              <w:rPr>
                <w:rFonts w:hint="eastAsia" w:ascii="Times New Roman" w:hAnsi="Times New Roman" w:eastAsia="宋体" w:cs="宋体"/>
                <w:color w:val="auto"/>
                <w:spacing w:val="-3"/>
                <w:kern w:val="2"/>
                <w:sz w:val="24"/>
                <w:szCs w:val="24"/>
                <w:vertAlign w:val="superscript"/>
                <w:lang w:val="en-US" w:eastAsia="zh-CN" w:bidi="ar-SA"/>
              </w:rPr>
              <w:t>2</w:t>
            </w:r>
            <w:r>
              <w:rPr>
                <w:rFonts w:hint="eastAsia" w:ascii="Times New Roman" w:hAnsi="Times New Roman" w:eastAsia="宋体" w:cs="宋体"/>
                <w:color w:val="auto"/>
                <w:spacing w:val="-3"/>
                <w:kern w:val="2"/>
                <w:sz w:val="24"/>
                <w:szCs w:val="24"/>
                <w:lang w:val="en-US" w:eastAsia="zh-CN" w:bidi="ar-SA"/>
              </w:rPr>
              <w:t>，占国土空间面积的24.37%，较原有面积占比增加2.45%。</w:t>
            </w:r>
          </w:p>
          <w:p w14:paraId="031D47E1">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Times New Roman" w:hAnsi="Times New Roman" w:eastAsia="宋体" w:cs="宋体"/>
                <w:color w:val="auto"/>
                <w:spacing w:val="-3"/>
                <w:kern w:val="2"/>
                <w:sz w:val="24"/>
                <w:szCs w:val="24"/>
                <w:lang w:val="en-US" w:eastAsia="en-US" w:bidi="ar-SA"/>
              </w:rPr>
            </w:pPr>
            <w:r>
              <w:rPr>
                <w:rFonts w:hint="eastAsia" w:ascii="Times New Roman" w:hAnsi="Times New Roman" w:eastAsia="宋体" w:cs="宋体"/>
                <w:color w:val="auto"/>
                <w:spacing w:val="-3"/>
                <w:kern w:val="2"/>
                <w:sz w:val="24"/>
                <w:szCs w:val="24"/>
                <w:lang w:val="en-US" w:eastAsia="zh-CN" w:bidi="ar-SA"/>
              </w:rPr>
              <w:t>本项目位于</w:t>
            </w:r>
            <w:r>
              <w:rPr>
                <w:rFonts w:hint="eastAsia" w:ascii="Times New Roman" w:hAnsi="Times New Roman" w:eastAsia="宋体"/>
                <w:bCs/>
                <w:color w:val="auto"/>
                <w:sz w:val="24"/>
                <w:lang w:val="en-US" w:eastAsia="zh-CN"/>
              </w:rPr>
              <w:t>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w:t>
            </w:r>
            <w:r>
              <w:rPr>
                <w:rFonts w:hint="eastAsia" w:ascii="Times New Roman" w:hAnsi="Times New Roman" w:eastAsia="宋体" w:cs="宋体"/>
                <w:color w:val="auto"/>
                <w:spacing w:val="-3"/>
                <w:kern w:val="2"/>
                <w:sz w:val="24"/>
                <w:szCs w:val="24"/>
                <w:lang w:val="en-US" w:eastAsia="zh-CN" w:bidi="ar-SA"/>
              </w:rPr>
              <w:t>。根据</w:t>
            </w:r>
            <w:r>
              <w:rPr>
                <w:rFonts w:hint="eastAsia" w:ascii="Times New Roman" w:hAnsi="Times New Roman" w:cs="宋体"/>
                <w:color w:val="auto"/>
                <w:spacing w:val="-3"/>
                <w:kern w:val="2"/>
                <w:sz w:val="24"/>
                <w:szCs w:val="24"/>
                <w:lang w:val="en-US" w:eastAsia="zh-CN" w:bidi="ar-SA"/>
              </w:rPr>
              <w:t>寻甸</w:t>
            </w:r>
            <w:r>
              <w:rPr>
                <w:rFonts w:hint="eastAsia" w:ascii="Times New Roman" w:hAnsi="Times New Roman" w:eastAsia="宋体" w:cs="宋体"/>
                <w:color w:val="auto"/>
                <w:spacing w:val="-3"/>
                <w:kern w:val="2"/>
                <w:sz w:val="24"/>
                <w:szCs w:val="24"/>
                <w:lang w:val="en-US" w:eastAsia="zh-CN" w:bidi="ar-SA"/>
              </w:rPr>
              <w:t>县自然资源局出具的“关于澳力洁(昆明)洗涤有限公司布草洗涤项目是否涉及生态保护红线、城镇开发边界的情况说明</w:t>
            </w:r>
            <w:r>
              <w:rPr>
                <w:rFonts w:hint="eastAsia" w:ascii="Times New Roman" w:hAnsi="Times New Roman" w:cs="宋体"/>
                <w:color w:val="auto"/>
                <w:spacing w:val="-3"/>
                <w:kern w:val="2"/>
                <w:sz w:val="24"/>
                <w:szCs w:val="24"/>
                <w:lang w:val="en-US" w:eastAsia="zh-CN" w:bidi="ar-SA"/>
              </w:rPr>
              <w:t>”</w:t>
            </w:r>
            <w:r>
              <w:rPr>
                <w:rFonts w:hint="eastAsia" w:ascii="Times New Roman" w:hAnsi="Times New Roman" w:eastAsia="宋体" w:cs="宋体"/>
                <w:color w:val="auto"/>
                <w:spacing w:val="-3"/>
                <w:kern w:val="2"/>
                <w:sz w:val="24"/>
                <w:szCs w:val="24"/>
                <w:lang w:val="en-US" w:eastAsia="zh-CN" w:bidi="ar-SA"/>
              </w:rPr>
              <w:t>，经与寻甸县生态保护红线、城镇开发边界叠加核实，澳力洁(昆明)洗涤有限公司布草洗涤项目范围未与寻甸县生态保护红线重叠。不涉及城镇开发边界</w:t>
            </w:r>
            <w:r>
              <w:rPr>
                <w:rFonts w:hint="eastAsia" w:ascii="Times New Roman" w:hAnsi="Times New Roman" w:cs="宋体"/>
                <w:color w:val="auto"/>
                <w:spacing w:val="-3"/>
                <w:kern w:val="2"/>
                <w:sz w:val="24"/>
                <w:szCs w:val="24"/>
                <w:lang w:val="en-US" w:eastAsia="zh-CN" w:bidi="ar-SA"/>
              </w:rPr>
              <w:t>（详见附件5）</w:t>
            </w:r>
            <w:r>
              <w:rPr>
                <w:rFonts w:hint="eastAsia" w:ascii="Times New Roman" w:hAnsi="Times New Roman" w:eastAsia="宋体" w:cs="宋体"/>
                <w:color w:val="auto"/>
                <w:spacing w:val="-3"/>
                <w:kern w:val="2"/>
                <w:sz w:val="24"/>
                <w:szCs w:val="24"/>
                <w:lang w:val="en-US" w:eastAsia="zh-CN" w:bidi="ar-SA"/>
              </w:rPr>
              <w:t>。项目建设不违背“云南省生态保护红线”的要求。</w:t>
            </w:r>
          </w:p>
          <w:p w14:paraId="4A6E3664">
            <w:pPr>
              <w:pStyle w:val="98"/>
              <w:spacing w:before="32" w:line="360" w:lineRule="auto"/>
              <w:ind w:left="501"/>
              <w:rPr>
                <w:rFonts w:hint="eastAsia" w:ascii="Times New Roman" w:hAnsi="Times New Roman" w:eastAsia="宋体" w:cs="宋体"/>
                <w:color w:val="auto"/>
                <w:sz w:val="24"/>
                <w:szCs w:val="24"/>
              </w:rPr>
            </w:pPr>
            <w:r>
              <w:rPr>
                <w:rFonts w:hint="eastAsia" w:ascii="Times New Roman" w:hAnsi="Times New Roman" w:eastAsia="宋体" w:cs="宋体"/>
                <w:b/>
                <w:bCs/>
                <w:color w:val="auto"/>
                <w:spacing w:val="-3"/>
                <w:sz w:val="24"/>
                <w:szCs w:val="24"/>
                <w:lang w:eastAsia="zh-CN"/>
              </w:rPr>
              <w:t>（</w:t>
            </w:r>
            <w:r>
              <w:rPr>
                <w:rFonts w:hint="eastAsia" w:ascii="Times New Roman" w:hAnsi="Times New Roman" w:eastAsia="宋体" w:cs="宋体"/>
                <w:b/>
                <w:bCs/>
                <w:color w:val="auto"/>
                <w:spacing w:val="-3"/>
                <w:sz w:val="24"/>
                <w:szCs w:val="24"/>
                <w:lang w:val="en-US" w:eastAsia="zh-CN"/>
              </w:rPr>
              <w:t>3</w:t>
            </w:r>
            <w:r>
              <w:rPr>
                <w:rFonts w:hint="eastAsia" w:ascii="Times New Roman" w:hAnsi="Times New Roman" w:eastAsia="宋体" w:cs="宋体"/>
                <w:b/>
                <w:bCs/>
                <w:color w:val="auto"/>
                <w:spacing w:val="-3"/>
                <w:sz w:val="24"/>
                <w:szCs w:val="24"/>
                <w:lang w:eastAsia="zh-CN"/>
              </w:rPr>
              <w:t>）</w:t>
            </w:r>
            <w:r>
              <w:rPr>
                <w:rFonts w:hint="eastAsia" w:ascii="Times New Roman" w:hAnsi="Times New Roman" w:eastAsia="宋体" w:cs="宋体"/>
                <w:b/>
                <w:bCs/>
                <w:color w:val="auto"/>
                <w:spacing w:val="-3"/>
                <w:sz w:val="24"/>
                <w:szCs w:val="24"/>
              </w:rPr>
              <w:t>环境质量底线及资源利用上线更新结果</w:t>
            </w:r>
          </w:p>
          <w:p w14:paraId="663FC71A">
            <w:pPr>
              <w:pStyle w:val="98"/>
              <w:spacing w:before="49" w:line="360" w:lineRule="auto"/>
              <w:ind w:left="11" w:right="11" w:firstLine="488" w:firstLineChars="200"/>
              <w:jc w:val="both"/>
              <w:rPr>
                <w:rFonts w:hint="eastAsia" w:ascii="Times New Roman" w:hAnsi="Times New Roman" w:eastAsia="宋体" w:cs="宋体"/>
                <w:color w:val="auto"/>
                <w:spacing w:val="2"/>
                <w:sz w:val="24"/>
                <w:szCs w:val="24"/>
              </w:rPr>
            </w:pPr>
            <w:r>
              <w:rPr>
                <w:rFonts w:hint="eastAsia" w:ascii="Times New Roman" w:hAnsi="Times New Roman" w:eastAsia="宋体" w:cs="宋体"/>
                <w:color w:val="auto"/>
                <w:spacing w:val="2"/>
                <w:sz w:val="24"/>
                <w:szCs w:val="24"/>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14:paraId="476BC1C3">
            <w:pPr>
              <w:pStyle w:val="98"/>
              <w:spacing w:before="49" w:line="360" w:lineRule="auto"/>
              <w:ind w:left="11" w:right="11" w:firstLine="488" w:firstLineChars="200"/>
              <w:jc w:val="both"/>
              <w:rPr>
                <w:rFonts w:hint="eastAsia" w:ascii="Times New Roman" w:hAnsi="Times New Roman" w:eastAsia="宋体" w:cs="宋体"/>
                <w:color w:val="auto"/>
                <w:spacing w:val="-4"/>
                <w:sz w:val="24"/>
                <w:szCs w:val="24"/>
              </w:rPr>
            </w:pPr>
            <w:r>
              <w:rPr>
                <w:rFonts w:hint="eastAsia" w:ascii="Times New Roman" w:hAnsi="Times New Roman" w:eastAsia="宋体" w:cs="宋体"/>
                <w:color w:val="auto"/>
                <w:spacing w:val="2"/>
                <w:sz w:val="24"/>
                <w:szCs w:val="24"/>
              </w:rPr>
              <w:t>到2025年，按照国家、省、市</w:t>
            </w:r>
            <w:r>
              <w:rPr>
                <w:rFonts w:hint="eastAsia" w:ascii="Times New Roman" w:hAnsi="Times New Roman" w:eastAsia="宋体" w:cs="宋体"/>
                <w:color w:val="auto"/>
                <w:spacing w:val="-3"/>
                <w:sz w:val="24"/>
                <w:szCs w:val="24"/>
              </w:rPr>
              <w:t>有关要求和规</w:t>
            </w:r>
            <w:r>
              <w:rPr>
                <w:rFonts w:hint="eastAsia" w:ascii="Times New Roman" w:hAnsi="Times New Roman" w:eastAsia="宋体" w:cs="宋体"/>
                <w:color w:val="auto"/>
                <w:spacing w:val="-4"/>
                <w:sz w:val="24"/>
                <w:szCs w:val="24"/>
              </w:rPr>
              <w:t>划，按时完成全市用水</w:t>
            </w:r>
            <w:r>
              <w:rPr>
                <w:rFonts w:hint="eastAsia" w:ascii="Times New Roman" w:hAnsi="Times New Roman" w:eastAsia="宋体" w:cs="宋体"/>
                <w:color w:val="auto"/>
                <w:spacing w:val="2"/>
                <w:sz w:val="24"/>
                <w:szCs w:val="24"/>
              </w:rPr>
              <w:t>总量、用水效率、限制纳污“三条红线”水资源</w:t>
            </w:r>
            <w:r>
              <w:rPr>
                <w:rFonts w:hint="eastAsia" w:ascii="Times New Roman" w:hAnsi="Times New Roman" w:eastAsia="宋体" w:cs="宋体"/>
                <w:color w:val="auto"/>
                <w:spacing w:val="1"/>
                <w:sz w:val="24"/>
                <w:szCs w:val="24"/>
              </w:rPr>
              <w:t>上限控制指标；按时完成耕地保有量、基本农田保护面积、建设用地总规模等土地资</w:t>
            </w:r>
            <w:r>
              <w:rPr>
                <w:rFonts w:hint="eastAsia" w:ascii="Times New Roman" w:hAnsi="Times New Roman" w:eastAsia="宋体" w:cs="宋体"/>
                <w:color w:val="auto"/>
                <w:sz w:val="24"/>
                <w:szCs w:val="24"/>
              </w:rPr>
              <w:t>源利用上限</w:t>
            </w:r>
            <w:r>
              <w:rPr>
                <w:rFonts w:hint="eastAsia" w:ascii="Times New Roman" w:hAnsi="Times New Roman" w:eastAsia="宋体" w:cs="宋体"/>
                <w:color w:val="auto"/>
                <w:spacing w:val="-4"/>
                <w:sz w:val="24"/>
                <w:szCs w:val="24"/>
              </w:rPr>
              <w:t>控制指标；按时完成单位GDP能耗下降率、能源消费总量等能源控制指标；矿产资源开采与保护达到预期目标；河湖岸线资源管控达到相关</w:t>
            </w:r>
            <w:r>
              <w:rPr>
                <w:rFonts w:hint="eastAsia" w:ascii="Times New Roman" w:hAnsi="Times New Roman" w:eastAsia="宋体" w:cs="宋体"/>
                <w:color w:val="auto"/>
                <w:spacing w:val="-4"/>
                <w:sz w:val="24"/>
                <w:szCs w:val="24"/>
                <w:lang w:val="en-US" w:eastAsia="zh-CN"/>
              </w:rPr>
              <w:t>要</w:t>
            </w:r>
            <w:r>
              <w:rPr>
                <w:rFonts w:hint="eastAsia" w:ascii="Times New Roman" w:hAnsi="Times New Roman" w:eastAsia="宋体" w:cs="宋体"/>
                <w:color w:val="auto"/>
                <w:spacing w:val="-4"/>
                <w:sz w:val="24"/>
                <w:szCs w:val="24"/>
              </w:rPr>
              <w:t>求。</w:t>
            </w:r>
          </w:p>
          <w:p w14:paraId="03AAE9D2">
            <w:pPr>
              <w:pStyle w:val="98"/>
              <w:spacing w:before="49" w:line="360" w:lineRule="auto"/>
              <w:ind w:left="11" w:right="11" w:firstLine="464" w:firstLineChars="200"/>
              <w:jc w:val="both"/>
              <w:rPr>
                <w:rFonts w:hint="eastAsia" w:ascii="Times New Roman" w:hAnsi="Times New Roman" w:eastAsia="宋体" w:cs="宋体"/>
                <w:color w:val="auto"/>
                <w:spacing w:val="-4"/>
                <w:sz w:val="24"/>
                <w:szCs w:val="24"/>
                <w:lang w:eastAsia="zh-CN"/>
              </w:rPr>
            </w:pPr>
            <w:r>
              <w:rPr>
                <w:rFonts w:hint="eastAsia" w:ascii="Times New Roman" w:hAnsi="Times New Roman" w:eastAsia="宋体" w:cs="宋体"/>
                <w:color w:val="auto"/>
                <w:spacing w:val="-4"/>
                <w:sz w:val="24"/>
                <w:szCs w:val="24"/>
              </w:rPr>
              <w:t>项目</w:t>
            </w:r>
            <w:r>
              <w:rPr>
                <w:rFonts w:hint="eastAsia" w:ascii="Times New Roman" w:hAnsi="Times New Roman" w:eastAsia="宋体" w:cs="宋体"/>
                <w:color w:val="auto"/>
                <w:spacing w:val="-4"/>
                <w:sz w:val="24"/>
                <w:szCs w:val="24"/>
                <w:lang w:val="en-US" w:eastAsia="zh-CN"/>
              </w:rPr>
              <w:t>生产废水经三级沉淀处理后与经化粪池处理后的生活污水合并外排易天线市政污水管网，最终进入寻甸县污水处理厂统一处理，排放浓度满足《污水排入城镇下水道水质标准》（GB/T31962-2015）表1A等级标准</w:t>
            </w:r>
            <w:r>
              <w:rPr>
                <w:rFonts w:hint="eastAsia" w:ascii="Times New Roman" w:hAnsi="Times New Roman" w:cs="宋体"/>
                <w:color w:val="auto"/>
                <w:spacing w:val="-4"/>
                <w:sz w:val="24"/>
                <w:szCs w:val="24"/>
                <w:lang w:val="en-US" w:eastAsia="zh-CN"/>
              </w:rPr>
              <w:t>；</w:t>
            </w:r>
            <w:r>
              <w:rPr>
                <w:rFonts w:hint="eastAsia" w:ascii="Times New Roman" w:hAnsi="Times New Roman" w:eastAsia="宋体" w:cs="宋体"/>
                <w:color w:val="auto"/>
                <w:spacing w:val="-4"/>
                <w:sz w:val="24"/>
                <w:szCs w:val="24"/>
                <w:lang w:val="en-US" w:eastAsia="zh-CN"/>
              </w:rPr>
              <w:t>生物质锅炉燃烧废气经布袋除尘器处理后经30m排气筒（DA001）外排，</w:t>
            </w:r>
            <w:r>
              <w:rPr>
                <w:rFonts w:hint="eastAsia" w:ascii="Times New Roman" w:hAnsi="Times New Roman" w:cs="宋体"/>
                <w:color w:val="auto"/>
                <w:spacing w:val="-4"/>
                <w:sz w:val="24"/>
                <w:szCs w:val="24"/>
                <w:lang w:val="en-US" w:eastAsia="zh-CN"/>
              </w:rPr>
              <w:t>各</w:t>
            </w:r>
            <w:r>
              <w:rPr>
                <w:rFonts w:hint="eastAsia" w:ascii="Times New Roman" w:hAnsi="Times New Roman" w:eastAsia="宋体" w:cs="宋体"/>
                <w:color w:val="auto"/>
                <w:spacing w:val="-4"/>
                <w:sz w:val="24"/>
                <w:szCs w:val="24"/>
                <w:lang w:val="en-US" w:eastAsia="zh-CN"/>
              </w:rPr>
              <w:t>污染物</w:t>
            </w:r>
            <w:r>
              <w:rPr>
                <w:rFonts w:hint="eastAsia" w:ascii="Times New Roman" w:hAnsi="Times New Roman" w:cs="宋体"/>
                <w:color w:val="auto"/>
                <w:spacing w:val="-4"/>
                <w:sz w:val="24"/>
                <w:szCs w:val="24"/>
                <w:lang w:val="en-US" w:eastAsia="zh-CN"/>
              </w:rPr>
              <w:t>均</w:t>
            </w:r>
            <w:r>
              <w:rPr>
                <w:rFonts w:hint="eastAsia" w:ascii="Times New Roman" w:hAnsi="Times New Roman" w:eastAsia="宋体" w:cs="宋体"/>
                <w:color w:val="auto"/>
                <w:spacing w:val="-4"/>
                <w:sz w:val="24"/>
                <w:szCs w:val="24"/>
                <w:lang w:val="en-US" w:eastAsia="zh-CN"/>
              </w:rPr>
              <w:t>可满足</w:t>
            </w:r>
            <w:r>
              <w:rPr>
                <w:rFonts w:hint="default" w:ascii="Times New Roman" w:hAnsi="Times New Roman" w:eastAsia="宋体" w:cs="宋体"/>
                <w:color w:val="auto"/>
                <w:spacing w:val="-4"/>
                <w:sz w:val="24"/>
                <w:szCs w:val="24"/>
                <w:lang w:val="en-US" w:eastAsia="zh-CN"/>
              </w:rPr>
              <w:t>《锅炉大气污染物排放标准》（GB13271-2014）表2</w:t>
            </w:r>
            <w:r>
              <w:rPr>
                <w:rFonts w:hint="eastAsia" w:ascii="Times New Roman" w:hAnsi="Times New Roman" w:eastAsia="宋体" w:cs="宋体"/>
                <w:color w:val="auto"/>
                <w:spacing w:val="-4"/>
                <w:sz w:val="24"/>
                <w:szCs w:val="24"/>
                <w:lang w:val="en-US" w:eastAsia="zh-CN"/>
              </w:rPr>
              <w:t>燃煤锅炉排放标准限值要求</w:t>
            </w:r>
            <w:r>
              <w:rPr>
                <w:rFonts w:hint="eastAsia" w:ascii="Times New Roman" w:hAnsi="Times New Roman" w:cs="宋体"/>
                <w:color w:val="auto"/>
                <w:spacing w:val="-4"/>
                <w:sz w:val="24"/>
                <w:szCs w:val="24"/>
                <w:lang w:val="en-US" w:eastAsia="zh-CN"/>
              </w:rPr>
              <w:t>；</w:t>
            </w:r>
            <w:r>
              <w:rPr>
                <w:rFonts w:hint="eastAsia" w:ascii="Times New Roman" w:hAnsi="Times New Roman" w:cs="宋体"/>
                <w:color w:val="auto"/>
                <w:sz w:val="24"/>
              </w:rPr>
              <w:t>在采</w:t>
            </w:r>
            <w:r>
              <w:rPr>
                <w:rFonts w:ascii="Times New Roman" w:hAnsi="Times New Roman"/>
                <w:color w:val="auto"/>
                <w:sz w:val="24"/>
              </w:rPr>
              <w:t>取相关环保措施后，项目产生的废气、</w:t>
            </w:r>
            <w:r>
              <w:rPr>
                <w:rFonts w:hint="eastAsia" w:ascii="Times New Roman" w:hAnsi="Times New Roman"/>
                <w:color w:val="auto"/>
                <w:sz w:val="24"/>
                <w:lang w:val="en-US" w:eastAsia="zh-CN"/>
              </w:rPr>
              <w:t>废水、</w:t>
            </w:r>
            <w:r>
              <w:rPr>
                <w:rFonts w:ascii="Times New Roman" w:hAnsi="Times New Roman"/>
                <w:color w:val="auto"/>
                <w:sz w:val="24"/>
              </w:rPr>
              <w:t>噪声能达标排放，固废妥善处置率100%</w:t>
            </w:r>
            <w:r>
              <w:rPr>
                <w:rFonts w:hint="eastAsia" w:ascii="Times New Roman" w:hAnsi="Times New Roman"/>
                <w:color w:val="auto"/>
                <w:sz w:val="24"/>
              </w:rPr>
              <w:t>，</w:t>
            </w:r>
            <w:r>
              <w:rPr>
                <w:rFonts w:ascii="Times New Roman" w:hAnsi="Times New Roman"/>
                <w:color w:val="auto"/>
                <w:sz w:val="24"/>
              </w:rPr>
              <w:t>对所在区域的环境质量影响较小。</w:t>
            </w:r>
          </w:p>
          <w:p w14:paraId="65C7DC07">
            <w:pPr>
              <w:autoSpaceDE w:val="0"/>
              <w:autoSpaceDN w:val="0"/>
              <w:adjustRightInd w:val="0"/>
              <w:snapToGrid w:val="0"/>
              <w:spacing w:line="360" w:lineRule="auto"/>
              <w:ind w:firstLine="480" w:firstLineChars="200"/>
              <w:rPr>
                <w:rFonts w:hint="eastAsia" w:ascii="Times New Roman" w:hAnsi="Times New Roman" w:cs="Times New Roman"/>
                <w:bCs/>
                <w:color w:val="auto"/>
                <w:kern w:val="0"/>
                <w:sz w:val="24"/>
                <w:lang w:val="en-US" w:eastAsia="zh-CN"/>
              </w:rPr>
            </w:pPr>
            <w:r>
              <w:rPr>
                <w:rFonts w:hint="eastAsia" w:ascii="Times New Roman" w:hAnsi="Times New Roman" w:cs="Times New Roman"/>
                <w:bCs/>
                <w:color w:val="auto"/>
                <w:kern w:val="0"/>
                <w:sz w:val="24"/>
              </w:rPr>
              <w:t>项目</w:t>
            </w:r>
            <w:r>
              <w:rPr>
                <w:rFonts w:hint="eastAsia" w:ascii="Times New Roman" w:hAnsi="Times New Roman" w:cs="Times New Roman"/>
                <w:bCs/>
                <w:color w:val="auto"/>
                <w:kern w:val="0"/>
                <w:sz w:val="24"/>
                <w:lang w:val="en-US" w:eastAsia="zh-CN"/>
              </w:rPr>
              <w:t>直接租用昆明市寻甸县仁德街道办事处易天线小功山寻甸仁德子超养殖场内已建厂房上建设生产，不占用基本农田，不涉及新增占地</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lang w:val="en-US" w:eastAsia="zh-CN"/>
              </w:rPr>
              <w:t>项目生产过程中仅洗涤用水、锅炉用水以及办公用水，用水量较少</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rPr>
              <w:t>生产过程中</w:t>
            </w:r>
            <w:r>
              <w:rPr>
                <w:rFonts w:hint="eastAsia" w:ascii="Times New Roman" w:hAnsi="Times New Roman" w:cs="Times New Roman"/>
                <w:bCs/>
                <w:color w:val="auto"/>
                <w:kern w:val="0"/>
                <w:sz w:val="24"/>
                <w:lang w:val="en-US" w:eastAsia="zh-CN"/>
              </w:rPr>
              <w:t>使用能源为</w:t>
            </w:r>
            <w:r>
              <w:rPr>
                <w:rFonts w:hint="eastAsia" w:ascii="Times New Roman" w:hAnsi="Times New Roman" w:cs="Times New Roman"/>
                <w:bCs/>
                <w:color w:val="auto"/>
                <w:kern w:val="0"/>
                <w:sz w:val="24"/>
              </w:rPr>
              <w:t>电能</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lang w:val="en-US" w:eastAsia="zh-CN"/>
              </w:rPr>
              <w:t>生物质燃料</w:t>
            </w:r>
            <w:r>
              <w:rPr>
                <w:rFonts w:hint="eastAsia" w:ascii="Times New Roman" w:hAnsi="Times New Roman" w:cs="Times New Roman"/>
                <w:bCs/>
                <w:color w:val="auto"/>
                <w:kern w:val="0"/>
                <w:sz w:val="24"/>
              </w:rPr>
              <w:t>，能耗不高</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rPr>
              <w:t>项目建设不会突破区域的资源利用上限要求。</w:t>
            </w:r>
          </w:p>
          <w:p w14:paraId="361E1443">
            <w:pPr>
              <w:pStyle w:val="58"/>
              <w:spacing w:line="360" w:lineRule="auto"/>
              <w:ind w:left="0" w:firstLine="0"/>
              <w:rPr>
                <w:rFonts w:ascii="Times New Roman" w:hAnsi="Times New Roman"/>
                <w:b/>
                <w:bCs/>
                <w:color w:val="auto"/>
                <w:kern w:val="2"/>
                <w:szCs w:val="24"/>
              </w:rPr>
            </w:pPr>
            <w:r>
              <w:rPr>
                <w:rFonts w:hint="eastAsia" w:ascii="Times New Roman" w:hAnsi="Times New Roman"/>
                <w:b/>
                <w:bCs/>
                <w:color w:val="auto"/>
                <w:kern w:val="2"/>
                <w:szCs w:val="24"/>
                <w:lang w:val="en-US" w:eastAsia="zh-CN"/>
              </w:rPr>
              <w:t>4</w:t>
            </w:r>
            <w:r>
              <w:rPr>
                <w:rFonts w:ascii="Times New Roman" w:hAnsi="Times New Roman"/>
                <w:b/>
                <w:bCs/>
                <w:color w:val="auto"/>
                <w:kern w:val="2"/>
                <w:szCs w:val="24"/>
              </w:rPr>
              <w:t>、与《云南省牛栏江保护条例》符合性分析</w:t>
            </w:r>
          </w:p>
          <w:p w14:paraId="6E4B90EB">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根据《云南省牛栏江保护条例》，牛栏江流域上游保护区划分为水源保护核心区、重点污染控制区和重点水源涵养区，各分区范围节点如下：</w:t>
            </w:r>
          </w:p>
          <w:p w14:paraId="22D7C72A">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①水源保护核心区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14:paraId="1550009D">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②重点污染控制区为水源保护核心区以外，流域范围内的坝区以及花庄河、果马河、普沙河、弥良河、对龙河、杨林河、匡郎河、前进河、马龙河水域及两岸外延3000米的区域，区域范围超过一级山脊线的，按照一级山脊线划定。</w:t>
            </w:r>
          </w:p>
          <w:p w14:paraId="61FC651E">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③重点水源涵养区为流域范围内除水源保护核心区、重点污染控制区以外的集水区域。</w:t>
            </w:r>
          </w:p>
          <w:p w14:paraId="7FD69116">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cs="Times New Roman"/>
                <w:bCs/>
                <w:color w:val="auto"/>
                <w:kern w:val="0"/>
                <w:sz w:val="24"/>
              </w:rPr>
              <w:t>本项目位于</w:t>
            </w:r>
            <w:r>
              <w:rPr>
                <w:rFonts w:hint="eastAsia" w:ascii="Times New Roman" w:hAnsi="Times New Roman" w:cs="Times New Roman"/>
                <w:bCs/>
                <w:color w:val="auto"/>
                <w:kern w:val="0"/>
                <w:sz w:val="24"/>
                <w:lang w:val="en-US" w:eastAsia="zh-CN"/>
              </w:rPr>
              <w:t>位于寻甸县仁德街道办事处易天线小功山寻甸仁德子超养殖场内已建厂房</w:t>
            </w:r>
            <w:r>
              <w:rPr>
                <w:rFonts w:ascii="Times New Roman" w:hAnsi="Times New Roman" w:cs="Times New Roman"/>
                <w:bCs/>
                <w:color w:val="auto"/>
                <w:kern w:val="0"/>
                <w:sz w:val="24"/>
              </w:rPr>
              <w:t>，根据牛栏江水系功能</w:t>
            </w:r>
            <w:r>
              <w:rPr>
                <w:rFonts w:ascii="Times New Roman" w:hAnsi="Times New Roman"/>
                <w:bCs/>
                <w:color w:val="auto"/>
                <w:kern w:val="0"/>
                <w:sz w:val="24"/>
              </w:rPr>
              <w:t>规划图可知，项目区属于重点污染控制区。根据《云南省牛栏江保护条例》中第三十二、三十三条中规定的禁止行为分析项目选址符合性。</w:t>
            </w:r>
          </w:p>
          <w:p w14:paraId="5E4F6547">
            <w:pPr>
              <w:autoSpaceDE w:val="0"/>
              <w:autoSpaceDN w:val="0"/>
              <w:adjustRightInd w:val="0"/>
              <w:snapToGrid w:val="0"/>
              <w:spacing w:line="360" w:lineRule="auto"/>
              <w:ind w:firstLine="422" w:firstLineChars="200"/>
              <w:jc w:val="center"/>
              <w:rPr>
                <w:rFonts w:ascii="Times New Roman" w:hAnsi="Times New Roman"/>
                <w:color w:val="auto"/>
                <w:szCs w:val="21"/>
              </w:rPr>
            </w:pPr>
            <w:r>
              <w:rPr>
                <w:rFonts w:ascii="Times New Roman" w:hAnsi="Times New Roman"/>
                <w:b/>
                <w:bCs/>
                <w:color w:val="auto"/>
                <w:szCs w:val="21"/>
              </w:rPr>
              <w:t>表1-</w:t>
            </w:r>
            <w:r>
              <w:rPr>
                <w:rFonts w:hint="eastAsia" w:ascii="Times New Roman" w:hAnsi="Times New Roman"/>
                <w:b/>
                <w:bCs/>
                <w:color w:val="auto"/>
                <w:szCs w:val="21"/>
                <w:lang w:val="en-US" w:eastAsia="zh-CN"/>
              </w:rPr>
              <w:t xml:space="preserve">4 </w:t>
            </w:r>
            <w:r>
              <w:rPr>
                <w:rFonts w:ascii="Times New Roman" w:hAnsi="Times New Roman"/>
                <w:b/>
                <w:bCs/>
                <w:color w:val="auto"/>
                <w:szCs w:val="21"/>
              </w:rPr>
              <w:t>项目选址与《云南省牛栏江保护条例》对照分析</w:t>
            </w:r>
          </w:p>
          <w:tbl>
            <w:tblPr>
              <w:tblStyle w:val="29"/>
              <w:tblW w:w="7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3317"/>
              <w:gridCol w:w="2506"/>
              <w:gridCol w:w="816"/>
            </w:tblGrid>
            <w:tr w14:paraId="42CC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Align w:val="center"/>
                </w:tcPr>
                <w:p w14:paraId="0C7BE690">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序号</w:t>
                  </w:r>
                </w:p>
              </w:tc>
              <w:tc>
                <w:tcPr>
                  <w:tcW w:w="3317" w:type="dxa"/>
                  <w:vAlign w:val="center"/>
                </w:tcPr>
                <w:p w14:paraId="20AFC1BD">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云南省牛栏江保护条例》选址条件</w:t>
                  </w:r>
                </w:p>
              </w:tc>
              <w:tc>
                <w:tcPr>
                  <w:tcW w:w="2506" w:type="dxa"/>
                  <w:vAlign w:val="center"/>
                </w:tcPr>
                <w:p w14:paraId="3399CA49">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本项目实际情况</w:t>
                  </w:r>
                </w:p>
              </w:tc>
              <w:tc>
                <w:tcPr>
                  <w:tcW w:w="816" w:type="dxa"/>
                  <w:vAlign w:val="center"/>
                </w:tcPr>
                <w:p w14:paraId="259E286A">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相符性</w:t>
                  </w:r>
                </w:p>
              </w:tc>
            </w:tr>
            <w:tr w14:paraId="434F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restart"/>
                  <w:vAlign w:val="center"/>
                </w:tcPr>
                <w:p w14:paraId="2AE6E3EE">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1</w:t>
                  </w:r>
                </w:p>
              </w:tc>
              <w:tc>
                <w:tcPr>
                  <w:tcW w:w="6639" w:type="dxa"/>
                  <w:gridSpan w:val="3"/>
                  <w:vAlign w:val="center"/>
                </w:tcPr>
                <w:p w14:paraId="1234F0B3">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三十二条重点水源涵养区禁止下列行为</w:t>
                  </w:r>
                </w:p>
              </w:tc>
            </w:tr>
            <w:tr w14:paraId="4933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continue"/>
                  <w:vAlign w:val="center"/>
                </w:tcPr>
                <w:p w14:paraId="4A0BB9DC">
                  <w:pPr>
                    <w:widowControl/>
                    <w:adjustRightInd w:val="0"/>
                    <w:snapToGrid w:val="0"/>
                    <w:jc w:val="center"/>
                    <w:textAlignment w:val="bottom"/>
                    <w:rPr>
                      <w:rFonts w:ascii="Times New Roman" w:hAnsi="Times New Roman"/>
                      <w:color w:val="auto"/>
                      <w:szCs w:val="21"/>
                    </w:rPr>
                  </w:pPr>
                </w:p>
              </w:tc>
              <w:tc>
                <w:tcPr>
                  <w:tcW w:w="3317" w:type="dxa"/>
                  <w:vAlign w:val="center"/>
                </w:tcPr>
                <w:p w14:paraId="7A32686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（一）盗伐、滥伐林木和破坏草地；</w:t>
                  </w:r>
                </w:p>
              </w:tc>
              <w:tc>
                <w:tcPr>
                  <w:tcW w:w="2506" w:type="dxa"/>
                  <w:vAlign w:val="center"/>
                </w:tcPr>
                <w:p w14:paraId="393D27F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项目无此行为</w:t>
                  </w:r>
                </w:p>
              </w:tc>
              <w:tc>
                <w:tcPr>
                  <w:tcW w:w="816" w:type="dxa"/>
                  <w:vAlign w:val="center"/>
                </w:tcPr>
                <w:p w14:paraId="0045BC5E">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09E8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continue"/>
                  <w:vAlign w:val="center"/>
                </w:tcPr>
                <w:p w14:paraId="2232005F">
                  <w:pPr>
                    <w:widowControl/>
                    <w:adjustRightInd w:val="0"/>
                    <w:snapToGrid w:val="0"/>
                    <w:jc w:val="center"/>
                    <w:textAlignment w:val="bottom"/>
                    <w:rPr>
                      <w:rFonts w:ascii="Times New Roman" w:hAnsi="Times New Roman"/>
                      <w:color w:val="auto"/>
                      <w:szCs w:val="21"/>
                    </w:rPr>
                  </w:pPr>
                </w:p>
              </w:tc>
              <w:tc>
                <w:tcPr>
                  <w:tcW w:w="3317" w:type="dxa"/>
                  <w:vAlign w:val="center"/>
                </w:tcPr>
                <w:p w14:paraId="05D46B2E">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（二）使用高毒、高残留农药；</w:t>
                  </w:r>
                </w:p>
              </w:tc>
              <w:tc>
                <w:tcPr>
                  <w:tcW w:w="2506" w:type="dxa"/>
                  <w:vAlign w:val="center"/>
                </w:tcPr>
                <w:p w14:paraId="7FA4C8FD">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不涉及</w:t>
                  </w:r>
                </w:p>
              </w:tc>
              <w:tc>
                <w:tcPr>
                  <w:tcW w:w="816" w:type="dxa"/>
                  <w:vAlign w:val="center"/>
                </w:tcPr>
                <w:p w14:paraId="796D054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7173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438" w:type="dxa"/>
                  <w:vMerge w:val="continue"/>
                  <w:vAlign w:val="center"/>
                </w:tcPr>
                <w:p w14:paraId="4D4654F6">
                  <w:pPr>
                    <w:widowControl/>
                    <w:adjustRightInd w:val="0"/>
                    <w:snapToGrid w:val="0"/>
                    <w:jc w:val="center"/>
                    <w:textAlignment w:val="bottom"/>
                    <w:rPr>
                      <w:rFonts w:ascii="Times New Roman" w:hAnsi="Times New Roman"/>
                      <w:color w:val="auto"/>
                      <w:szCs w:val="21"/>
                    </w:rPr>
                  </w:pPr>
                </w:p>
              </w:tc>
              <w:tc>
                <w:tcPr>
                  <w:tcW w:w="3317" w:type="dxa"/>
                  <w:vAlign w:val="center"/>
                </w:tcPr>
                <w:p w14:paraId="00AEFE55">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（三）利用溶洞、渗井、渗坑、裂隙排放、倾倒含有毒有害物质的废水、废渣；</w:t>
                  </w:r>
                </w:p>
              </w:tc>
              <w:tc>
                <w:tcPr>
                  <w:tcW w:w="2506" w:type="dxa"/>
                  <w:vMerge w:val="restart"/>
                  <w:vAlign w:val="center"/>
                </w:tcPr>
                <w:p w14:paraId="609ED150">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本项目不向地表水体直接排放废水。</w:t>
                  </w:r>
                </w:p>
              </w:tc>
              <w:tc>
                <w:tcPr>
                  <w:tcW w:w="816" w:type="dxa"/>
                  <w:vAlign w:val="center"/>
                </w:tcPr>
                <w:p w14:paraId="687779FF">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529C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continue"/>
                  <w:vAlign w:val="center"/>
                </w:tcPr>
                <w:p w14:paraId="705784AF">
                  <w:pPr>
                    <w:widowControl/>
                    <w:adjustRightInd w:val="0"/>
                    <w:snapToGrid w:val="0"/>
                    <w:jc w:val="center"/>
                    <w:textAlignment w:val="bottom"/>
                    <w:rPr>
                      <w:rFonts w:ascii="Times New Roman" w:hAnsi="Times New Roman"/>
                      <w:color w:val="auto"/>
                      <w:szCs w:val="21"/>
                    </w:rPr>
                  </w:pPr>
                </w:p>
              </w:tc>
              <w:tc>
                <w:tcPr>
                  <w:tcW w:w="3317" w:type="dxa"/>
                  <w:vAlign w:val="center"/>
                </w:tcPr>
                <w:p w14:paraId="16B1A2E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（四）向水体排放废水、倾倒工业废渣、城镇垃圾或者其他废弃物；</w:t>
                  </w:r>
                </w:p>
              </w:tc>
              <w:tc>
                <w:tcPr>
                  <w:tcW w:w="2506" w:type="dxa"/>
                  <w:vMerge w:val="continue"/>
                  <w:vAlign w:val="center"/>
                </w:tcPr>
                <w:p w14:paraId="294FB751">
                  <w:pPr>
                    <w:widowControl/>
                    <w:adjustRightInd w:val="0"/>
                    <w:snapToGrid w:val="0"/>
                    <w:jc w:val="center"/>
                    <w:textAlignment w:val="bottom"/>
                    <w:rPr>
                      <w:rFonts w:ascii="Times New Roman" w:hAnsi="Times New Roman"/>
                      <w:color w:val="auto"/>
                      <w:szCs w:val="21"/>
                    </w:rPr>
                  </w:pPr>
                </w:p>
              </w:tc>
              <w:tc>
                <w:tcPr>
                  <w:tcW w:w="816" w:type="dxa"/>
                  <w:vAlign w:val="center"/>
                </w:tcPr>
                <w:p w14:paraId="53C23F8E">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385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38" w:type="dxa"/>
                  <w:vMerge w:val="continue"/>
                  <w:vAlign w:val="center"/>
                </w:tcPr>
                <w:p w14:paraId="07E55ADC">
                  <w:pPr>
                    <w:widowControl/>
                    <w:adjustRightInd w:val="0"/>
                    <w:snapToGrid w:val="0"/>
                    <w:jc w:val="center"/>
                    <w:textAlignment w:val="bottom"/>
                    <w:rPr>
                      <w:rFonts w:ascii="Times New Roman" w:hAnsi="Times New Roman"/>
                      <w:color w:val="auto"/>
                      <w:szCs w:val="21"/>
                    </w:rPr>
                  </w:pPr>
                </w:p>
              </w:tc>
              <w:tc>
                <w:tcPr>
                  <w:tcW w:w="3317" w:type="dxa"/>
                  <w:vAlign w:val="center"/>
                </w:tcPr>
                <w:p w14:paraId="55396A4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（五）在江河、渠道、水库最高水位线以下的滩地、岸坡堆放、存贮固体废弃物或者其他污染物；</w:t>
                  </w:r>
                </w:p>
              </w:tc>
              <w:tc>
                <w:tcPr>
                  <w:tcW w:w="2506" w:type="dxa"/>
                  <w:vAlign w:val="center"/>
                </w:tcPr>
                <w:p w14:paraId="0DC5EEDA">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项目不在江河、渠道、水库最高水位线以下的滩地、岸坡堆放、存贮固体废弃物或者其他污染物。</w:t>
                  </w:r>
                </w:p>
              </w:tc>
              <w:tc>
                <w:tcPr>
                  <w:tcW w:w="816" w:type="dxa"/>
                  <w:vAlign w:val="center"/>
                </w:tcPr>
                <w:p w14:paraId="7602EBE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7B06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38" w:type="dxa"/>
                  <w:vMerge w:val="continue"/>
                  <w:vAlign w:val="center"/>
                </w:tcPr>
                <w:p w14:paraId="749922D6">
                  <w:pPr>
                    <w:widowControl/>
                    <w:adjustRightInd w:val="0"/>
                    <w:snapToGrid w:val="0"/>
                    <w:jc w:val="center"/>
                    <w:textAlignment w:val="bottom"/>
                    <w:rPr>
                      <w:rFonts w:ascii="Times New Roman" w:hAnsi="Times New Roman"/>
                      <w:color w:val="auto"/>
                      <w:szCs w:val="21"/>
                    </w:rPr>
                  </w:pPr>
                </w:p>
              </w:tc>
              <w:tc>
                <w:tcPr>
                  <w:tcW w:w="3317" w:type="dxa"/>
                  <w:vAlign w:val="center"/>
                </w:tcPr>
                <w:p w14:paraId="464AF919">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（六）利用无防渗漏措施的沟渠、坑塘等输送或者存贮含有毒污染物的废水、含病原体的污水或者其他废弃物。"</w:t>
                  </w:r>
                </w:p>
              </w:tc>
              <w:tc>
                <w:tcPr>
                  <w:tcW w:w="2506" w:type="dxa"/>
                  <w:vAlign w:val="center"/>
                </w:tcPr>
                <w:p w14:paraId="03CC97A1">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项目建设地面</w:t>
                  </w:r>
                  <w:r>
                    <w:rPr>
                      <w:rFonts w:hint="eastAsia" w:ascii="Times New Roman" w:hAnsi="Times New Roman"/>
                      <w:color w:val="auto"/>
                      <w:szCs w:val="21"/>
                      <w:lang w:val="en-US" w:eastAsia="zh-CN"/>
                    </w:rPr>
                    <w:t>已</w:t>
                  </w:r>
                  <w:r>
                    <w:rPr>
                      <w:rFonts w:ascii="Times New Roman" w:hAnsi="Times New Roman"/>
                      <w:color w:val="auto"/>
                      <w:szCs w:val="21"/>
                    </w:rPr>
                    <w:t>硬化处理，</w:t>
                  </w:r>
                  <w:r>
                    <w:rPr>
                      <w:rFonts w:hint="eastAsia" w:ascii="Times New Roman" w:hAnsi="Times New Roman"/>
                      <w:color w:val="auto"/>
                      <w:szCs w:val="21"/>
                      <w:lang w:val="en-US" w:eastAsia="zh-CN"/>
                    </w:rPr>
                    <w:t>且</w:t>
                  </w:r>
                  <w:r>
                    <w:rPr>
                      <w:rFonts w:ascii="Times New Roman" w:hAnsi="Times New Roman"/>
                      <w:color w:val="auto"/>
                      <w:szCs w:val="21"/>
                    </w:rPr>
                    <w:t>项目不产生含</w:t>
                  </w:r>
                  <w:r>
                    <w:rPr>
                      <w:rFonts w:ascii="Times New Roman" w:hAnsi="Times New Roman"/>
                      <w:color w:val="auto"/>
                      <w:szCs w:val="21"/>
                    </w:rPr>
                    <w:cr/>
                  </w:r>
                  <w:r>
                    <w:rPr>
                      <w:rFonts w:ascii="Times New Roman" w:hAnsi="Times New Roman"/>
                      <w:color w:val="auto"/>
                      <w:szCs w:val="21"/>
                    </w:rPr>
                    <w:t>毒、病原体的污水。</w:t>
                  </w:r>
                </w:p>
              </w:tc>
              <w:tc>
                <w:tcPr>
                  <w:tcW w:w="816" w:type="dxa"/>
                  <w:vAlign w:val="center"/>
                </w:tcPr>
                <w:p w14:paraId="45409BF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5188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restart"/>
                  <w:vAlign w:val="center"/>
                </w:tcPr>
                <w:p w14:paraId="6543B59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2</w:t>
                  </w:r>
                </w:p>
              </w:tc>
              <w:tc>
                <w:tcPr>
                  <w:tcW w:w="6639" w:type="dxa"/>
                  <w:gridSpan w:val="3"/>
                  <w:vAlign w:val="center"/>
                </w:tcPr>
                <w:p w14:paraId="53A5954C">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第三十三条重点污染控制区内除重点水源涵养区禁止的行为外，还禁止下列行为：</w:t>
                  </w:r>
                </w:p>
              </w:tc>
            </w:tr>
            <w:tr w14:paraId="6DBA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38" w:type="dxa"/>
                  <w:vMerge w:val="continue"/>
                  <w:vAlign w:val="center"/>
                </w:tcPr>
                <w:p w14:paraId="3779BABA">
                  <w:pPr>
                    <w:widowControl/>
                    <w:adjustRightInd w:val="0"/>
                    <w:snapToGrid w:val="0"/>
                    <w:jc w:val="center"/>
                    <w:textAlignment w:val="bottom"/>
                    <w:rPr>
                      <w:rFonts w:ascii="Times New Roman" w:hAnsi="Times New Roman"/>
                      <w:color w:val="auto"/>
                      <w:szCs w:val="21"/>
                    </w:rPr>
                  </w:pPr>
                </w:p>
              </w:tc>
              <w:tc>
                <w:tcPr>
                  <w:tcW w:w="3317" w:type="dxa"/>
                  <w:vAlign w:val="center"/>
                </w:tcPr>
                <w:p w14:paraId="30238492">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（一）新建、扩建工业园区；</w:t>
                  </w:r>
                </w:p>
              </w:tc>
              <w:tc>
                <w:tcPr>
                  <w:tcW w:w="2506" w:type="dxa"/>
                  <w:vAlign w:val="center"/>
                </w:tcPr>
                <w:p w14:paraId="1FE29C34">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项目无此行为</w:t>
                  </w:r>
                </w:p>
              </w:tc>
              <w:tc>
                <w:tcPr>
                  <w:tcW w:w="816" w:type="dxa"/>
                  <w:vAlign w:val="center"/>
                </w:tcPr>
                <w:p w14:paraId="463A0625">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5B55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continue"/>
                  <w:vAlign w:val="center"/>
                </w:tcPr>
                <w:p w14:paraId="429E7109">
                  <w:pPr>
                    <w:widowControl/>
                    <w:adjustRightInd w:val="0"/>
                    <w:snapToGrid w:val="0"/>
                    <w:jc w:val="center"/>
                    <w:textAlignment w:val="bottom"/>
                    <w:rPr>
                      <w:rFonts w:ascii="Times New Roman" w:hAnsi="Times New Roman"/>
                      <w:color w:val="auto"/>
                      <w:szCs w:val="21"/>
                    </w:rPr>
                  </w:pPr>
                </w:p>
              </w:tc>
              <w:tc>
                <w:tcPr>
                  <w:tcW w:w="3317" w:type="dxa"/>
                  <w:vAlign w:val="center"/>
                </w:tcPr>
                <w:p w14:paraId="0ED590B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（二）新建、扩建重点水污染物排放的工业项目；</w:t>
                  </w:r>
                </w:p>
              </w:tc>
              <w:tc>
                <w:tcPr>
                  <w:tcW w:w="2506" w:type="dxa"/>
                  <w:vAlign w:val="center"/>
                </w:tcPr>
                <w:p w14:paraId="010B329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项目不属于重点水污染物排放工业项目</w:t>
                  </w:r>
                </w:p>
              </w:tc>
              <w:tc>
                <w:tcPr>
                  <w:tcW w:w="816" w:type="dxa"/>
                  <w:vAlign w:val="center"/>
                </w:tcPr>
                <w:p w14:paraId="6D77AFC7">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14:paraId="3362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438" w:type="dxa"/>
                  <w:vMerge w:val="continue"/>
                  <w:vAlign w:val="center"/>
                </w:tcPr>
                <w:p w14:paraId="30D258C7">
                  <w:pPr>
                    <w:widowControl/>
                    <w:adjustRightInd w:val="0"/>
                    <w:snapToGrid w:val="0"/>
                    <w:jc w:val="center"/>
                    <w:textAlignment w:val="bottom"/>
                    <w:rPr>
                      <w:rFonts w:ascii="Times New Roman" w:hAnsi="Times New Roman"/>
                      <w:color w:val="auto"/>
                      <w:szCs w:val="21"/>
                    </w:rPr>
                  </w:pPr>
                </w:p>
              </w:tc>
              <w:tc>
                <w:tcPr>
                  <w:tcW w:w="3317" w:type="dxa"/>
                  <w:vAlign w:val="center"/>
                </w:tcPr>
                <w:p w14:paraId="625DD274">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（三）新建、改建、扩建经营性陵园、公墓。</w:t>
                  </w:r>
                </w:p>
              </w:tc>
              <w:tc>
                <w:tcPr>
                  <w:tcW w:w="2506" w:type="dxa"/>
                  <w:vAlign w:val="center"/>
                </w:tcPr>
                <w:p w14:paraId="1A6A61EC">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项目不属于陵园、公墓</w:t>
                  </w:r>
                </w:p>
              </w:tc>
              <w:tc>
                <w:tcPr>
                  <w:tcW w:w="816" w:type="dxa"/>
                  <w:vAlign w:val="center"/>
                </w:tcPr>
                <w:p w14:paraId="46CA8606">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bl>
          <w:p w14:paraId="4E547952">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kern w:val="0"/>
                <w:sz w:val="24"/>
              </w:rPr>
              <w:t>由上表可知，项目不违反《云南省牛栏江保护条例》规定。项目的建设与《云南省牛栏江保护条例》相符。</w:t>
            </w:r>
          </w:p>
          <w:p w14:paraId="4288B7D7">
            <w:p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color w:val="auto"/>
                <w:kern w:val="0"/>
                <w:sz w:val="24"/>
                <w:lang w:val="en-US" w:eastAsia="zh-CN"/>
              </w:rPr>
              <w:t>5</w:t>
            </w:r>
            <w:r>
              <w:rPr>
                <w:rFonts w:ascii="Times New Roman" w:hAnsi="Times New Roman"/>
                <w:b/>
                <w:color w:val="auto"/>
                <w:kern w:val="0"/>
                <w:sz w:val="24"/>
              </w:rPr>
              <w:t>、</w:t>
            </w:r>
            <w:r>
              <w:rPr>
                <w:rFonts w:ascii="Times New Roman" w:hAnsi="Times New Roman"/>
                <w:b/>
                <w:bCs/>
                <w:color w:val="auto"/>
                <w:sz w:val="24"/>
              </w:rPr>
              <w:t>与《牛栏江流域（云南部分）水环境保护规划（2009~2030）》的相符性分析</w:t>
            </w:r>
          </w:p>
          <w:p w14:paraId="5E4AABBB">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sz w:val="24"/>
              </w:rPr>
              <w:t>根据流域具体情况及环境保护管理的需要，将牛栏江流域（云南部分）水环境保护划分为两大控制区，即牛栏江上游（德泽水库坝址以上）重点保护区、牛栏江下游生态与环境保护区，各分区范围节点如下：</w:t>
            </w:r>
          </w:p>
          <w:p w14:paraId="372112C7">
            <w:pPr>
              <w:autoSpaceDE w:val="0"/>
              <w:autoSpaceDN w:val="0"/>
              <w:adjustRightInd w:val="0"/>
              <w:snapToGrid w:val="0"/>
              <w:spacing w:line="360" w:lineRule="auto"/>
              <w:ind w:firstLine="482" w:firstLineChars="200"/>
              <w:jc w:val="left"/>
              <w:rPr>
                <w:rFonts w:ascii="Times New Roman" w:hAnsi="Times New Roman"/>
                <w:color w:val="auto"/>
                <w:sz w:val="24"/>
              </w:rPr>
            </w:pPr>
            <w:r>
              <w:rPr>
                <w:rFonts w:ascii="Times New Roman" w:hAnsi="Times New Roman"/>
                <w:b/>
                <w:bCs/>
                <w:color w:val="auto"/>
                <w:sz w:val="24"/>
              </w:rPr>
              <w:fldChar w:fldCharType="begin"/>
            </w:r>
            <w:r>
              <w:rPr>
                <w:rFonts w:ascii="Times New Roman" w:hAnsi="Times New Roman"/>
                <w:b/>
                <w:bCs/>
                <w:color w:val="auto"/>
                <w:sz w:val="24"/>
              </w:rPr>
              <w:instrText xml:space="preserve">=1\*ROMAN</w:instrText>
            </w:r>
            <w:r>
              <w:rPr>
                <w:rFonts w:ascii="Times New Roman" w:hAnsi="Times New Roman"/>
                <w:b/>
                <w:bCs/>
                <w:color w:val="auto"/>
                <w:sz w:val="24"/>
              </w:rPr>
              <w:fldChar w:fldCharType="separate"/>
            </w:r>
            <w:r>
              <w:rPr>
                <w:rFonts w:ascii="Times New Roman" w:hAnsi="Times New Roman"/>
                <w:b/>
                <w:bCs/>
                <w:color w:val="auto"/>
                <w:sz w:val="24"/>
              </w:rPr>
              <w:t>I</w:t>
            </w:r>
            <w:r>
              <w:rPr>
                <w:rFonts w:ascii="Times New Roman" w:hAnsi="Times New Roman"/>
                <w:b/>
                <w:bCs/>
                <w:color w:val="auto"/>
                <w:sz w:val="24"/>
              </w:rPr>
              <w:fldChar w:fldCharType="end"/>
            </w:r>
            <w:r>
              <w:rPr>
                <w:rFonts w:ascii="Times New Roman" w:hAnsi="Times New Roman"/>
                <w:b/>
                <w:bCs/>
                <w:color w:val="auto"/>
                <w:sz w:val="24"/>
              </w:rPr>
              <w:t>区：牛栏江上游（德泽水库坝址以上）重点保护区</w:t>
            </w:r>
            <w:r>
              <w:rPr>
                <w:rFonts w:ascii="Times New Roman" w:hAnsi="Times New Roman"/>
                <w:color w:val="auto"/>
                <w:sz w:val="24"/>
              </w:rPr>
              <w:t>，为牛栏江上游（德泽水库坝址以上）调水水源区流域范围，河长172km，流域面积4551km</w:t>
            </w:r>
            <w:r>
              <w:rPr>
                <w:rFonts w:ascii="Times New Roman" w:hAnsi="Times New Roman"/>
                <w:color w:val="auto"/>
                <w:sz w:val="24"/>
                <w:vertAlign w:val="superscript"/>
              </w:rPr>
              <w:t>2</w:t>
            </w:r>
            <w:r>
              <w:rPr>
                <w:rFonts w:ascii="Times New Roman" w:hAnsi="Times New Roman"/>
                <w:color w:val="auto"/>
                <w:sz w:val="24"/>
              </w:rPr>
              <w:t>。</w:t>
            </w:r>
          </w:p>
          <w:p w14:paraId="52CD50D5">
            <w:pPr>
              <w:pStyle w:val="11"/>
              <w:spacing w:before="0" w:after="0" w:line="360" w:lineRule="auto"/>
              <w:ind w:firstLine="482"/>
              <w:rPr>
                <w:rFonts w:ascii="Times New Roman" w:hAnsi="Times New Roman"/>
                <w:color w:val="auto"/>
                <w:sz w:val="24"/>
                <w:szCs w:val="24"/>
              </w:rPr>
            </w:pPr>
            <w:r>
              <w:rPr>
                <w:rFonts w:ascii="Times New Roman" w:hAnsi="Times New Roman"/>
                <w:b/>
                <w:bCs/>
                <w:color w:val="auto"/>
                <w:kern w:val="2"/>
                <w:sz w:val="24"/>
                <w:szCs w:val="24"/>
              </w:rPr>
              <w:t>I</w:t>
            </w:r>
            <w:r>
              <w:rPr>
                <w:rFonts w:ascii="Times New Roman" w:hAnsi="Times New Roman"/>
                <w:b/>
                <w:bCs/>
                <w:color w:val="auto"/>
                <w:kern w:val="2"/>
                <w:sz w:val="24"/>
                <w:szCs w:val="24"/>
                <w:vertAlign w:val="subscript"/>
              </w:rPr>
              <w:t>1</w:t>
            </w:r>
            <w:r>
              <w:rPr>
                <w:rFonts w:ascii="Times New Roman" w:hAnsi="Times New Roman"/>
                <w:b/>
                <w:bCs/>
                <w:color w:val="auto"/>
                <w:kern w:val="2"/>
                <w:sz w:val="24"/>
                <w:szCs w:val="24"/>
              </w:rPr>
              <w:t>水源保护核心区：</w:t>
            </w:r>
            <w:r>
              <w:rPr>
                <w:rFonts w:ascii="Times New Roman" w:hAnsi="Times New Roman"/>
                <w:color w:val="auto"/>
                <w:sz w:val="24"/>
                <w:szCs w:val="24"/>
              </w:rPr>
              <w:t>包</w:t>
            </w:r>
            <w:r>
              <w:rPr>
                <w:rFonts w:ascii="Times New Roman" w:hAnsi="Times New Roman"/>
                <w:color w:val="auto"/>
                <w:kern w:val="2"/>
                <w:sz w:val="24"/>
                <w:szCs w:val="24"/>
              </w:rPr>
              <w:t>括牛栏江干流水面，河岸外围陆域1000米范围；德泽水库水面，库岸外围陆域2000m范围。涉及乡镇主要有牛栏江镇、塘子镇、河口乡、七星乡、德泽乡，面积为625.3km</w:t>
            </w:r>
            <w:r>
              <w:rPr>
                <w:rFonts w:ascii="Times New Roman" w:hAnsi="Times New Roman"/>
                <w:color w:val="auto"/>
                <w:kern w:val="2"/>
                <w:sz w:val="24"/>
                <w:szCs w:val="24"/>
                <w:vertAlign w:val="superscript"/>
              </w:rPr>
              <w:t>2</w:t>
            </w:r>
            <w:r>
              <w:rPr>
                <w:rFonts w:ascii="Times New Roman" w:hAnsi="Times New Roman"/>
                <w:color w:val="auto"/>
                <w:kern w:val="2"/>
                <w:sz w:val="24"/>
                <w:szCs w:val="24"/>
              </w:rPr>
              <w:t>，属于本规划的重点保护区。</w:t>
            </w:r>
          </w:p>
          <w:p w14:paraId="2A5EEA65">
            <w:pPr>
              <w:pStyle w:val="15"/>
              <w:spacing w:after="0" w:line="360" w:lineRule="auto"/>
              <w:ind w:left="0" w:leftChars="0" w:firstLine="482"/>
              <w:rPr>
                <w:rFonts w:ascii="Times New Roman" w:hAnsi="Times New Roman"/>
                <w:color w:val="auto"/>
                <w:szCs w:val="24"/>
              </w:rPr>
            </w:pPr>
            <w:r>
              <w:rPr>
                <w:rFonts w:ascii="Times New Roman" w:hAnsi="Times New Roman"/>
                <w:b/>
                <w:color w:val="auto"/>
                <w:szCs w:val="24"/>
              </w:rPr>
              <w:t>I</w:t>
            </w:r>
            <w:r>
              <w:rPr>
                <w:rFonts w:ascii="Times New Roman" w:hAnsi="Times New Roman"/>
                <w:b/>
                <w:color w:val="auto"/>
                <w:szCs w:val="24"/>
                <w:vertAlign w:val="subscript"/>
              </w:rPr>
              <w:t>2</w:t>
            </w:r>
            <w:r>
              <w:rPr>
                <w:rFonts w:ascii="Times New Roman" w:hAnsi="Times New Roman"/>
                <w:b/>
                <w:color w:val="auto"/>
                <w:szCs w:val="24"/>
              </w:rPr>
              <w:t>重点污染控制区：</w:t>
            </w:r>
            <w:r>
              <w:rPr>
                <w:rFonts w:ascii="Times New Roman" w:hAnsi="Times New Roman"/>
                <w:color w:val="auto"/>
                <w:szCs w:val="24"/>
              </w:rPr>
              <w:t>主要是水源保护核心区边界外的坝区。涉及小哨乡、嵩阳镇、小街镇、杨桥乡、羊街镇、金所乡、月望乡、大坡乡、菱角乡、田坝乡十个乡镇，面积1892.56km</w:t>
            </w:r>
            <w:r>
              <w:rPr>
                <w:rFonts w:ascii="Times New Roman" w:hAnsi="Times New Roman"/>
                <w:color w:val="auto"/>
                <w:szCs w:val="24"/>
                <w:vertAlign w:val="superscript"/>
              </w:rPr>
              <w:t>2</w:t>
            </w:r>
            <w:r>
              <w:rPr>
                <w:rFonts w:ascii="Times New Roman" w:hAnsi="Times New Roman"/>
                <w:color w:val="auto"/>
                <w:szCs w:val="24"/>
              </w:rPr>
              <w:t>，属于本规划的污染重点治理区。</w:t>
            </w:r>
          </w:p>
          <w:p w14:paraId="32C8D68A">
            <w:pPr>
              <w:pStyle w:val="15"/>
              <w:spacing w:after="0" w:line="360" w:lineRule="auto"/>
              <w:ind w:left="0" w:leftChars="0" w:firstLine="482"/>
              <w:rPr>
                <w:rFonts w:ascii="Times New Roman" w:hAnsi="Times New Roman"/>
                <w:color w:val="auto"/>
                <w:szCs w:val="24"/>
              </w:rPr>
            </w:pPr>
            <w:r>
              <w:rPr>
                <w:rFonts w:ascii="Times New Roman" w:hAnsi="Times New Roman"/>
                <w:b/>
                <w:color w:val="auto"/>
                <w:szCs w:val="24"/>
              </w:rPr>
              <w:t>I</w:t>
            </w:r>
            <w:r>
              <w:rPr>
                <w:rFonts w:ascii="Times New Roman" w:hAnsi="Times New Roman"/>
                <w:b/>
                <w:color w:val="auto"/>
                <w:szCs w:val="24"/>
                <w:vertAlign w:val="subscript"/>
              </w:rPr>
              <w:t>3</w:t>
            </w:r>
            <w:r>
              <w:rPr>
                <w:rFonts w:ascii="Times New Roman" w:hAnsi="Times New Roman"/>
                <w:b/>
                <w:color w:val="auto"/>
                <w:szCs w:val="24"/>
              </w:rPr>
              <w:t>水源涵养区：</w:t>
            </w:r>
            <w:r>
              <w:rPr>
                <w:rFonts w:ascii="Times New Roman" w:hAnsi="Times New Roman"/>
                <w:color w:val="auto"/>
                <w:szCs w:val="24"/>
              </w:rPr>
              <w:t>包括除水源保护核心区、重点污染控制区以外的山地。涉及杨林镇、仁德镇、通泉镇、王家庄镇、马过河镇、旧县镇六个乡镇，面积1764.16km</w:t>
            </w:r>
            <w:r>
              <w:rPr>
                <w:rFonts w:ascii="Times New Roman" w:hAnsi="Times New Roman"/>
                <w:color w:val="auto"/>
                <w:szCs w:val="24"/>
                <w:vertAlign w:val="superscript"/>
              </w:rPr>
              <w:t>2</w:t>
            </w:r>
            <w:r>
              <w:rPr>
                <w:rFonts w:ascii="Times New Roman" w:hAnsi="Times New Roman"/>
                <w:color w:val="auto"/>
                <w:szCs w:val="24"/>
              </w:rPr>
              <w:t>。重点实施退耕还林、水土保持、营造水源涵养林等工程，引导农业生态化发展，加强区域生态保护。</w:t>
            </w:r>
          </w:p>
          <w:p w14:paraId="4497927A">
            <w:pPr>
              <w:pStyle w:val="11"/>
              <w:spacing w:before="0" w:after="0" w:line="360" w:lineRule="auto"/>
              <w:ind w:firstLine="482"/>
              <w:rPr>
                <w:rFonts w:ascii="Times New Roman" w:hAnsi="Times New Roman"/>
                <w:bCs/>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=2\*ROMAN</w:instrText>
            </w:r>
            <w:r>
              <w:rPr>
                <w:rFonts w:ascii="Times New Roman" w:hAnsi="Times New Roman"/>
                <w:b/>
                <w:color w:val="auto"/>
                <w:sz w:val="24"/>
                <w:szCs w:val="24"/>
              </w:rPr>
              <w:fldChar w:fldCharType="separate"/>
            </w:r>
            <w:r>
              <w:rPr>
                <w:rFonts w:ascii="Times New Roman" w:hAnsi="Times New Roman"/>
                <w:b/>
                <w:color w:val="auto"/>
                <w:sz w:val="24"/>
                <w:szCs w:val="24"/>
              </w:rPr>
              <w:t>II</w:t>
            </w:r>
            <w:r>
              <w:rPr>
                <w:rFonts w:ascii="Times New Roman" w:hAnsi="Times New Roman"/>
                <w:b/>
                <w:color w:val="auto"/>
                <w:sz w:val="24"/>
                <w:szCs w:val="24"/>
              </w:rPr>
              <w:fldChar w:fldCharType="end"/>
            </w:r>
            <w:r>
              <w:rPr>
                <w:rFonts w:ascii="Times New Roman" w:hAnsi="Times New Roman"/>
                <w:b/>
                <w:color w:val="auto"/>
                <w:sz w:val="24"/>
                <w:szCs w:val="24"/>
              </w:rPr>
              <w:t>区牛栏江下游生态与环境保护区：</w:t>
            </w:r>
            <w:r>
              <w:rPr>
                <w:rFonts w:ascii="Times New Roman" w:hAnsi="Times New Roman"/>
                <w:color w:val="auto"/>
                <w:sz w:val="24"/>
                <w:szCs w:val="24"/>
              </w:rPr>
              <w:t>为</w:t>
            </w:r>
            <w:r>
              <w:rPr>
                <w:rFonts w:ascii="Times New Roman" w:hAnsi="Times New Roman"/>
                <w:bCs/>
                <w:color w:val="auto"/>
                <w:sz w:val="24"/>
                <w:szCs w:val="24"/>
              </w:rPr>
              <w:t>牛栏江下游（德泽水库坝址以下）</w:t>
            </w:r>
            <w:r>
              <w:rPr>
                <w:rFonts w:ascii="Times New Roman" w:hAnsi="Times New Roman"/>
                <w:color w:val="auto"/>
                <w:sz w:val="24"/>
                <w:szCs w:val="24"/>
              </w:rPr>
              <w:t>至金沙江入口流域范围</w:t>
            </w:r>
            <w:r>
              <w:rPr>
                <w:rFonts w:ascii="Times New Roman" w:hAnsi="Times New Roman"/>
                <w:bCs/>
                <w:color w:val="auto"/>
                <w:sz w:val="24"/>
                <w:szCs w:val="24"/>
              </w:rPr>
              <w:t>。河长268</w:t>
            </w:r>
            <w:r>
              <w:rPr>
                <w:rFonts w:ascii="Times New Roman" w:hAnsi="Times New Roman"/>
                <w:color w:val="auto"/>
                <w:sz w:val="24"/>
                <w:szCs w:val="24"/>
              </w:rPr>
              <w:t>km，流域面积9121km</w:t>
            </w:r>
            <w:r>
              <w:rPr>
                <w:rFonts w:ascii="Times New Roman" w:hAnsi="Times New Roman"/>
                <w:color w:val="auto"/>
                <w:sz w:val="24"/>
                <w:szCs w:val="24"/>
                <w:vertAlign w:val="superscript"/>
              </w:rPr>
              <w:t>2</w:t>
            </w:r>
            <w:r>
              <w:rPr>
                <w:rFonts w:ascii="Times New Roman" w:hAnsi="Times New Roman"/>
                <w:bCs/>
                <w:color w:val="auto"/>
                <w:sz w:val="24"/>
                <w:szCs w:val="24"/>
              </w:rPr>
              <w:t>。</w:t>
            </w:r>
          </w:p>
          <w:p w14:paraId="3F0A9669">
            <w:pPr>
              <w:pStyle w:val="6"/>
              <w:ind w:firstLine="482" w:firstLineChars="200"/>
              <w:rPr>
                <w:rFonts w:ascii="Times New Roman" w:hAnsi="Times New Roman"/>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=2\*ROMAN</w:instrText>
            </w:r>
            <w:r>
              <w:rPr>
                <w:rFonts w:ascii="Times New Roman" w:hAnsi="Times New Roman"/>
                <w:b/>
                <w:color w:val="auto"/>
                <w:sz w:val="24"/>
                <w:szCs w:val="24"/>
              </w:rPr>
              <w:fldChar w:fldCharType="separate"/>
            </w:r>
            <w:r>
              <w:rPr>
                <w:rFonts w:ascii="Times New Roman" w:hAnsi="Times New Roman"/>
                <w:b/>
                <w:color w:val="auto"/>
                <w:sz w:val="24"/>
                <w:szCs w:val="24"/>
              </w:rPr>
              <w:t>II</w:t>
            </w:r>
            <w:r>
              <w:rPr>
                <w:rFonts w:ascii="Times New Roman" w:hAnsi="Times New Roman"/>
                <w:b/>
                <w:color w:val="auto"/>
                <w:sz w:val="24"/>
                <w:szCs w:val="24"/>
              </w:rPr>
              <w:fldChar w:fldCharType="end"/>
            </w:r>
            <w:r>
              <w:rPr>
                <w:rFonts w:ascii="Times New Roman" w:hAnsi="Times New Roman"/>
                <w:b/>
                <w:color w:val="auto"/>
                <w:sz w:val="24"/>
                <w:szCs w:val="24"/>
                <w:vertAlign w:val="subscript"/>
              </w:rPr>
              <w:t>1</w:t>
            </w:r>
            <w:r>
              <w:rPr>
                <w:rFonts w:ascii="Times New Roman" w:hAnsi="Times New Roman"/>
                <w:b/>
                <w:color w:val="auto"/>
                <w:sz w:val="24"/>
                <w:szCs w:val="24"/>
              </w:rPr>
              <w:t>下游重点污染控制区：</w:t>
            </w:r>
            <w:r>
              <w:rPr>
                <w:rFonts w:ascii="Times New Roman" w:hAnsi="Times New Roman"/>
                <w:color w:val="auto"/>
                <w:sz w:val="24"/>
                <w:szCs w:val="24"/>
              </w:rPr>
              <w:t>主要是牛栏江下游河谷区坝区。涉及梭山乡、小河镇、务德镇、西泽乡、热水镇、上村乡、雨碌乡、纸厂乡、马路、火红乡、鲁纳乡、火德红乡、龙头山镇、乐红乡、红山乡、田坝乡十六个乡镇，面积1387.78km</w:t>
            </w:r>
            <w:r>
              <w:rPr>
                <w:rFonts w:ascii="Times New Roman" w:hAnsi="Times New Roman"/>
                <w:color w:val="auto"/>
                <w:sz w:val="24"/>
                <w:szCs w:val="24"/>
                <w:vertAlign w:val="superscript"/>
              </w:rPr>
              <w:t>2</w:t>
            </w:r>
            <w:r>
              <w:rPr>
                <w:rFonts w:ascii="Times New Roman" w:hAnsi="Times New Roman"/>
                <w:color w:val="auto"/>
                <w:sz w:val="24"/>
                <w:szCs w:val="24"/>
              </w:rPr>
              <w:t>。</w:t>
            </w:r>
          </w:p>
          <w:p w14:paraId="0BA10591">
            <w:pPr>
              <w:spacing w:line="360" w:lineRule="auto"/>
              <w:ind w:firstLine="472" w:firstLineChars="196"/>
              <w:rPr>
                <w:rFonts w:ascii="Times New Roman" w:hAnsi="Times New Roman"/>
                <w:color w:val="auto"/>
                <w:sz w:val="24"/>
              </w:rPr>
            </w:pPr>
            <w:r>
              <w:rPr>
                <w:rFonts w:ascii="Times New Roman" w:hAnsi="Times New Roman"/>
                <w:b/>
                <w:color w:val="auto"/>
                <w:kern w:val="0"/>
                <w:sz w:val="24"/>
              </w:rPr>
              <w:fldChar w:fldCharType="begin"/>
            </w:r>
            <w:r>
              <w:rPr>
                <w:rFonts w:ascii="Times New Roman" w:hAnsi="Times New Roman"/>
                <w:b/>
                <w:color w:val="auto"/>
                <w:kern w:val="0"/>
                <w:sz w:val="24"/>
              </w:rPr>
              <w:instrText xml:space="preserve">=2\*ROMAN</w:instrText>
            </w:r>
            <w:r>
              <w:rPr>
                <w:rFonts w:ascii="Times New Roman" w:hAnsi="Times New Roman"/>
                <w:b/>
                <w:color w:val="auto"/>
                <w:kern w:val="0"/>
                <w:sz w:val="24"/>
              </w:rPr>
              <w:fldChar w:fldCharType="separate"/>
            </w:r>
            <w:r>
              <w:rPr>
                <w:rFonts w:ascii="Times New Roman" w:hAnsi="Times New Roman"/>
                <w:b/>
                <w:color w:val="auto"/>
                <w:kern w:val="0"/>
                <w:sz w:val="24"/>
              </w:rPr>
              <w:t>II</w:t>
            </w:r>
            <w:r>
              <w:rPr>
                <w:rFonts w:ascii="Times New Roman" w:hAnsi="Times New Roman"/>
                <w:b/>
                <w:color w:val="auto"/>
                <w:kern w:val="0"/>
                <w:sz w:val="24"/>
              </w:rPr>
              <w:fldChar w:fldCharType="end"/>
            </w:r>
            <w:r>
              <w:rPr>
                <w:rFonts w:ascii="Times New Roman" w:hAnsi="Times New Roman"/>
                <w:b/>
                <w:color w:val="auto"/>
                <w:kern w:val="0"/>
                <w:sz w:val="24"/>
                <w:vertAlign w:val="subscript"/>
              </w:rPr>
              <w:t>2</w:t>
            </w:r>
            <w:r>
              <w:rPr>
                <w:rFonts w:ascii="Times New Roman" w:hAnsi="Times New Roman"/>
                <w:b/>
                <w:color w:val="auto"/>
                <w:sz w:val="24"/>
              </w:rPr>
              <w:t>水源涵养区：</w:t>
            </w:r>
            <w:r>
              <w:rPr>
                <w:rFonts w:ascii="Times New Roman" w:hAnsi="Times New Roman"/>
                <w:color w:val="auto"/>
                <w:sz w:val="24"/>
              </w:rPr>
              <w:t>主要是重点污染控制区</w:t>
            </w:r>
            <w:r>
              <w:rPr>
                <w:rFonts w:ascii="Times New Roman" w:hAnsi="Times New Roman"/>
                <w:color w:val="auto"/>
                <w:kern w:val="0"/>
                <w:sz w:val="24"/>
              </w:rPr>
              <w:t>以外</w:t>
            </w:r>
            <w:r>
              <w:rPr>
                <w:rFonts w:ascii="Times New Roman" w:hAnsi="Times New Roman"/>
                <w:color w:val="auto"/>
                <w:sz w:val="24"/>
              </w:rPr>
              <w:t>的山地，涉及乐业镇、大桥乡、大井镇、矿山镇、迤车镇、新店乡、老店乡、包谷垴乡八个乡镇，面积5078.12km</w:t>
            </w:r>
            <w:r>
              <w:rPr>
                <w:rFonts w:ascii="Times New Roman" w:hAnsi="Times New Roman"/>
                <w:color w:val="auto"/>
                <w:sz w:val="24"/>
                <w:vertAlign w:val="superscript"/>
              </w:rPr>
              <w:t>2</w:t>
            </w:r>
            <w:r>
              <w:rPr>
                <w:rFonts w:ascii="Times New Roman" w:hAnsi="Times New Roman"/>
                <w:color w:val="auto"/>
                <w:sz w:val="24"/>
              </w:rPr>
              <w:t>。</w:t>
            </w:r>
          </w:p>
          <w:p w14:paraId="412DE47F">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s="Times New Roman"/>
                <w:bCs/>
                <w:color w:val="auto"/>
                <w:kern w:val="0"/>
                <w:sz w:val="24"/>
              </w:rPr>
              <w:t>本项目位于</w:t>
            </w:r>
            <w:r>
              <w:rPr>
                <w:rFonts w:hint="eastAsia" w:ascii="Times New Roman" w:hAnsi="Times New Roman" w:cs="Times New Roman"/>
                <w:bCs/>
                <w:color w:val="auto"/>
                <w:kern w:val="0"/>
                <w:sz w:val="24"/>
                <w:lang w:val="en-US" w:eastAsia="zh-CN"/>
              </w:rPr>
              <w:t>位于寻甸县仁德街道办事处易天线小功山寻甸仁德子超养殖场内已建厂房</w:t>
            </w:r>
            <w:r>
              <w:rPr>
                <w:rFonts w:ascii="Times New Roman" w:hAnsi="Times New Roman" w:cs="Times New Roman"/>
                <w:bCs/>
                <w:color w:val="auto"/>
                <w:kern w:val="0"/>
                <w:sz w:val="24"/>
              </w:rPr>
              <w:t>，</w:t>
            </w:r>
            <w:r>
              <w:rPr>
                <w:rFonts w:ascii="Times New Roman" w:hAnsi="Times New Roman"/>
                <w:color w:val="auto"/>
                <w:sz w:val="24"/>
              </w:rPr>
              <w:t>牛栏江位于本项目的</w:t>
            </w:r>
            <w:r>
              <w:rPr>
                <w:rFonts w:hint="eastAsia" w:ascii="Times New Roman" w:hAnsi="Times New Roman"/>
                <w:color w:val="auto"/>
                <w:sz w:val="24"/>
                <w:lang w:val="en-US" w:eastAsia="zh-CN"/>
              </w:rPr>
              <w:t>东侧7.5k</w:t>
            </w:r>
            <w:r>
              <w:rPr>
                <w:rFonts w:ascii="Times New Roman" w:hAnsi="Times New Roman"/>
                <w:color w:val="auto"/>
                <w:sz w:val="24"/>
              </w:rPr>
              <w:t>m处，属于牛栏江流域重点污染控制区。</w:t>
            </w:r>
          </w:p>
          <w:p w14:paraId="58C752DC">
            <w:pPr>
              <w:widowControl/>
              <w:adjustRightInd w:val="0"/>
              <w:snapToGrid w:val="0"/>
              <w:jc w:val="center"/>
              <w:rPr>
                <w:rFonts w:ascii="Times New Roman" w:hAnsi="Times New Roman"/>
                <w:b/>
                <w:bCs/>
                <w:color w:val="auto"/>
                <w:kern w:val="0"/>
                <w:szCs w:val="21"/>
              </w:rPr>
            </w:pPr>
            <w:r>
              <w:rPr>
                <w:rFonts w:ascii="Times New Roman" w:hAnsi="Times New Roman"/>
                <w:b/>
                <w:bCs/>
                <w:color w:val="auto"/>
                <w:szCs w:val="21"/>
              </w:rPr>
              <w:t>表1-</w:t>
            </w:r>
            <w:r>
              <w:rPr>
                <w:rFonts w:hint="eastAsia" w:ascii="Times New Roman" w:hAnsi="Times New Roman"/>
                <w:b/>
                <w:bCs/>
                <w:color w:val="auto"/>
                <w:szCs w:val="21"/>
                <w:lang w:val="en-US" w:eastAsia="zh-CN"/>
              </w:rPr>
              <w:t xml:space="preserve">5 </w:t>
            </w:r>
            <w:r>
              <w:rPr>
                <w:rFonts w:ascii="Times New Roman" w:hAnsi="Times New Roman"/>
                <w:b/>
                <w:bCs/>
                <w:color w:val="auto"/>
                <w:szCs w:val="21"/>
              </w:rPr>
              <w:t>本项目与牛栏江流域（云南部分）水环境保护规划符合性分析</w:t>
            </w:r>
          </w:p>
          <w:tbl>
            <w:tblPr>
              <w:tblStyle w:val="28"/>
              <w:tblW w:w="6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4"/>
              <w:gridCol w:w="2626"/>
              <w:gridCol w:w="928"/>
            </w:tblGrid>
            <w:tr w14:paraId="0748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264" w:type="dxa"/>
                  <w:tcBorders>
                    <w:top w:val="single" w:color="auto" w:sz="4" w:space="0"/>
                    <w:left w:val="single" w:color="auto" w:sz="4" w:space="0"/>
                    <w:bottom w:val="single" w:color="auto" w:sz="4" w:space="0"/>
                    <w:right w:val="single" w:color="auto" w:sz="4" w:space="0"/>
                  </w:tcBorders>
                  <w:vAlign w:val="center"/>
                </w:tcPr>
                <w:p w14:paraId="3027B26D">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重点</w:t>
                  </w:r>
                  <w:r>
                    <w:rPr>
                      <w:rFonts w:ascii="Times New Roman" w:hAnsi="Times New Roman"/>
                      <w:b/>
                      <w:color w:val="auto"/>
                      <w:szCs w:val="21"/>
                    </w:rPr>
                    <w:t>污染控制区禁止行为</w:t>
                  </w:r>
                </w:p>
              </w:tc>
              <w:tc>
                <w:tcPr>
                  <w:tcW w:w="2626" w:type="dxa"/>
                  <w:tcBorders>
                    <w:top w:val="single" w:color="auto" w:sz="4" w:space="0"/>
                    <w:left w:val="single" w:color="auto" w:sz="4" w:space="0"/>
                    <w:bottom w:val="single" w:color="auto" w:sz="4" w:space="0"/>
                    <w:right w:val="single" w:color="auto" w:sz="4" w:space="0"/>
                  </w:tcBorders>
                  <w:vAlign w:val="center"/>
                </w:tcPr>
                <w:p w14:paraId="33718F6F">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本项目情况</w:t>
                  </w:r>
                </w:p>
              </w:tc>
              <w:tc>
                <w:tcPr>
                  <w:tcW w:w="928" w:type="dxa"/>
                  <w:tcBorders>
                    <w:top w:val="single" w:color="auto" w:sz="4" w:space="0"/>
                    <w:left w:val="single" w:color="auto" w:sz="4" w:space="0"/>
                    <w:bottom w:val="single" w:color="auto" w:sz="4" w:space="0"/>
                    <w:right w:val="single" w:color="auto" w:sz="4" w:space="0"/>
                  </w:tcBorders>
                  <w:vAlign w:val="center"/>
                </w:tcPr>
                <w:p w14:paraId="22EB8607">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符合性分析</w:t>
                  </w:r>
                </w:p>
              </w:tc>
            </w:tr>
            <w:tr w14:paraId="7001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jc w:val="center"/>
              </w:trPr>
              <w:tc>
                <w:tcPr>
                  <w:tcW w:w="3264" w:type="dxa"/>
                  <w:tcBorders>
                    <w:top w:val="single" w:color="auto" w:sz="4" w:space="0"/>
                    <w:left w:val="single" w:color="auto" w:sz="4" w:space="0"/>
                    <w:bottom w:val="single" w:color="auto" w:sz="4" w:space="0"/>
                    <w:right w:val="single" w:color="auto" w:sz="4" w:space="0"/>
                  </w:tcBorders>
                  <w:vAlign w:val="center"/>
                </w:tcPr>
                <w:p w14:paraId="456EB87E">
                  <w:pPr>
                    <w:adjustRightInd w:val="0"/>
                    <w:snapToGrid w:val="0"/>
                    <w:jc w:val="center"/>
                    <w:rPr>
                      <w:rFonts w:ascii="Times New Roman" w:hAnsi="Times New Roman"/>
                      <w:color w:val="auto"/>
                      <w:szCs w:val="21"/>
                    </w:rPr>
                  </w:pPr>
                  <w:r>
                    <w:rPr>
                      <w:rFonts w:ascii="Times New Roman" w:hAnsi="Times New Roman"/>
                      <w:color w:val="auto"/>
                      <w:szCs w:val="21"/>
                    </w:rPr>
                    <w:t>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化学需氧量、总氮、总磷排放量；新建、改建、扩建工业项目应采用先进的生产工艺和污染防治技术，其清洁生产水平应达到国家清洁生产标准中的国内先进水平。</w:t>
                  </w:r>
                </w:p>
              </w:tc>
              <w:tc>
                <w:tcPr>
                  <w:tcW w:w="2626" w:type="dxa"/>
                  <w:tcBorders>
                    <w:top w:val="single" w:color="auto" w:sz="4" w:space="0"/>
                    <w:left w:val="single" w:color="auto" w:sz="4" w:space="0"/>
                    <w:bottom w:val="single" w:color="auto" w:sz="4" w:space="0"/>
                    <w:right w:val="single" w:color="auto" w:sz="4" w:space="0"/>
                  </w:tcBorders>
                  <w:vAlign w:val="center"/>
                </w:tcPr>
                <w:p w14:paraId="5AE5FFFC">
                  <w:pPr>
                    <w:jc w:val="center"/>
                    <w:rPr>
                      <w:rFonts w:ascii="Times New Roman" w:hAnsi="Times New Roman"/>
                      <w:color w:val="auto"/>
                      <w:szCs w:val="21"/>
                    </w:rPr>
                  </w:pPr>
                  <w:r>
                    <w:rPr>
                      <w:rFonts w:ascii="Times New Roman" w:hAnsi="Times New Roman" w:cs="Times New Roman"/>
                      <w:color w:val="auto"/>
                      <w:szCs w:val="21"/>
                    </w:rPr>
                    <w:t>项目为</w:t>
                  </w:r>
                  <w:r>
                    <w:rPr>
                      <w:rFonts w:hint="eastAsia" w:ascii="Times New Roman" w:hAnsi="Times New Roman" w:cs="Times New Roman"/>
                      <w:color w:val="auto"/>
                      <w:szCs w:val="21"/>
                      <w:lang w:val="en-US" w:eastAsia="zh-CN"/>
                    </w:rPr>
                    <w:t>洗染服务行业</w:t>
                  </w:r>
                  <w:r>
                    <w:rPr>
                      <w:rFonts w:ascii="Times New Roman" w:hAnsi="Times New Roman" w:cs="Times New Roman"/>
                      <w:color w:val="auto"/>
                      <w:szCs w:val="21"/>
                    </w:rPr>
                    <w:t>；项目不属于《产业结构调整指导目录（</w:t>
                  </w:r>
                  <w:r>
                    <w:rPr>
                      <w:rFonts w:hint="eastAsia" w:ascii="Times New Roman" w:hAnsi="Times New Roman" w:cs="Times New Roman"/>
                      <w:color w:val="auto"/>
                      <w:szCs w:val="21"/>
                      <w:lang w:val="en-US" w:eastAsia="zh-CN"/>
                    </w:rPr>
                    <w:t>2024</w:t>
                  </w:r>
                  <w:r>
                    <w:rPr>
                      <w:rFonts w:ascii="Times New Roman" w:hAnsi="Times New Roman" w:cs="Times New Roman"/>
                      <w:color w:val="auto"/>
                      <w:szCs w:val="21"/>
                    </w:rPr>
                    <w:t>年</w:t>
                  </w:r>
                  <w:r>
                    <w:rPr>
                      <w:rFonts w:hint="eastAsia" w:ascii="Times New Roman" w:hAnsi="Times New Roman" w:cs="Times New Roman"/>
                      <w:color w:val="auto"/>
                      <w:szCs w:val="21"/>
                      <w:lang w:val="en-US" w:eastAsia="zh-CN"/>
                    </w:rPr>
                    <w:t>版</w:t>
                  </w:r>
                  <w:r>
                    <w:rPr>
                      <w:rFonts w:ascii="Times New Roman" w:hAnsi="Times New Roman" w:cs="Times New Roman"/>
                      <w:color w:val="auto"/>
                      <w:szCs w:val="21"/>
                    </w:rPr>
                    <w:t>）中禁止类及限制类，属于允许类，符合国家产业政策。不属于钢铁、有色冶金、基础化工、农药、电镀、造纸制浆、制革、印染、石棉制品、土硫磺、土磷肥和染料等企业和项目。</w:t>
                  </w:r>
                  <w:r>
                    <w:rPr>
                      <w:rFonts w:hint="eastAsia" w:ascii="Times New Roman" w:hAnsi="Times New Roman" w:cs="Times New Roman"/>
                      <w:color w:val="auto"/>
                      <w:szCs w:val="21"/>
                    </w:rPr>
                    <w:t>项目</w:t>
                  </w:r>
                  <w:r>
                    <w:rPr>
                      <w:rFonts w:hint="eastAsia" w:ascii="Times New Roman" w:hAnsi="Times New Roman" w:cs="Times New Roman"/>
                      <w:color w:val="auto"/>
                      <w:szCs w:val="21"/>
                      <w:lang w:val="en-US" w:eastAsia="zh-CN"/>
                    </w:rPr>
                    <w:t>生产废水</w:t>
                  </w:r>
                  <w:r>
                    <w:rPr>
                      <w:rFonts w:hint="eastAsia" w:ascii="Times New Roman" w:hAnsi="Times New Roman" w:cs="Times New Roman"/>
                      <w:color w:val="auto"/>
                      <w:szCs w:val="21"/>
                    </w:rPr>
                    <w:t>经</w:t>
                  </w:r>
                  <w:r>
                    <w:rPr>
                      <w:rFonts w:hint="eastAsia" w:ascii="Times New Roman" w:hAnsi="Times New Roman" w:cs="Times New Roman"/>
                      <w:color w:val="auto"/>
                      <w:szCs w:val="21"/>
                      <w:lang w:val="en-US" w:eastAsia="zh-CN"/>
                    </w:rPr>
                    <w:t>三级沉淀处理达标后与经化粪池处理达标后的生活污水合并外排易天线市政污水管网，最终进入寻甸县污</w:t>
                  </w:r>
                  <w:r>
                    <w:rPr>
                      <w:rFonts w:hint="eastAsia" w:ascii="Times New Roman" w:hAnsi="Times New Roman" w:cs="Times New Roman"/>
                      <w:color w:val="auto"/>
                      <w:kern w:val="0"/>
                      <w:szCs w:val="21"/>
                      <w:highlight w:val="none"/>
                      <w:lang w:val="en-US" w:eastAsia="zh-CN"/>
                    </w:rPr>
                    <w:t>水处理厂统一处理</w:t>
                  </w:r>
                  <w:r>
                    <w:rPr>
                      <w:rFonts w:hint="eastAsia" w:ascii="Times New Roman" w:hAnsi="Times New Roman" w:cs="Times New Roman"/>
                      <w:color w:val="auto"/>
                      <w:kern w:val="0"/>
                      <w:szCs w:val="21"/>
                      <w:highlight w:val="none"/>
                      <w:lang w:eastAsia="zh-CN"/>
                    </w:rPr>
                    <w:t>。</w:t>
                  </w:r>
                </w:p>
              </w:tc>
              <w:tc>
                <w:tcPr>
                  <w:tcW w:w="928" w:type="dxa"/>
                  <w:tcBorders>
                    <w:top w:val="single" w:color="auto" w:sz="4" w:space="0"/>
                    <w:left w:val="single" w:color="auto" w:sz="4" w:space="0"/>
                    <w:bottom w:val="single" w:color="auto" w:sz="4" w:space="0"/>
                    <w:right w:val="single" w:color="auto" w:sz="4" w:space="0"/>
                  </w:tcBorders>
                  <w:vAlign w:val="center"/>
                </w:tcPr>
                <w:p w14:paraId="776D2F9E">
                  <w:pPr>
                    <w:adjustRightInd w:val="0"/>
                    <w:snapToGrid w:val="0"/>
                    <w:jc w:val="center"/>
                    <w:rPr>
                      <w:rFonts w:ascii="Times New Roman" w:hAnsi="Times New Roman"/>
                      <w:color w:val="auto"/>
                      <w:szCs w:val="21"/>
                      <w:lang w:val="zh-CN"/>
                    </w:rPr>
                  </w:pPr>
                  <w:r>
                    <w:rPr>
                      <w:rFonts w:ascii="Times New Roman" w:hAnsi="Times New Roman"/>
                      <w:color w:val="auto"/>
                      <w:szCs w:val="21"/>
                      <w:lang w:val="zh-CN"/>
                    </w:rPr>
                    <w:t>符合</w:t>
                  </w:r>
                </w:p>
              </w:tc>
            </w:tr>
          </w:tbl>
          <w:p w14:paraId="32346E2A">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由上表可知，项目不违反《牛栏江流域（云南部分）水环境保护规划》（2009-2030年）对重点污染控制区的水环境保护要求。项目的建设与《牛栏江流域（云南部分）水环境保护规划》（2009-2030年）相符。</w:t>
            </w:r>
          </w:p>
          <w:p w14:paraId="2834F5B0">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6</w:t>
            </w:r>
            <w:r>
              <w:rPr>
                <w:rFonts w:ascii="Times New Roman" w:hAnsi="Times New Roman"/>
                <w:b/>
                <w:color w:val="auto"/>
                <w:kern w:val="0"/>
                <w:sz w:val="24"/>
              </w:rPr>
              <w:t>、与《牛栏江流域（昆明段）水环境保护规划（2009~2030）》的相符性分析</w:t>
            </w:r>
          </w:p>
          <w:p w14:paraId="287D2906">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项目与《牛栏江流域（昆明段）水污染防治工作方案》分析情况如表下。</w:t>
            </w:r>
          </w:p>
          <w:p w14:paraId="1D3A79CB">
            <w:pPr>
              <w:autoSpaceDE w:val="0"/>
              <w:autoSpaceDN w:val="0"/>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表1-</w:t>
            </w:r>
            <w:r>
              <w:rPr>
                <w:rFonts w:hint="eastAsia" w:ascii="Times New Roman" w:hAnsi="Times New Roman"/>
                <w:b/>
                <w:color w:val="auto"/>
                <w:kern w:val="0"/>
                <w:szCs w:val="21"/>
                <w:lang w:val="en-US" w:eastAsia="zh-CN"/>
              </w:rPr>
              <w:t xml:space="preserve">6 </w:t>
            </w:r>
            <w:r>
              <w:rPr>
                <w:rFonts w:ascii="Times New Roman" w:hAnsi="Times New Roman"/>
                <w:b/>
                <w:bCs/>
                <w:color w:val="auto"/>
                <w:szCs w:val="21"/>
                <w:lang w:val="zh-CN"/>
              </w:rPr>
              <w:t>本项目与</w:t>
            </w:r>
            <w:r>
              <w:rPr>
                <w:rFonts w:ascii="Times New Roman" w:hAnsi="Times New Roman"/>
                <w:b/>
                <w:color w:val="auto"/>
                <w:kern w:val="0"/>
                <w:szCs w:val="21"/>
              </w:rPr>
              <w:t>《牛栏江流域（昆明段）水污染防治工作方案》的</w:t>
            </w:r>
            <w:r>
              <w:rPr>
                <w:rFonts w:ascii="Times New Roman" w:hAnsi="Times New Roman"/>
                <w:b/>
                <w:bCs/>
                <w:color w:val="auto"/>
                <w:szCs w:val="21"/>
                <w:lang w:val="zh-CN"/>
              </w:rPr>
              <w:t>符合性分析</w:t>
            </w:r>
          </w:p>
          <w:tbl>
            <w:tblPr>
              <w:tblStyle w:val="28"/>
              <w:tblW w:w="693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81"/>
              <w:gridCol w:w="2648"/>
              <w:gridCol w:w="2336"/>
              <w:gridCol w:w="774"/>
            </w:tblGrid>
            <w:tr w14:paraId="639ED3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13" w:hRule="atLeast"/>
                <w:jc w:val="center"/>
              </w:trPr>
              <w:tc>
                <w:tcPr>
                  <w:tcW w:w="1181" w:type="dxa"/>
                  <w:tcBorders>
                    <w:top w:val="single" w:color="auto" w:sz="8" w:space="0"/>
                    <w:left w:val="single" w:color="auto" w:sz="8" w:space="0"/>
                    <w:bottom w:val="single" w:color="auto" w:sz="8" w:space="0"/>
                    <w:right w:val="single" w:color="auto" w:sz="8" w:space="0"/>
                  </w:tcBorders>
                  <w:vAlign w:val="center"/>
                </w:tcPr>
                <w:p w14:paraId="624DCDC9">
                  <w:pPr>
                    <w:jc w:val="center"/>
                    <w:rPr>
                      <w:rFonts w:ascii="Times New Roman" w:hAnsi="Times New Roman"/>
                      <w:b/>
                      <w:color w:val="auto"/>
                      <w:szCs w:val="21"/>
                    </w:rPr>
                  </w:pPr>
                  <w:r>
                    <w:rPr>
                      <w:rFonts w:ascii="Times New Roman" w:hAnsi="Times New Roman"/>
                      <w:b/>
                      <w:color w:val="auto"/>
                      <w:szCs w:val="21"/>
                    </w:rPr>
                    <w:t>项目</w:t>
                  </w:r>
                </w:p>
              </w:tc>
              <w:tc>
                <w:tcPr>
                  <w:tcW w:w="2648" w:type="dxa"/>
                  <w:tcBorders>
                    <w:top w:val="single" w:color="auto" w:sz="8" w:space="0"/>
                    <w:left w:val="single" w:color="auto" w:sz="8" w:space="0"/>
                    <w:bottom w:val="single" w:color="auto" w:sz="8" w:space="0"/>
                    <w:right w:val="single" w:color="auto" w:sz="8" w:space="0"/>
                  </w:tcBorders>
                  <w:vAlign w:val="center"/>
                </w:tcPr>
                <w:p w14:paraId="1DE747A0">
                  <w:pPr>
                    <w:jc w:val="center"/>
                    <w:rPr>
                      <w:rFonts w:ascii="Times New Roman" w:hAnsi="Times New Roman"/>
                      <w:b/>
                      <w:color w:val="auto"/>
                      <w:szCs w:val="21"/>
                    </w:rPr>
                  </w:pPr>
                  <w:r>
                    <w:rPr>
                      <w:rFonts w:ascii="Times New Roman" w:hAnsi="Times New Roman"/>
                      <w:b/>
                      <w:color w:val="auto"/>
                      <w:szCs w:val="21"/>
                    </w:rPr>
                    <w:t>方案内容</w:t>
                  </w:r>
                </w:p>
              </w:tc>
              <w:tc>
                <w:tcPr>
                  <w:tcW w:w="2336" w:type="dxa"/>
                  <w:tcBorders>
                    <w:top w:val="single" w:color="auto" w:sz="8" w:space="0"/>
                    <w:left w:val="single" w:color="auto" w:sz="8" w:space="0"/>
                    <w:bottom w:val="single" w:color="auto" w:sz="8" w:space="0"/>
                    <w:right w:val="single" w:color="auto" w:sz="8" w:space="0"/>
                  </w:tcBorders>
                  <w:vAlign w:val="center"/>
                </w:tcPr>
                <w:p w14:paraId="1780941C">
                  <w:pPr>
                    <w:jc w:val="center"/>
                    <w:rPr>
                      <w:rFonts w:ascii="Times New Roman" w:hAnsi="Times New Roman"/>
                      <w:b/>
                      <w:color w:val="auto"/>
                      <w:szCs w:val="21"/>
                    </w:rPr>
                  </w:pPr>
                  <w:r>
                    <w:rPr>
                      <w:rFonts w:ascii="Times New Roman" w:hAnsi="Times New Roman"/>
                      <w:b/>
                      <w:color w:val="auto"/>
                      <w:szCs w:val="21"/>
                    </w:rPr>
                    <w:t>本项目情况</w:t>
                  </w:r>
                </w:p>
              </w:tc>
              <w:tc>
                <w:tcPr>
                  <w:tcW w:w="774" w:type="dxa"/>
                  <w:tcBorders>
                    <w:top w:val="single" w:color="auto" w:sz="8" w:space="0"/>
                    <w:left w:val="single" w:color="auto" w:sz="8" w:space="0"/>
                    <w:bottom w:val="single" w:color="auto" w:sz="8" w:space="0"/>
                    <w:right w:val="single" w:color="auto" w:sz="8" w:space="0"/>
                  </w:tcBorders>
                  <w:vAlign w:val="center"/>
                </w:tcPr>
                <w:p w14:paraId="3D53EF47">
                  <w:pPr>
                    <w:jc w:val="center"/>
                    <w:rPr>
                      <w:rFonts w:hint="eastAsia" w:ascii="Times New Roman" w:hAnsi="Times New Roman" w:eastAsia="宋体"/>
                      <w:b/>
                      <w:color w:val="auto"/>
                      <w:szCs w:val="21"/>
                      <w:lang w:val="en-US" w:eastAsia="zh-CN"/>
                    </w:rPr>
                  </w:pPr>
                  <w:r>
                    <w:rPr>
                      <w:rFonts w:hint="eastAsia" w:ascii="Times New Roman" w:hAnsi="Times New Roman"/>
                      <w:b/>
                      <w:color w:val="auto"/>
                      <w:szCs w:val="21"/>
                      <w:lang w:val="en-US" w:eastAsia="zh-CN"/>
                    </w:rPr>
                    <w:t>符合性</w:t>
                  </w:r>
                </w:p>
              </w:tc>
            </w:tr>
            <w:tr w14:paraId="16E419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7" w:hRule="atLeast"/>
                <w:jc w:val="center"/>
              </w:trPr>
              <w:tc>
                <w:tcPr>
                  <w:tcW w:w="1181" w:type="dxa"/>
                  <w:tcBorders>
                    <w:top w:val="single" w:color="auto" w:sz="8" w:space="0"/>
                    <w:left w:val="single" w:color="auto" w:sz="8" w:space="0"/>
                    <w:bottom w:val="single" w:color="auto" w:sz="8" w:space="0"/>
                    <w:right w:val="single" w:color="auto" w:sz="8" w:space="0"/>
                  </w:tcBorders>
                  <w:vAlign w:val="center"/>
                </w:tcPr>
                <w:p w14:paraId="2947F68F">
                  <w:pPr>
                    <w:jc w:val="center"/>
                    <w:rPr>
                      <w:rFonts w:ascii="Times New Roman" w:hAnsi="Times New Roman"/>
                      <w:color w:val="auto"/>
                      <w:szCs w:val="21"/>
                    </w:rPr>
                  </w:pPr>
                  <w:r>
                    <w:rPr>
                      <w:rFonts w:ascii="Times New Roman" w:hAnsi="Times New Roman"/>
                      <w:color w:val="auto"/>
                      <w:szCs w:val="21"/>
                    </w:rPr>
                    <w:t>建立污染物总量控制机制</w:t>
                  </w:r>
                </w:p>
              </w:tc>
              <w:tc>
                <w:tcPr>
                  <w:tcW w:w="2648" w:type="dxa"/>
                  <w:tcBorders>
                    <w:top w:val="single" w:color="auto" w:sz="8" w:space="0"/>
                    <w:left w:val="single" w:color="auto" w:sz="8" w:space="0"/>
                    <w:bottom w:val="single" w:color="auto" w:sz="8" w:space="0"/>
                    <w:right w:val="single" w:color="auto" w:sz="8" w:space="0"/>
                  </w:tcBorders>
                  <w:vAlign w:val="center"/>
                </w:tcPr>
                <w:p w14:paraId="5BE1281A">
                  <w:pPr>
                    <w:jc w:val="center"/>
                    <w:rPr>
                      <w:rFonts w:ascii="Times New Roman" w:hAnsi="Times New Roman"/>
                      <w:color w:val="auto"/>
                      <w:szCs w:val="21"/>
                    </w:rPr>
                  </w:pPr>
                  <w:r>
                    <w:rPr>
                      <w:rFonts w:ascii="Times New Roman" w:hAnsi="Times New Roman"/>
                      <w:color w:val="auto"/>
                      <w:szCs w:val="21"/>
                    </w:rPr>
                    <w:t>逐步削减氨氮、总磷、化学需氧量排放量，牛栏江流域（昆明段）氨氮、总磷、化学需氧量控制在规定范围内。新改扩建项目不得新增氨氮、总磷、化学需氧量排放量。</w:t>
                  </w:r>
                </w:p>
              </w:tc>
              <w:tc>
                <w:tcPr>
                  <w:tcW w:w="2336" w:type="dxa"/>
                  <w:tcBorders>
                    <w:top w:val="single" w:color="auto" w:sz="8" w:space="0"/>
                    <w:left w:val="single" w:color="auto" w:sz="8" w:space="0"/>
                    <w:bottom w:val="single" w:color="auto" w:sz="8" w:space="0"/>
                    <w:right w:val="single" w:color="auto" w:sz="8" w:space="0"/>
                  </w:tcBorders>
                  <w:vAlign w:val="center"/>
                </w:tcPr>
                <w:p w14:paraId="09629A14">
                  <w:pPr>
                    <w:jc w:val="center"/>
                    <w:rPr>
                      <w:rFonts w:ascii="Times New Roman" w:hAnsi="Times New Roman"/>
                      <w:color w:val="auto"/>
                      <w:szCs w:val="21"/>
                    </w:rPr>
                  </w:pP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szCs w:val="21"/>
                    </w:rPr>
                    <w:t>经</w:t>
                  </w:r>
                  <w:r>
                    <w:rPr>
                      <w:rFonts w:hint="eastAsia" w:ascii="Times New Roman" w:hAnsi="Times New Roman" w:cs="Times New Roman"/>
                      <w:color w:val="auto"/>
                      <w:szCs w:val="21"/>
                      <w:lang w:val="en-US" w:eastAsia="zh-CN"/>
                    </w:rPr>
                    <w:t>三级沉淀处理达标后与经化粪池处理达标后的生活污水合并外排易天线市政污水管网，最终进入寻甸县污水处理厂统一处理，</w:t>
                  </w:r>
                  <w:r>
                    <w:rPr>
                      <w:rFonts w:hint="eastAsia" w:ascii="Times New Roman" w:hAnsi="Times New Roman" w:cs="Times New Roman"/>
                      <w:color w:val="auto"/>
                      <w:szCs w:val="21"/>
                      <w:lang w:eastAsia="zh-CN"/>
                    </w:rPr>
                    <w:t>水污染物总量控制指标</w:t>
                  </w:r>
                  <w:r>
                    <w:rPr>
                      <w:rFonts w:hint="eastAsia" w:ascii="Times New Roman" w:hAnsi="Times New Roman" w:cs="Times New Roman"/>
                      <w:color w:val="auto"/>
                      <w:szCs w:val="21"/>
                      <w:lang w:val="en-US" w:eastAsia="zh-CN"/>
                    </w:rPr>
                    <w:t>可</w:t>
                  </w:r>
                  <w:r>
                    <w:rPr>
                      <w:rFonts w:hint="eastAsia" w:ascii="Times New Roman" w:hAnsi="Times New Roman" w:cs="Times New Roman"/>
                      <w:color w:val="auto"/>
                      <w:szCs w:val="21"/>
                      <w:lang w:eastAsia="zh-CN"/>
                    </w:rPr>
                    <w:t>纳入</w:t>
                  </w:r>
                  <w:r>
                    <w:rPr>
                      <w:rFonts w:hint="eastAsia" w:ascii="Times New Roman" w:hAnsi="Times New Roman" w:cs="Times New Roman"/>
                      <w:color w:val="auto"/>
                      <w:szCs w:val="21"/>
                      <w:lang w:val="en-US" w:eastAsia="zh-CN"/>
                    </w:rPr>
                    <w:t>寻甸县污水处理厂总量控制指标，</w:t>
                  </w:r>
                  <w:r>
                    <w:rPr>
                      <w:rFonts w:ascii="Times New Roman" w:hAnsi="Times New Roman" w:cs="Times New Roman"/>
                      <w:color w:val="auto"/>
                      <w:szCs w:val="21"/>
                    </w:rPr>
                    <w:t>项目不新增化学需氧量、总氮、总磷排放量。项目符合要求。</w:t>
                  </w:r>
                </w:p>
              </w:tc>
              <w:tc>
                <w:tcPr>
                  <w:tcW w:w="774" w:type="dxa"/>
                  <w:tcBorders>
                    <w:top w:val="single" w:color="auto" w:sz="8" w:space="0"/>
                    <w:left w:val="single" w:color="auto" w:sz="8" w:space="0"/>
                    <w:bottom w:val="single" w:color="auto" w:sz="8" w:space="0"/>
                    <w:right w:val="single" w:color="auto" w:sz="8" w:space="0"/>
                  </w:tcBorders>
                  <w:vAlign w:val="center"/>
                </w:tcPr>
                <w:p w14:paraId="07CE83FF">
                  <w:pPr>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符合</w:t>
                  </w:r>
                </w:p>
              </w:tc>
            </w:tr>
          </w:tbl>
          <w:p w14:paraId="77A92F45">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bCs/>
                <w:color w:val="auto"/>
                <w:kern w:val="0"/>
                <w:sz w:val="24"/>
              </w:rPr>
              <w:t>由上表可知，项目符合《牛栏江流域（昆明段）水污染防治工作方案》的要求。</w:t>
            </w:r>
          </w:p>
          <w:p w14:paraId="65D9835E">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b/>
                <w:color w:val="auto"/>
                <w:kern w:val="0"/>
                <w:sz w:val="24"/>
              </w:rPr>
            </w:pPr>
            <w:r>
              <w:rPr>
                <w:rFonts w:hint="eastAsia" w:ascii="Times New Roman" w:hAnsi="Times New Roman"/>
                <w:b/>
                <w:color w:val="auto"/>
                <w:kern w:val="0"/>
                <w:sz w:val="24"/>
                <w:lang w:val="en-US" w:eastAsia="zh-CN"/>
              </w:rPr>
              <w:t>7</w:t>
            </w:r>
            <w:r>
              <w:rPr>
                <w:rFonts w:ascii="Times New Roman" w:hAnsi="Times New Roman"/>
                <w:b/>
                <w:color w:val="auto"/>
                <w:kern w:val="0"/>
                <w:sz w:val="24"/>
              </w:rPr>
              <w:t>、</w:t>
            </w:r>
            <w:r>
              <w:rPr>
                <w:rFonts w:hint="default" w:ascii="Times New Roman" w:hAnsi="Times New Roman" w:eastAsia="宋体" w:cs="Times New Roman"/>
                <w:b/>
                <w:bCs w:val="0"/>
                <w:color w:val="auto"/>
                <w:sz w:val="24"/>
                <w:szCs w:val="24"/>
                <w:highlight w:val="none"/>
                <w:lang w:val="en-US" w:eastAsia="zh-CN"/>
              </w:rPr>
              <w:t>与《牛栏江流域（寻甸段）水环境保护规划（2011~2030）》的相符性分析</w:t>
            </w:r>
          </w:p>
          <w:p w14:paraId="7063C3F8">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hint="default" w:ascii="Times New Roman" w:hAnsi="Times New Roman" w:eastAsia="宋体" w:cs="Times New Roman"/>
                <w:color w:val="auto"/>
                <w:kern w:val="0"/>
                <w:sz w:val="24"/>
                <w:szCs w:val="24"/>
                <w:highlight w:val="none"/>
                <w:lang w:val="en-US" w:eastAsia="zh-CN" w:bidi="ar-SA"/>
              </w:rPr>
              <w:t>根据《牛栏江流域（寻甸段）水环境保护规划（2011~2030）》</w:t>
            </w:r>
            <w:r>
              <w:rPr>
                <w:rFonts w:hint="eastAsia" w:ascii="Times New Roman" w:hAnsi="Times New Roman" w:eastAsia="宋体" w:cs="Times New Roman"/>
                <w:color w:val="auto"/>
                <w:kern w:val="0"/>
                <w:sz w:val="24"/>
                <w:szCs w:val="24"/>
                <w:highlight w:val="none"/>
                <w:lang w:val="en-US" w:eastAsia="zh-CN" w:bidi="ar-SA"/>
              </w:rPr>
              <w:t>分区结果</w:t>
            </w:r>
            <w:r>
              <w:rPr>
                <w:rFonts w:hint="eastAsia" w:ascii="Times New Roman" w:hAnsi="Times New Roman"/>
                <w:bCs/>
                <w:color w:val="auto"/>
                <w:kern w:val="0"/>
                <w:sz w:val="24"/>
              </w:rPr>
              <w:t>，牛栏江流域（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段）共分为三个区进行保护，包括水源保护核心区（禁建区、限建区）、重点污染控制区和重点水源涵养区，根据前文可知，本项目所在地位于牛栏江流域（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段）重点污染控制区范围内，本项目与</w:t>
            </w:r>
            <w:r>
              <w:rPr>
                <w:rFonts w:hint="default" w:ascii="Times New Roman" w:hAnsi="Times New Roman" w:eastAsia="宋体" w:cs="Times New Roman"/>
                <w:color w:val="auto"/>
                <w:kern w:val="0"/>
                <w:sz w:val="24"/>
                <w:szCs w:val="24"/>
                <w:highlight w:val="none"/>
                <w:lang w:val="en-US" w:eastAsia="zh-CN" w:bidi="ar-SA"/>
              </w:rPr>
              <w:t>《牛栏江流域（寻甸段）水环境保护规划（2011~2030）</w:t>
            </w:r>
            <w:r>
              <w:rPr>
                <w:rFonts w:hint="eastAsia" w:ascii="Times New Roman" w:hAnsi="Times New Roman"/>
                <w:bCs/>
                <w:color w:val="auto"/>
                <w:kern w:val="0"/>
                <w:sz w:val="24"/>
              </w:rPr>
              <w:t>规定的牛栏江流域重点污染控制区保护要求符合性如下：</w:t>
            </w:r>
          </w:p>
          <w:p w14:paraId="149C6D09">
            <w:pPr>
              <w:spacing w:line="288" w:lineRule="auto"/>
              <w:jc w:val="center"/>
              <w:rPr>
                <w:rFonts w:ascii="Times New Roman" w:hAnsi="Times New Roman"/>
                <w:b/>
                <w:bCs/>
                <w:color w:val="auto"/>
              </w:rPr>
            </w:pPr>
            <w:r>
              <w:rPr>
                <w:rFonts w:hint="eastAsia" w:ascii="Times New Roman" w:hAnsi="Times New Roman"/>
                <w:b/>
                <w:bCs/>
                <w:color w:val="auto"/>
              </w:rPr>
              <w:t>表1-</w:t>
            </w:r>
            <w:r>
              <w:rPr>
                <w:rFonts w:hint="eastAsia" w:ascii="Times New Roman" w:hAnsi="Times New Roman"/>
                <w:b/>
                <w:bCs/>
                <w:color w:val="auto"/>
                <w:lang w:val="en-US" w:eastAsia="zh-CN"/>
              </w:rPr>
              <w:t>7</w:t>
            </w:r>
            <w:r>
              <w:rPr>
                <w:rFonts w:hint="eastAsia" w:ascii="Times New Roman" w:hAnsi="Times New Roman"/>
                <w:b/>
                <w:bCs/>
                <w:color w:val="auto"/>
              </w:rPr>
              <w:t>本项目与牛栏江流域</w:t>
            </w:r>
            <w:r>
              <w:rPr>
                <w:rFonts w:hint="eastAsia" w:ascii="Times New Roman" w:hAnsi="Times New Roman" w:eastAsia="宋体"/>
                <w:b/>
                <w:bCs/>
                <w:color w:val="auto"/>
              </w:rPr>
              <w:t>（</w:t>
            </w:r>
            <w:r>
              <w:rPr>
                <w:rFonts w:hint="eastAsia" w:ascii="Times New Roman" w:hAnsi="Times New Roman" w:eastAsia="宋体"/>
                <w:b/>
                <w:bCs/>
                <w:color w:val="auto"/>
                <w:lang w:val="en-US" w:eastAsia="zh-CN"/>
              </w:rPr>
              <w:t>寻甸</w:t>
            </w:r>
            <w:r>
              <w:rPr>
                <w:rFonts w:hint="eastAsia" w:ascii="Times New Roman" w:hAnsi="Times New Roman" w:eastAsia="宋体"/>
                <w:b/>
                <w:bCs/>
                <w:color w:val="auto"/>
              </w:rPr>
              <w:t>段）重</w:t>
            </w:r>
            <w:r>
              <w:rPr>
                <w:rFonts w:hint="eastAsia" w:ascii="Times New Roman" w:hAnsi="Times New Roman"/>
                <w:b/>
                <w:bCs/>
                <w:color w:val="auto"/>
              </w:rPr>
              <w:t>点污染控制区保护要求分析</w:t>
            </w:r>
          </w:p>
          <w:tbl>
            <w:tblPr>
              <w:tblStyle w:val="28"/>
              <w:tblpPr w:leftFromText="181" w:rightFromText="181" w:bottomFromText="113" w:vertAnchor="text" w:tblpX="1" w:tblpY="1"/>
              <w:tblOverlap w:val="never"/>
              <w:tblW w:w="71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546"/>
              <w:gridCol w:w="2659"/>
              <w:gridCol w:w="945"/>
            </w:tblGrid>
            <w:tr w14:paraId="27621E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4430D506">
                  <w:pPr>
                    <w:pStyle w:val="8"/>
                    <w:rPr>
                      <w:rFonts w:ascii="Times New Roman" w:hAnsi="Times New Roman"/>
                      <w:b/>
                      <w:bCs/>
                      <w:color w:val="auto"/>
                      <w:sz w:val="21"/>
                      <w:szCs w:val="21"/>
                    </w:rPr>
                  </w:pPr>
                  <w:r>
                    <w:rPr>
                      <w:rFonts w:hint="eastAsia" w:ascii="Times New Roman" w:hAnsi="Times New Roman"/>
                      <w:b/>
                      <w:bCs/>
                      <w:color w:val="auto"/>
                      <w:sz w:val="21"/>
                      <w:szCs w:val="21"/>
                    </w:rPr>
                    <w:t>重点污染控制区的保护要求</w:t>
                  </w:r>
                </w:p>
              </w:tc>
              <w:tc>
                <w:tcPr>
                  <w:tcW w:w="2659" w:type="dxa"/>
                  <w:vAlign w:val="center"/>
                </w:tcPr>
                <w:p w14:paraId="74C2CEDE">
                  <w:pPr>
                    <w:pStyle w:val="8"/>
                    <w:rPr>
                      <w:rFonts w:ascii="Times New Roman" w:hAnsi="Times New Roman"/>
                      <w:b/>
                      <w:bCs/>
                      <w:color w:val="auto"/>
                      <w:sz w:val="21"/>
                      <w:szCs w:val="21"/>
                    </w:rPr>
                  </w:pPr>
                  <w:r>
                    <w:rPr>
                      <w:rFonts w:hint="eastAsia" w:ascii="Times New Roman" w:hAnsi="Times New Roman"/>
                      <w:b/>
                      <w:bCs/>
                      <w:color w:val="auto"/>
                      <w:sz w:val="21"/>
                      <w:szCs w:val="21"/>
                    </w:rPr>
                    <w:t>本项目情况</w:t>
                  </w:r>
                </w:p>
              </w:tc>
              <w:tc>
                <w:tcPr>
                  <w:tcW w:w="945" w:type="dxa"/>
                  <w:vAlign w:val="center"/>
                </w:tcPr>
                <w:p w14:paraId="0A1DB3E9">
                  <w:pPr>
                    <w:pStyle w:val="8"/>
                    <w:ind w:left="0" w:leftChars="0" w:firstLine="0" w:firstLineChars="0"/>
                    <w:jc w:val="center"/>
                    <w:rPr>
                      <w:rFonts w:ascii="Times New Roman" w:hAnsi="Times New Roman"/>
                      <w:b/>
                      <w:bCs/>
                      <w:color w:val="auto"/>
                      <w:sz w:val="21"/>
                      <w:szCs w:val="21"/>
                    </w:rPr>
                  </w:pPr>
                  <w:r>
                    <w:rPr>
                      <w:rFonts w:hint="eastAsia" w:ascii="Times New Roman" w:hAnsi="Times New Roman"/>
                      <w:b/>
                      <w:bCs/>
                      <w:color w:val="auto"/>
                      <w:sz w:val="21"/>
                      <w:szCs w:val="21"/>
                    </w:rPr>
                    <w:t>符合性分析</w:t>
                  </w:r>
                </w:p>
              </w:tc>
            </w:tr>
            <w:tr w14:paraId="52AB16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55A8266E">
                  <w:pPr>
                    <w:pStyle w:val="8"/>
                    <w:ind w:left="0" w:leftChars="0" w:firstLine="0" w:firstLineChars="0"/>
                    <w:rPr>
                      <w:rFonts w:hint="eastAsia" w:ascii="Times New Roman" w:hAnsi="Times New Roman"/>
                      <w:color w:val="auto"/>
                      <w:sz w:val="21"/>
                      <w:szCs w:val="21"/>
                      <w:lang w:val="en-US"/>
                    </w:rPr>
                  </w:pPr>
                  <w:r>
                    <w:rPr>
                      <w:rFonts w:hint="default" w:ascii="Times New Roman" w:hAnsi="Times New Roman" w:eastAsia="宋体" w:cs="Times New Roman"/>
                      <w:b w:val="0"/>
                      <w:bCs/>
                      <w:color w:val="auto"/>
                      <w:sz w:val="21"/>
                      <w:szCs w:val="21"/>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659" w:type="dxa"/>
                  <w:vAlign w:val="center"/>
                </w:tcPr>
                <w:p w14:paraId="32149E58">
                  <w:pPr>
                    <w:pStyle w:val="8"/>
                    <w:ind w:left="0" w:leftChars="0" w:firstLine="0" w:firstLineChars="0"/>
                    <w:rPr>
                      <w:rFonts w:hint="eastAsia"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rPr>
                    <w:t>①项目</w:t>
                  </w:r>
                  <w:r>
                    <w:rPr>
                      <w:rFonts w:hint="eastAsia" w:ascii="Times New Roman" w:hAnsi="Times New Roman" w:cs="Times New Roman"/>
                      <w:color w:val="auto"/>
                      <w:sz w:val="21"/>
                      <w:szCs w:val="21"/>
                      <w:lang w:val="en-US" w:eastAsia="zh-CN"/>
                    </w:rPr>
                    <w:t>生产废水经三级沉淀处理达标后与经化粪池处理达标后的生活污水合并外排易天线市政污水管网，最终进入寻甸县污水处理厂统一处理。</w:t>
                  </w:r>
                  <w:r>
                    <w:rPr>
                      <w:rFonts w:hint="eastAsia" w:ascii="Times New Roman" w:hAnsi="Times New Roman" w:cs="Times New Roman"/>
                      <w:color w:val="auto"/>
                      <w:sz w:val="21"/>
                      <w:szCs w:val="21"/>
                      <w:lang w:val="en-US"/>
                    </w:rPr>
                    <w:t>本项目固体废物主要为危险废物、一般工业固废和生活垃圾，其中危险废物储存于危废暂存</w:t>
                  </w:r>
                  <w:r>
                    <w:rPr>
                      <w:rFonts w:hint="eastAsia" w:ascii="Times New Roman" w:hAnsi="Times New Roman"/>
                      <w:color w:val="auto"/>
                      <w:sz w:val="21"/>
                      <w:szCs w:val="21"/>
                      <w:lang w:val="en-US"/>
                    </w:rPr>
                    <w:t>间，最终委托有资质的单位清运处置；一般工业固废外售给废品收购站；生活垃圾统一收集后由当地环卫部门定期清运</w:t>
                  </w:r>
                  <w:r>
                    <w:rPr>
                      <w:rFonts w:hint="eastAsia" w:ascii="Times New Roman" w:hAnsi="Times New Roman"/>
                      <w:color w:val="auto"/>
                      <w:sz w:val="21"/>
                      <w:szCs w:val="21"/>
                      <w:lang w:val="en-US" w:eastAsia="zh-CN"/>
                    </w:rPr>
                    <w:t>处置，固废处置率100%。</w:t>
                  </w:r>
                </w:p>
              </w:tc>
              <w:tc>
                <w:tcPr>
                  <w:tcW w:w="945" w:type="dxa"/>
                  <w:vAlign w:val="center"/>
                </w:tcPr>
                <w:p w14:paraId="36D7A67B">
                  <w:pPr>
                    <w:pStyle w:val="8"/>
                    <w:ind w:firstLine="218" w:firstLineChars="100"/>
                    <w:rPr>
                      <w:rFonts w:ascii="Times New Roman" w:hAnsi="Times New Roman"/>
                      <w:color w:val="auto"/>
                      <w:sz w:val="21"/>
                      <w:szCs w:val="21"/>
                    </w:rPr>
                  </w:pPr>
                  <w:r>
                    <w:rPr>
                      <w:rFonts w:hint="eastAsia" w:ascii="Times New Roman" w:hAnsi="Times New Roman"/>
                      <w:color w:val="auto"/>
                      <w:sz w:val="21"/>
                      <w:szCs w:val="21"/>
                    </w:rPr>
                    <w:t>符合</w:t>
                  </w:r>
                </w:p>
              </w:tc>
            </w:tr>
            <w:tr w14:paraId="5879E1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14:paraId="421FE262">
                  <w:pPr>
                    <w:pStyle w:val="8"/>
                    <w:ind w:left="0" w:leftChars="0" w:firstLine="0" w:firstLineChars="0"/>
                    <w:rPr>
                      <w:rFonts w:ascii="Times New Roman" w:hAnsi="Times New Roman"/>
                      <w:color w:val="auto"/>
                      <w:sz w:val="21"/>
                      <w:szCs w:val="21"/>
                    </w:rPr>
                  </w:pPr>
                  <w:r>
                    <w:rPr>
                      <w:rFonts w:hint="default" w:ascii="Times New Roman" w:hAnsi="Times New Roman" w:eastAsia="宋体" w:cs="Times New Roman"/>
                      <w:b w:val="0"/>
                      <w:bCs/>
                      <w:color w:val="auto"/>
                      <w:sz w:val="21"/>
                      <w:szCs w:val="21"/>
                      <w:highlight w:val="none"/>
                    </w:rPr>
                    <w:t>建设再生水回用系统，污染控制区内不得建设不符合国家产业政策的工业项目及高污染工业项目；新增工业项目废水不得排放有毒有害物质，改扩建项目不得新增COD、TN、TP排放量；新增、改建、扩建工业项目应采用先进的生产工艺和污染防治技术，其清洁生产水平达到国家清洁生产标准中的国内先进水平。</w:t>
                  </w:r>
                </w:p>
              </w:tc>
              <w:tc>
                <w:tcPr>
                  <w:tcW w:w="2659" w:type="dxa"/>
                  <w:vAlign w:val="center"/>
                </w:tcPr>
                <w:p w14:paraId="31919E24">
                  <w:pPr>
                    <w:pStyle w:val="8"/>
                    <w:ind w:left="0" w:leftChars="0" w:firstLine="0" w:firstLineChars="0"/>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项目</w:t>
                  </w:r>
                  <w:r>
                    <w:rPr>
                      <w:rFonts w:hint="eastAsia" w:ascii="Times New Roman" w:hAnsi="Times New Roman" w:eastAsiaTheme="minorEastAsia" w:cstheme="minorEastAsia"/>
                      <w:color w:val="auto"/>
                      <w:sz w:val="21"/>
                      <w:szCs w:val="21"/>
                    </w:rPr>
                    <w:t>为</w:t>
                  </w:r>
                  <w:r>
                    <w:rPr>
                      <w:rFonts w:hint="eastAsia" w:ascii="Times New Roman" w:hAnsi="Times New Roman" w:eastAsiaTheme="minorEastAsia" w:cstheme="minorEastAsia"/>
                      <w:color w:val="auto"/>
                      <w:sz w:val="21"/>
                      <w:szCs w:val="21"/>
                      <w:lang w:val="en-US" w:eastAsia="zh-CN"/>
                    </w:rPr>
                    <w:t>洗染服务行业，配套建设生物质锅炉进行热力供应，</w:t>
                  </w:r>
                  <w:r>
                    <w:rPr>
                      <w:rFonts w:hint="eastAsia" w:ascii="Times New Roman" w:hAnsi="Times New Roman"/>
                      <w:color w:val="auto"/>
                      <w:sz w:val="21"/>
                      <w:szCs w:val="21"/>
                    </w:rPr>
                    <w:t>项目符合国家产业政策，不属</w:t>
                  </w:r>
                  <w:r>
                    <w:rPr>
                      <w:rFonts w:hint="eastAsia" w:ascii="Times New Roman" w:hAnsi="Times New Roman" w:eastAsia="宋体" w:cs="Times New Roman"/>
                      <w:color w:val="auto"/>
                      <w:sz w:val="21"/>
                      <w:szCs w:val="21"/>
                    </w:rPr>
                    <w:t>于高污染工业项目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项目生产废水主要污染物为</w:t>
                  </w:r>
                  <w:r>
                    <w:rPr>
                      <w:rFonts w:hint="eastAsia" w:ascii="Times New Roman" w:hAnsi="Times New Roman" w:eastAsia="宋体" w:cs="Times New Roman"/>
                      <w:color w:val="auto"/>
                      <w:sz w:val="21"/>
                      <w:szCs w:val="21"/>
                    </w:rPr>
                    <w:t>CODCr、BOD</w:t>
                  </w:r>
                  <w:r>
                    <w:rPr>
                      <w:rFonts w:hint="eastAsia" w:ascii="Times New Roman" w:hAnsi="Times New Roman" w:eastAsia="宋体" w:cs="Times New Roman"/>
                      <w:color w:val="auto"/>
                      <w:sz w:val="21"/>
                      <w:szCs w:val="21"/>
                      <w:vertAlign w:val="subscript"/>
                    </w:rPr>
                    <w:t>5</w:t>
                  </w:r>
                  <w:r>
                    <w:rPr>
                      <w:rFonts w:hint="eastAsia" w:ascii="Times New Roman" w:hAnsi="Times New Roman" w:eastAsia="宋体" w:cs="Times New Roman"/>
                      <w:color w:val="auto"/>
                      <w:sz w:val="21"/>
                      <w:szCs w:val="21"/>
                    </w:rPr>
                    <w:t>、SS、氨氮、TP、TN、LAS</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不涉及</w:t>
                  </w:r>
                  <w:r>
                    <w:rPr>
                      <w:rFonts w:hint="default" w:ascii="Times New Roman" w:hAnsi="Times New Roman" w:eastAsia="宋体" w:cs="Times New Roman"/>
                      <w:color w:val="auto"/>
                      <w:sz w:val="21"/>
                      <w:szCs w:val="21"/>
                    </w:rPr>
                    <w:t>有毒有害物质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废水经处理达标后</w:t>
                  </w:r>
                  <w:r>
                    <w:rPr>
                      <w:rFonts w:hint="eastAsia" w:ascii="Times New Roman" w:hAnsi="Times New Roman" w:cs="Times New Roman"/>
                      <w:color w:val="auto"/>
                      <w:sz w:val="21"/>
                      <w:szCs w:val="21"/>
                      <w:lang w:val="en-US" w:eastAsia="zh-CN"/>
                    </w:rPr>
                    <w:t>外排易天线市政污水管网，最终进入寻甸县污水处理厂统一处理。</w:t>
                  </w:r>
                </w:p>
              </w:tc>
              <w:tc>
                <w:tcPr>
                  <w:tcW w:w="945" w:type="dxa"/>
                  <w:vAlign w:val="center"/>
                </w:tcPr>
                <w:p w14:paraId="3B804D8A">
                  <w:pPr>
                    <w:pStyle w:val="8"/>
                    <w:ind w:left="0" w:leftChars="0" w:firstLine="0" w:firstLineChars="0"/>
                    <w:jc w:val="center"/>
                    <w:rPr>
                      <w:rFonts w:ascii="Times New Roman" w:hAnsi="Times New Roman"/>
                      <w:color w:val="auto"/>
                      <w:sz w:val="21"/>
                      <w:szCs w:val="21"/>
                    </w:rPr>
                  </w:pPr>
                  <w:r>
                    <w:rPr>
                      <w:rFonts w:hint="eastAsia" w:ascii="Times New Roman" w:hAnsi="Times New Roman"/>
                      <w:color w:val="auto"/>
                      <w:sz w:val="21"/>
                      <w:szCs w:val="21"/>
                    </w:rPr>
                    <w:t>符合</w:t>
                  </w:r>
                </w:p>
              </w:tc>
            </w:tr>
          </w:tbl>
          <w:p w14:paraId="191104FB">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综上所述</w:t>
            </w:r>
            <w:r>
              <w:rPr>
                <w:rFonts w:hint="default" w:ascii="Times New Roman" w:hAnsi="Times New Roman" w:eastAsia="宋体" w:cs="Times New Roman"/>
                <w:color w:val="auto"/>
                <w:kern w:val="0"/>
                <w:sz w:val="24"/>
                <w:szCs w:val="24"/>
                <w:highlight w:val="none"/>
                <w:lang w:val="en-US" w:eastAsia="zh-CN" w:bidi="ar-SA"/>
              </w:rPr>
              <w:t>，项目符合《牛栏江流域（寻甸段）水环境保护规划》对重点污染控制区的相关要求。</w:t>
            </w:r>
          </w:p>
          <w:p w14:paraId="32495CBC">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8</w:t>
            </w:r>
            <w:r>
              <w:rPr>
                <w:rFonts w:hint="eastAsia" w:ascii="Times New Roman" w:hAnsi="Times New Roman"/>
                <w:b/>
                <w:color w:val="auto"/>
                <w:kern w:val="0"/>
                <w:sz w:val="24"/>
              </w:rPr>
              <w:t>、</w:t>
            </w:r>
            <w:r>
              <w:rPr>
                <w:rFonts w:ascii="Times New Roman" w:hAnsi="Times New Roman"/>
                <w:b/>
                <w:color w:val="auto"/>
                <w:kern w:val="0"/>
                <w:sz w:val="24"/>
              </w:rPr>
              <w:t>与《云南省长江经济带发展负面清单指南实施细则（试行）2022年版》的相符性分析</w:t>
            </w:r>
          </w:p>
          <w:p w14:paraId="136596EF">
            <w:pPr>
              <w:autoSpaceDE w:val="0"/>
              <w:autoSpaceDN w:val="0"/>
              <w:adjustRightInd w:val="0"/>
              <w:snapToGrid w:val="0"/>
              <w:spacing w:line="360" w:lineRule="auto"/>
              <w:ind w:firstLine="480" w:firstLineChars="200"/>
              <w:rPr>
                <w:rFonts w:ascii="Times New Roman" w:hAnsi="Times New Roman"/>
                <w:b/>
                <w:color w:val="auto"/>
                <w:kern w:val="0"/>
                <w:szCs w:val="21"/>
              </w:rPr>
            </w:pPr>
            <w:r>
              <w:rPr>
                <w:rFonts w:ascii="Times New Roman" w:hAnsi="Times New Roman"/>
                <w:bCs/>
                <w:color w:val="auto"/>
                <w:kern w:val="0"/>
                <w:sz w:val="24"/>
              </w:rPr>
              <w:t>2022年8月19日，为深入贯彻落实习近平总书记关于推动长江经济带发展的重要讲话和指示批示精神，认真落实长江保护法，根据《长江经济带发展负面清单指南（试行，2022年版）》（长江办〔2022〕7号），云南省推动长江经济带发展</w:t>
            </w:r>
            <w:r>
              <w:rPr>
                <w:rFonts w:hint="eastAsia"/>
                <w:bCs/>
                <w:color w:val="auto"/>
                <w:kern w:val="0"/>
                <w:sz w:val="24"/>
                <w:lang w:val="en-US" w:eastAsia="zh-CN"/>
              </w:rPr>
              <w:t>领导</w:t>
            </w:r>
            <w:bookmarkStart w:id="17" w:name="_GoBack"/>
            <w:bookmarkEnd w:id="17"/>
            <w:r>
              <w:rPr>
                <w:rFonts w:ascii="Times New Roman" w:hAnsi="Times New Roman"/>
                <w:bCs/>
                <w:color w:val="auto"/>
                <w:kern w:val="0"/>
                <w:sz w:val="24"/>
              </w:rPr>
              <w:t>小组办公室关于印发《云南省长江经济带发展负面清单指南实施细则（试行，2022年版）》的通知（云发改基础〔2022〕894号），项目与其相符性分析如下。</w:t>
            </w:r>
          </w:p>
          <w:p w14:paraId="62419039">
            <w:pPr>
              <w:autoSpaceDE w:val="0"/>
              <w:autoSpaceDN w:val="0"/>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表1-</w:t>
            </w:r>
            <w:r>
              <w:rPr>
                <w:rFonts w:hint="eastAsia" w:ascii="Times New Roman" w:hAnsi="Times New Roman"/>
                <w:b/>
                <w:color w:val="auto"/>
                <w:kern w:val="0"/>
                <w:szCs w:val="21"/>
                <w:lang w:val="en-US" w:eastAsia="zh-CN"/>
              </w:rPr>
              <w:t xml:space="preserve">8 </w:t>
            </w:r>
            <w:r>
              <w:rPr>
                <w:rFonts w:ascii="Times New Roman" w:hAnsi="Times New Roman"/>
                <w:b/>
                <w:color w:val="auto"/>
                <w:kern w:val="0"/>
                <w:szCs w:val="21"/>
              </w:rPr>
              <w:t>项目与《云南省长江经济带发展负面清单指南实施细则（试行）2022年版》符合性分析一览表</w:t>
            </w:r>
          </w:p>
          <w:tbl>
            <w:tblPr>
              <w:tblStyle w:val="28"/>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495"/>
              <w:gridCol w:w="2098"/>
              <w:gridCol w:w="830"/>
            </w:tblGrid>
            <w:tr w14:paraId="148C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4" w:type="dxa"/>
                  <w:vAlign w:val="center"/>
                </w:tcPr>
                <w:p w14:paraId="2259FF92">
                  <w:pPr>
                    <w:pStyle w:val="78"/>
                    <w:rPr>
                      <w:rFonts w:ascii="Times New Roman" w:hAnsi="Times New Roman"/>
                      <w:b/>
                      <w:bCs/>
                      <w:color w:val="auto"/>
                    </w:rPr>
                  </w:pPr>
                  <w:r>
                    <w:rPr>
                      <w:rFonts w:ascii="Times New Roman" w:hAnsi="Times New Roman"/>
                      <w:b/>
                      <w:bCs/>
                      <w:color w:val="auto"/>
                    </w:rPr>
                    <w:t>序号</w:t>
                  </w:r>
                </w:p>
              </w:tc>
              <w:tc>
                <w:tcPr>
                  <w:tcW w:w="3495" w:type="dxa"/>
                  <w:vAlign w:val="center"/>
                </w:tcPr>
                <w:p w14:paraId="4388AFED">
                  <w:pPr>
                    <w:pStyle w:val="78"/>
                    <w:rPr>
                      <w:rFonts w:ascii="Times New Roman" w:hAnsi="Times New Roman"/>
                      <w:b/>
                      <w:bCs/>
                      <w:color w:val="auto"/>
                    </w:rPr>
                  </w:pPr>
                  <w:r>
                    <w:rPr>
                      <w:rFonts w:ascii="Times New Roman" w:hAnsi="Times New Roman"/>
                      <w:b/>
                      <w:bCs/>
                      <w:color w:val="auto"/>
                    </w:rPr>
                    <w:t>相关要求（摘录）</w:t>
                  </w:r>
                </w:p>
              </w:tc>
              <w:tc>
                <w:tcPr>
                  <w:tcW w:w="2098" w:type="dxa"/>
                  <w:vAlign w:val="center"/>
                </w:tcPr>
                <w:p w14:paraId="4BB8568B">
                  <w:pPr>
                    <w:pStyle w:val="78"/>
                    <w:rPr>
                      <w:rFonts w:ascii="Times New Roman" w:hAnsi="Times New Roman"/>
                      <w:b/>
                      <w:bCs/>
                      <w:color w:val="auto"/>
                    </w:rPr>
                  </w:pPr>
                  <w:r>
                    <w:rPr>
                      <w:rFonts w:ascii="Times New Roman" w:hAnsi="Times New Roman"/>
                      <w:b/>
                      <w:bCs/>
                      <w:color w:val="auto"/>
                    </w:rPr>
                    <w:t>本项目情况</w:t>
                  </w:r>
                </w:p>
              </w:tc>
              <w:tc>
                <w:tcPr>
                  <w:tcW w:w="830" w:type="dxa"/>
                  <w:vAlign w:val="center"/>
                </w:tcPr>
                <w:p w14:paraId="429C01F5">
                  <w:pPr>
                    <w:pStyle w:val="78"/>
                    <w:rPr>
                      <w:rFonts w:ascii="Times New Roman" w:hAnsi="Times New Roman"/>
                      <w:b/>
                      <w:bCs/>
                      <w:color w:val="auto"/>
                    </w:rPr>
                  </w:pPr>
                  <w:r>
                    <w:rPr>
                      <w:rFonts w:ascii="Times New Roman" w:hAnsi="Times New Roman"/>
                      <w:b/>
                      <w:bCs/>
                      <w:color w:val="auto"/>
                    </w:rPr>
                    <w:t>是否相符</w:t>
                  </w:r>
                </w:p>
              </w:tc>
            </w:tr>
            <w:tr w14:paraId="4274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654" w:type="dxa"/>
                  <w:vAlign w:val="center"/>
                </w:tcPr>
                <w:p w14:paraId="300EED0E">
                  <w:pPr>
                    <w:pStyle w:val="78"/>
                    <w:rPr>
                      <w:rFonts w:ascii="Times New Roman" w:hAnsi="Times New Roman"/>
                      <w:color w:val="auto"/>
                    </w:rPr>
                  </w:pPr>
                  <w:r>
                    <w:rPr>
                      <w:rFonts w:ascii="Times New Roman" w:hAnsi="Times New Roman"/>
                      <w:color w:val="auto"/>
                    </w:rPr>
                    <w:t>1</w:t>
                  </w:r>
                </w:p>
              </w:tc>
              <w:tc>
                <w:tcPr>
                  <w:tcW w:w="3495" w:type="dxa"/>
                  <w:vAlign w:val="center"/>
                </w:tcPr>
                <w:p w14:paraId="4CA35735">
                  <w:pPr>
                    <w:adjustRightInd w:val="0"/>
                    <w:jc w:val="center"/>
                    <w:rPr>
                      <w:rFonts w:ascii="Times New Roman" w:hAnsi="Times New Roman"/>
                      <w:color w:val="auto"/>
                      <w:szCs w:val="21"/>
                    </w:rPr>
                  </w:pPr>
                  <w:r>
                    <w:rPr>
                      <w:rFonts w:ascii="Times New Roman" w:hAnsi="Times New Roman"/>
                      <w:color w:val="auto"/>
                      <w:kern w:val="0"/>
                      <w:szCs w:val="21"/>
                      <w:lang w:bidi="ar"/>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2098" w:type="dxa"/>
                  <w:vAlign w:val="center"/>
                </w:tcPr>
                <w:p w14:paraId="2BFF228E">
                  <w:pPr>
                    <w:adjustRightInd w:val="0"/>
                    <w:jc w:val="center"/>
                    <w:rPr>
                      <w:rFonts w:ascii="Times New Roman" w:hAnsi="Times New Roman"/>
                      <w:color w:val="auto"/>
                      <w:szCs w:val="21"/>
                    </w:rPr>
                  </w:pPr>
                  <w:r>
                    <w:rPr>
                      <w:rFonts w:hint="eastAsia" w:ascii="Times New Roman" w:hAnsi="Times New Roman"/>
                      <w:color w:val="auto"/>
                      <w:kern w:val="0"/>
                      <w:szCs w:val="21"/>
                      <w:lang w:val="en-US" w:eastAsia="zh-CN" w:bidi="ar"/>
                    </w:rPr>
                    <w:t>本</w:t>
                  </w:r>
                  <w:r>
                    <w:rPr>
                      <w:rFonts w:ascii="Times New Roman" w:hAnsi="Times New Roman"/>
                      <w:color w:val="auto"/>
                      <w:kern w:val="0"/>
                      <w:szCs w:val="21"/>
                      <w:lang w:bidi="ar"/>
                    </w:rPr>
                    <w:t>项目不涉及港口项目。</w:t>
                  </w:r>
                </w:p>
              </w:tc>
              <w:tc>
                <w:tcPr>
                  <w:tcW w:w="830" w:type="dxa"/>
                  <w:vAlign w:val="center"/>
                </w:tcPr>
                <w:p w14:paraId="70A4D027">
                  <w:pPr>
                    <w:pStyle w:val="78"/>
                    <w:rPr>
                      <w:rFonts w:ascii="Times New Roman" w:hAnsi="Times New Roman"/>
                      <w:color w:val="auto"/>
                    </w:rPr>
                  </w:pPr>
                  <w:r>
                    <w:rPr>
                      <w:rFonts w:ascii="Times New Roman" w:hAnsi="Times New Roman"/>
                      <w:color w:val="auto"/>
                    </w:rPr>
                    <w:t>符合</w:t>
                  </w:r>
                </w:p>
              </w:tc>
            </w:tr>
            <w:tr w14:paraId="7ED5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54" w:type="dxa"/>
                  <w:vAlign w:val="center"/>
                </w:tcPr>
                <w:p w14:paraId="547FD12E">
                  <w:pPr>
                    <w:pStyle w:val="78"/>
                    <w:rPr>
                      <w:rFonts w:ascii="Times New Roman" w:hAnsi="Times New Roman"/>
                      <w:color w:val="auto"/>
                    </w:rPr>
                  </w:pPr>
                  <w:r>
                    <w:rPr>
                      <w:rFonts w:ascii="Times New Roman" w:hAnsi="Times New Roman"/>
                      <w:color w:val="auto"/>
                    </w:rPr>
                    <w:t>2</w:t>
                  </w:r>
                </w:p>
              </w:tc>
              <w:tc>
                <w:tcPr>
                  <w:tcW w:w="3495" w:type="dxa"/>
                  <w:vAlign w:val="center"/>
                </w:tcPr>
                <w:p w14:paraId="5AF81051">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098" w:type="dxa"/>
                  <w:vAlign w:val="center"/>
                </w:tcPr>
                <w:p w14:paraId="70F23C58">
                  <w:pPr>
                    <w:adjustRightInd w:val="0"/>
                    <w:jc w:val="center"/>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bidi="ar"/>
                    </w:rPr>
                    <w:t>项目位于</w:t>
                  </w:r>
                  <w:r>
                    <w:rPr>
                      <w:rFonts w:hint="eastAsia" w:ascii="Times New Roman" w:hAnsi="Times New Roman" w:cs="Times New Roman"/>
                      <w:color w:val="auto"/>
                      <w:kern w:val="0"/>
                      <w:szCs w:val="21"/>
                      <w:lang w:val="en-US" w:eastAsia="zh-CN" w:bidi="ar"/>
                    </w:rPr>
                    <w:t>寻甸县仁德街道办事处易天线小功山寻甸仁德子超养殖场内已建厂房，</w:t>
                  </w:r>
                  <w:r>
                    <w:rPr>
                      <w:rFonts w:ascii="Times New Roman" w:hAnsi="Times New Roman" w:cs="Times New Roman"/>
                      <w:color w:val="auto"/>
                      <w:kern w:val="0"/>
                      <w:szCs w:val="21"/>
                      <w:lang w:val="en-US" w:eastAsia="zh-CN" w:bidi="ar"/>
                    </w:rPr>
                    <w:t>项目不涉及《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830" w:type="dxa"/>
                  <w:vAlign w:val="center"/>
                </w:tcPr>
                <w:p w14:paraId="4A7884CE">
                  <w:pPr>
                    <w:pStyle w:val="78"/>
                    <w:rPr>
                      <w:rFonts w:ascii="Times New Roman" w:hAnsi="Times New Roman"/>
                      <w:color w:val="auto"/>
                    </w:rPr>
                  </w:pPr>
                  <w:r>
                    <w:rPr>
                      <w:rFonts w:ascii="Times New Roman" w:hAnsi="Times New Roman"/>
                      <w:color w:val="auto"/>
                    </w:rPr>
                    <w:t>符合</w:t>
                  </w:r>
                </w:p>
              </w:tc>
            </w:tr>
            <w:tr w14:paraId="48C5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654" w:type="dxa"/>
                  <w:vAlign w:val="center"/>
                </w:tcPr>
                <w:p w14:paraId="0C4DE267">
                  <w:pPr>
                    <w:pStyle w:val="78"/>
                    <w:rPr>
                      <w:rFonts w:ascii="Times New Roman" w:hAnsi="Times New Roman"/>
                      <w:color w:val="auto"/>
                    </w:rPr>
                  </w:pPr>
                  <w:r>
                    <w:rPr>
                      <w:rFonts w:ascii="Times New Roman" w:hAnsi="Times New Roman"/>
                      <w:color w:val="auto"/>
                    </w:rPr>
                    <w:t>3</w:t>
                  </w:r>
                </w:p>
              </w:tc>
              <w:tc>
                <w:tcPr>
                  <w:tcW w:w="3495" w:type="dxa"/>
                  <w:vAlign w:val="center"/>
                </w:tcPr>
                <w:p w14:paraId="17B1DDCC">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098" w:type="dxa"/>
                  <w:vAlign w:val="center"/>
                </w:tcPr>
                <w:p w14:paraId="23D4F188">
                  <w:pPr>
                    <w:adjustRightInd w:val="0"/>
                    <w:jc w:val="center"/>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val="en-US" w:eastAsia="zh-CN" w:bidi="ar"/>
                    </w:rPr>
                    <w:t>本</w:t>
                  </w:r>
                  <w:r>
                    <w:rPr>
                      <w:rFonts w:ascii="Times New Roman" w:hAnsi="Times New Roman" w:cs="Times New Roman"/>
                      <w:color w:val="auto"/>
                      <w:kern w:val="0"/>
                      <w:szCs w:val="21"/>
                      <w:lang w:bidi="ar"/>
                    </w:rPr>
                    <w:t>项目</w:t>
                  </w:r>
                  <w:r>
                    <w:rPr>
                      <w:rFonts w:hint="eastAsia" w:ascii="Times New Roman" w:hAnsi="Times New Roman" w:cs="Times New Roman"/>
                      <w:color w:val="auto"/>
                      <w:kern w:val="0"/>
                      <w:szCs w:val="21"/>
                      <w:lang w:val="en-US" w:eastAsia="zh-CN" w:bidi="ar"/>
                    </w:rPr>
                    <w:t>位于寻甸县仁德街道办事处易天线小功山寻甸仁德子超养殖场内已建厂房</w:t>
                  </w:r>
                  <w:r>
                    <w:rPr>
                      <w:rFonts w:hint="eastAsia" w:ascii="Times New Roman" w:hAnsi="Times New Roman" w:cs="Times New Roman"/>
                      <w:color w:val="auto"/>
                      <w:kern w:val="0"/>
                      <w:szCs w:val="21"/>
                      <w:lang w:bidi="ar"/>
                    </w:rPr>
                    <w:t>，</w:t>
                  </w:r>
                  <w:r>
                    <w:rPr>
                      <w:rFonts w:ascii="Times New Roman" w:hAnsi="Times New Roman" w:cs="Times New Roman"/>
                      <w:color w:val="auto"/>
                      <w:kern w:val="0"/>
                      <w:szCs w:val="21"/>
                      <w:lang w:bidi="ar"/>
                    </w:rPr>
                    <w:t>不涉及风景名胜区。</w:t>
                  </w:r>
                </w:p>
              </w:tc>
              <w:tc>
                <w:tcPr>
                  <w:tcW w:w="830" w:type="dxa"/>
                  <w:vAlign w:val="center"/>
                </w:tcPr>
                <w:p w14:paraId="56C260D9">
                  <w:pPr>
                    <w:pStyle w:val="78"/>
                    <w:rPr>
                      <w:rFonts w:ascii="Times New Roman" w:hAnsi="Times New Roman"/>
                      <w:color w:val="auto"/>
                    </w:rPr>
                  </w:pPr>
                  <w:r>
                    <w:rPr>
                      <w:rFonts w:ascii="Times New Roman" w:hAnsi="Times New Roman"/>
                      <w:color w:val="auto"/>
                    </w:rPr>
                    <w:t>符合</w:t>
                  </w:r>
                </w:p>
              </w:tc>
            </w:tr>
            <w:tr w14:paraId="5823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4" w:type="dxa"/>
                  <w:vAlign w:val="center"/>
                </w:tcPr>
                <w:p w14:paraId="1840B0D9">
                  <w:pPr>
                    <w:pStyle w:val="78"/>
                    <w:rPr>
                      <w:rFonts w:ascii="Times New Roman" w:hAnsi="Times New Roman"/>
                      <w:color w:val="auto"/>
                    </w:rPr>
                  </w:pPr>
                  <w:r>
                    <w:rPr>
                      <w:rFonts w:ascii="Times New Roman" w:hAnsi="Times New Roman"/>
                      <w:color w:val="auto"/>
                    </w:rPr>
                    <w:t>4</w:t>
                  </w:r>
                </w:p>
              </w:tc>
              <w:tc>
                <w:tcPr>
                  <w:tcW w:w="3495" w:type="dxa"/>
                  <w:vAlign w:val="center"/>
                </w:tcPr>
                <w:p w14:paraId="10E9782F">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098" w:type="dxa"/>
                  <w:vAlign w:val="center"/>
                </w:tcPr>
                <w:p w14:paraId="13C51EFB">
                  <w:pPr>
                    <w:adjustRightInd w:val="0"/>
                    <w:jc w:val="both"/>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val="en-US" w:eastAsia="zh-CN" w:bidi="ar"/>
                    </w:rPr>
                    <w:t>本</w:t>
                  </w:r>
                  <w:r>
                    <w:rPr>
                      <w:rFonts w:ascii="Times New Roman" w:hAnsi="Times New Roman" w:cs="Times New Roman"/>
                      <w:color w:val="auto"/>
                      <w:kern w:val="0"/>
                      <w:szCs w:val="21"/>
                      <w:lang w:bidi="ar"/>
                    </w:rPr>
                    <w:t>项目</w:t>
                  </w:r>
                  <w:r>
                    <w:rPr>
                      <w:rFonts w:hint="eastAsia" w:ascii="Times New Roman" w:hAnsi="Times New Roman" w:cs="Times New Roman"/>
                      <w:color w:val="auto"/>
                      <w:kern w:val="0"/>
                      <w:szCs w:val="21"/>
                      <w:lang w:val="en-US" w:eastAsia="zh-CN" w:bidi="ar"/>
                    </w:rPr>
                    <w:t>位于寻甸县仁德街道办事处易天线小功山寻甸仁德子超养殖场内已建厂房</w:t>
                  </w:r>
                  <w:r>
                    <w:rPr>
                      <w:rFonts w:hint="eastAsia" w:ascii="Times New Roman" w:hAnsi="Times New Roman" w:cs="Times New Roman"/>
                      <w:color w:val="auto"/>
                      <w:kern w:val="0"/>
                      <w:szCs w:val="21"/>
                      <w:lang w:bidi="ar"/>
                    </w:rPr>
                    <w:t>，</w:t>
                  </w:r>
                  <w:r>
                    <w:rPr>
                      <w:rFonts w:ascii="Times New Roman" w:hAnsi="Times New Roman" w:cs="Times New Roman"/>
                      <w:color w:val="auto"/>
                      <w:kern w:val="0"/>
                      <w:szCs w:val="21"/>
                      <w:lang w:bidi="ar"/>
                    </w:rPr>
                    <w:t>不涉及饮用水水源一级、二级保护区的岸线和河段范围，且不属于网箱养殖、畜禽养殖、旅游等项目。</w:t>
                  </w:r>
                </w:p>
              </w:tc>
              <w:tc>
                <w:tcPr>
                  <w:tcW w:w="830" w:type="dxa"/>
                  <w:vAlign w:val="center"/>
                </w:tcPr>
                <w:p w14:paraId="6A2EAAC5">
                  <w:pPr>
                    <w:pStyle w:val="78"/>
                    <w:rPr>
                      <w:rFonts w:ascii="Times New Roman" w:hAnsi="Times New Roman"/>
                      <w:color w:val="auto"/>
                    </w:rPr>
                  </w:pPr>
                  <w:r>
                    <w:rPr>
                      <w:rFonts w:ascii="Times New Roman" w:hAnsi="Times New Roman"/>
                      <w:color w:val="auto"/>
                    </w:rPr>
                    <w:t>符合</w:t>
                  </w:r>
                </w:p>
              </w:tc>
            </w:tr>
            <w:tr w14:paraId="06E4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14:paraId="0A452122">
                  <w:pPr>
                    <w:pStyle w:val="78"/>
                    <w:rPr>
                      <w:rFonts w:ascii="Times New Roman" w:hAnsi="Times New Roman"/>
                      <w:color w:val="auto"/>
                    </w:rPr>
                  </w:pPr>
                  <w:r>
                    <w:rPr>
                      <w:rFonts w:ascii="Times New Roman" w:hAnsi="Times New Roman"/>
                      <w:color w:val="auto"/>
                    </w:rPr>
                    <w:t>5</w:t>
                  </w:r>
                </w:p>
              </w:tc>
              <w:tc>
                <w:tcPr>
                  <w:tcW w:w="3495" w:type="dxa"/>
                  <w:vAlign w:val="center"/>
                </w:tcPr>
                <w:p w14:paraId="6AA2098D">
                  <w:pPr>
                    <w:adjustRightInd w:val="0"/>
                    <w:jc w:val="center"/>
                    <w:rPr>
                      <w:rFonts w:ascii="Times New Roman" w:hAnsi="Times New Roman"/>
                      <w:color w:val="auto"/>
                      <w:szCs w:val="21"/>
                    </w:rPr>
                  </w:pPr>
                  <w:r>
                    <w:rPr>
                      <w:rFonts w:ascii="Times New Roman" w:hAnsi="Times New Roman"/>
                      <w:color w:val="auto"/>
                      <w:kern w:val="0"/>
                      <w:szCs w:val="21"/>
                      <w:lang w:bidi="ar"/>
                    </w:rPr>
                    <w:t>禁止在水产种质资源保护区的岸线和河段范围内新建围湖造田、围湖造地或围填海等投资建设项目。禁止擅自征收、占用国家温地公园的土地；禁止在国家湿地公园内挖沙、采矿，以及建设度假村、高尔夫球场等任何不符合主体功能定位的投资建设项目。</w:t>
                  </w:r>
                </w:p>
              </w:tc>
              <w:tc>
                <w:tcPr>
                  <w:tcW w:w="2098" w:type="dxa"/>
                  <w:vAlign w:val="center"/>
                </w:tcPr>
                <w:p w14:paraId="0F30E3BA">
                  <w:pPr>
                    <w:adjustRightInd w:val="0"/>
                    <w:rPr>
                      <w:rFonts w:ascii="Times New Roman" w:hAnsi="Times New Roman"/>
                      <w:color w:val="auto"/>
                      <w:szCs w:val="21"/>
                    </w:rPr>
                  </w:pPr>
                  <w:r>
                    <w:rPr>
                      <w:rFonts w:hint="eastAsia" w:ascii="Times New Roman" w:hAnsi="Times New Roman"/>
                      <w:color w:val="auto"/>
                      <w:kern w:val="0"/>
                      <w:szCs w:val="21"/>
                      <w:lang w:val="en-US" w:eastAsia="zh-CN"/>
                    </w:rPr>
                    <w:t>本</w:t>
                  </w:r>
                  <w:r>
                    <w:rPr>
                      <w:rFonts w:ascii="Times New Roman" w:hAnsi="Times New Roman"/>
                      <w:color w:val="auto"/>
                      <w:kern w:val="0"/>
                      <w:szCs w:val="21"/>
                    </w:rPr>
                    <w:t>项目场地不涉及</w:t>
                  </w:r>
                  <w:r>
                    <w:rPr>
                      <w:rFonts w:ascii="Times New Roman" w:hAnsi="Times New Roman"/>
                      <w:color w:val="auto"/>
                      <w:kern w:val="0"/>
                      <w:szCs w:val="21"/>
                      <w:lang w:bidi="ar"/>
                    </w:rPr>
                    <w:t>水产种质资源保护区的岸线和河段范围、国家湿地公园，且不属于围湖造田、围湖造地或围填、挖沙、采矿、建设度假村、高尔夫球场等项目。</w:t>
                  </w:r>
                </w:p>
              </w:tc>
              <w:tc>
                <w:tcPr>
                  <w:tcW w:w="830" w:type="dxa"/>
                  <w:vAlign w:val="center"/>
                </w:tcPr>
                <w:p w14:paraId="0938706C">
                  <w:pPr>
                    <w:pStyle w:val="78"/>
                    <w:rPr>
                      <w:rFonts w:ascii="Times New Roman" w:hAnsi="Times New Roman"/>
                      <w:color w:val="auto"/>
                    </w:rPr>
                  </w:pPr>
                  <w:r>
                    <w:rPr>
                      <w:rFonts w:ascii="Times New Roman" w:hAnsi="Times New Roman"/>
                      <w:color w:val="auto"/>
                    </w:rPr>
                    <w:t>符合</w:t>
                  </w:r>
                </w:p>
              </w:tc>
            </w:tr>
            <w:tr w14:paraId="48EF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dxa"/>
                  <w:vAlign w:val="center"/>
                </w:tcPr>
                <w:p w14:paraId="6C48E8D1">
                  <w:pPr>
                    <w:pStyle w:val="78"/>
                    <w:rPr>
                      <w:rFonts w:ascii="Times New Roman" w:hAnsi="Times New Roman"/>
                      <w:color w:val="auto"/>
                    </w:rPr>
                  </w:pPr>
                  <w:r>
                    <w:rPr>
                      <w:rFonts w:ascii="Times New Roman" w:hAnsi="Times New Roman"/>
                      <w:color w:val="auto"/>
                    </w:rPr>
                    <w:t>6</w:t>
                  </w:r>
                </w:p>
              </w:tc>
              <w:tc>
                <w:tcPr>
                  <w:tcW w:w="3495" w:type="dxa"/>
                  <w:vAlign w:val="center"/>
                </w:tcPr>
                <w:p w14:paraId="2B00450C">
                  <w:pPr>
                    <w:adjustRightInd w:val="0"/>
                    <w:jc w:val="center"/>
                    <w:rPr>
                      <w:rFonts w:ascii="Times New Roman" w:hAnsi="Times New Roman"/>
                      <w:color w:val="auto"/>
                      <w:szCs w:val="21"/>
                    </w:rPr>
                  </w:pPr>
                  <w:r>
                    <w:rPr>
                      <w:rFonts w:ascii="Times New Roman" w:hAnsi="Times New Roman"/>
                      <w:color w:val="auto"/>
                      <w:kern w:val="0"/>
                      <w:szCs w:val="21"/>
                      <w:lang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098" w:type="dxa"/>
                  <w:vAlign w:val="center"/>
                </w:tcPr>
                <w:p w14:paraId="2F45452D">
                  <w:pPr>
                    <w:adjustRightInd w:val="0"/>
                    <w:rPr>
                      <w:rFonts w:ascii="Times New Roman" w:hAnsi="Times New Roman"/>
                      <w:color w:val="auto"/>
                      <w:szCs w:val="21"/>
                    </w:rPr>
                  </w:pPr>
                  <w:r>
                    <w:rPr>
                      <w:rFonts w:hint="eastAsia" w:ascii="Times New Roman" w:hAnsi="Times New Roman"/>
                      <w:color w:val="auto"/>
                      <w:kern w:val="0"/>
                      <w:szCs w:val="21"/>
                      <w:lang w:val="en-US" w:eastAsia="zh-CN"/>
                    </w:rPr>
                    <w:t>本</w:t>
                  </w:r>
                  <w:r>
                    <w:rPr>
                      <w:rFonts w:ascii="Times New Roman" w:hAnsi="Times New Roman"/>
                      <w:color w:val="auto"/>
                      <w:kern w:val="0"/>
                      <w:szCs w:val="21"/>
                    </w:rPr>
                    <w:t>项目场地不涉及占用</w:t>
                  </w:r>
                  <w:r>
                    <w:rPr>
                      <w:rFonts w:ascii="Times New Roman" w:hAnsi="Times New Roman"/>
                      <w:color w:val="auto"/>
                      <w:kern w:val="0"/>
                      <w:szCs w:val="21"/>
                      <w:lang w:bidi="ar"/>
                    </w:rPr>
                    <w:t>长江流域河湖岸线、金沙江岸线保护区和保留区、金沙江干流、九大高原湖泊保护区、保留区。</w:t>
                  </w:r>
                </w:p>
              </w:tc>
              <w:tc>
                <w:tcPr>
                  <w:tcW w:w="830" w:type="dxa"/>
                  <w:vAlign w:val="center"/>
                </w:tcPr>
                <w:p w14:paraId="09A771D0">
                  <w:pPr>
                    <w:pStyle w:val="78"/>
                    <w:rPr>
                      <w:rFonts w:ascii="Times New Roman" w:hAnsi="Times New Roman"/>
                      <w:color w:val="auto"/>
                    </w:rPr>
                  </w:pPr>
                  <w:r>
                    <w:rPr>
                      <w:rFonts w:ascii="Times New Roman" w:hAnsi="Times New Roman"/>
                      <w:color w:val="auto"/>
                    </w:rPr>
                    <w:t>符合</w:t>
                  </w:r>
                </w:p>
              </w:tc>
            </w:tr>
            <w:tr w14:paraId="62B3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4" w:type="dxa"/>
                  <w:vAlign w:val="center"/>
                </w:tcPr>
                <w:p w14:paraId="0CC566C1">
                  <w:pPr>
                    <w:pStyle w:val="78"/>
                    <w:rPr>
                      <w:rFonts w:ascii="Times New Roman" w:hAnsi="Times New Roman"/>
                      <w:color w:val="auto"/>
                    </w:rPr>
                  </w:pPr>
                  <w:r>
                    <w:rPr>
                      <w:rFonts w:ascii="Times New Roman" w:hAnsi="Times New Roman"/>
                      <w:color w:val="auto"/>
                    </w:rPr>
                    <w:t>7</w:t>
                  </w:r>
                </w:p>
              </w:tc>
              <w:tc>
                <w:tcPr>
                  <w:tcW w:w="3495" w:type="dxa"/>
                  <w:vAlign w:val="center"/>
                </w:tcPr>
                <w:p w14:paraId="531FF848">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098" w:type="dxa"/>
                  <w:vAlign w:val="center"/>
                </w:tcPr>
                <w:p w14:paraId="3C8990C2">
                  <w:pPr>
                    <w:adjustRightInd w:val="0"/>
                    <w:rPr>
                      <w:rFonts w:ascii="Times New Roman" w:hAnsi="Times New Roman"/>
                      <w:color w:val="auto"/>
                      <w:szCs w:val="21"/>
                    </w:rPr>
                  </w:pPr>
                  <w:r>
                    <w:rPr>
                      <w:rFonts w:ascii="Times New Roman" w:hAnsi="Times New Roman"/>
                      <w:color w:val="auto"/>
                      <w:kern w:val="0"/>
                      <w:szCs w:val="21"/>
                    </w:rPr>
                    <w:t>本项目不涉及</w:t>
                  </w:r>
                  <w:r>
                    <w:rPr>
                      <w:rFonts w:ascii="Times New Roman" w:hAnsi="Times New Roman"/>
                      <w:color w:val="auto"/>
                      <w:kern w:val="0"/>
                      <w:szCs w:val="21"/>
                      <w:lang w:bidi="ar"/>
                    </w:rPr>
                    <w:t>在金沙江干流、长江一级支流、九大高原湖泊流域建设过江基础设施项目和新设、改设或扩大排污口。</w:t>
                  </w:r>
                </w:p>
              </w:tc>
              <w:tc>
                <w:tcPr>
                  <w:tcW w:w="830" w:type="dxa"/>
                  <w:vAlign w:val="center"/>
                </w:tcPr>
                <w:p w14:paraId="53516C53">
                  <w:pPr>
                    <w:pStyle w:val="78"/>
                    <w:rPr>
                      <w:rFonts w:ascii="Times New Roman" w:hAnsi="Times New Roman"/>
                      <w:color w:val="auto"/>
                    </w:rPr>
                  </w:pPr>
                  <w:r>
                    <w:rPr>
                      <w:rFonts w:ascii="Times New Roman" w:hAnsi="Times New Roman"/>
                      <w:color w:val="auto"/>
                    </w:rPr>
                    <w:t>符合</w:t>
                  </w:r>
                </w:p>
              </w:tc>
            </w:tr>
            <w:tr w14:paraId="744D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54" w:type="dxa"/>
                  <w:vAlign w:val="center"/>
                </w:tcPr>
                <w:p w14:paraId="1A866D17">
                  <w:pPr>
                    <w:pStyle w:val="78"/>
                    <w:rPr>
                      <w:rFonts w:ascii="Times New Roman" w:hAnsi="Times New Roman"/>
                      <w:color w:val="auto"/>
                    </w:rPr>
                  </w:pPr>
                  <w:r>
                    <w:rPr>
                      <w:rFonts w:ascii="Times New Roman" w:hAnsi="Times New Roman"/>
                      <w:color w:val="auto"/>
                    </w:rPr>
                    <w:t>8</w:t>
                  </w:r>
                </w:p>
              </w:tc>
              <w:tc>
                <w:tcPr>
                  <w:tcW w:w="3495" w:type="dxa"/>
                  <w:vAlign w:val="center"/>
                </w:tcPr>
                <w:p w14:paraId="722F434C">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禁止在金沙江干流、长江一级支流、水生生物保护区和长江流域禁捕水域开展天然渔业资源生产性捕捞。</w:t>
                  </w:r>
                </w:p>
              </w:tc>
              <w:tc>
                <w:tcPr>
                  <w:tcW w:w="2098" w:type="dxa"/>
                  <w:vAlign w:val="center"/>
                </w:tcPr>
                <w:p w14:paraId="3F3889C9">
                  <w:pPr>
                    <w:adjustRightInd w:val="0"/>
                    <w:rPr>
                      <w:rFonts w:ascii="Times New Roman" w:hAnsi="Times New Roman"/>
                      <w:color w:val="auto"/>
                      <w:szCs w:val="21"/>
                    </w:rPr>
                  </w:pPr>
                  <w:r>
                    <w:rPr>
                      <w:rFonts w:ascii="Times New Roman" w:hAnsi="Times New Roman"/>
                      <w:color w:val="auto"/>
                      <w:kern w:val="0"/>
                      <w:szCs w:val="21"/>
                    </w:rPr>
                    <w:t>本项目不涉及</w:t>
                  </w:r>
                  <w:r>
                    <w:rPr>
                      <w:rFonts w:ascii="Times New Roman" w:hAnsi="Times New Roman"/>
                      <w:color w:val="auto"/>
                      <w:kern w:val="0"/>
                      <w:szCs w:val="21"/>
                      <w:lang w:bidi="ar"/>
                    </w:rPr>
                    <w:t>在金沙江干流、长江一级支流、水生生物保护区和长江流域禁捕水域开展天然渔业资源生产性捕捞</w:t>
                  </w:r>
                  <w:r>
                    <w:rPr>
                      <w:rFonts w:ascii="Times New Roman" w:hAnsi="Times New Roman"/>
                      <w:color w:val="auto"/>
                      <w:szCs w:val="21"/>
                    </w:rPr>
                    <w:t>。</w:t>
                  </w:r>
                </w:p>
              </w:tc>
              <w:tc>
                <w:tcPr>
                  <w:tcW w:w="830" w:type="dxa"/>
                  <w:vAlign w:val="center"/>
                </w:tcPr>
                <w:p w14:paraId="05CB53AD">
                  <w:pPr>
                    <w:pStyle w:val="78"/>
                    <w:rPr>
                      <w:rFonts w:ascii="Times New Roman" w:hAnsi="Times New Roman"/>
                      <w:color w:val="auto"/>
                    </w:rPr>
                  </w:pPr>
                  <w:r>
                    <w:rPr>
                      <w:rFonts w:ascii="Times New Roman" w:hAnsi="Times New Roman"/>
                      <w:color w:val="auto"/>
                    </w:rPr>
                    <w:t>符合</w:t>
                  </w:r>
                </w:p>
              </w:tc>
            </w:tr>
            <w:tr w14:paraId="080D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654" w:type="dxa"/>
                  <w:vAlign w:val="center"/>
                </w:tcPr>
                <w:p w14:paraId="0AD9E07F">
                  <w:pPr>
                    <w:pStyle w:val="78"/>
                    <w:rPr>
                      <w:rFonts w:ascii="Times New Roman" w:hAnsi="Times New Roman"/>
                      <w:color w:val="auto"/>
                    </w:rPr>
                  </w:pPr>
                  <w:r>
                    <w:rPr>
                      <w:rFonts w:ascii="Times New Roman" w:hAnsi="Times New Roman"/>
                      <w:color w:val="auto"/>
                    </w:rPr>
                    <w:t>9</w:t>
                  </w:r>
                </w:p>
              </w:tc>
              <w:tc>
                <w:tcPr>
                  <w:tcW w:w="3495" w:type="dxa"/>
                  <w:vAlign w:val="center"/>
                </w:tcPr>
                <w:p w14:paraId="6DCD433E">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098" w:type="dxa"/>
                  <w:vAlign w:val="center"/>
                </w:tcPr>
                <w:p w14:paraId="640D50F3">
                  <w:pPr>
                    <w:adjustRightInd w:val="0"/>
                    <w:rPr>
                      <w:rFonts w:ascii="Times New Roman" w:hAnsi="Times New Roman"/>
                      <w:color w:val="auto"/>
                      <w:szCs w:val="21"/>
                    </w:rPr>
                  </w:pPr>
                  <w:r>
                    <w:rPr>
                      <w:rFonts w:ascii="Times New Roman" w:hAnsi="Times New Roman"/>
                      <w:color w:val="auto"/>
                      <w:kern w:val="0"/>
                      <w:szCs w:val="21"/>
                    </w:rPr>
                    <w:t>项目选址不在</w:t>
                  </w:r>
                  <w:r>
                    <w:rPr>
                      <w:rFonts w:ascii="Times New Roman" w:hAnsi="Times New Roman"/>
                      <w:color w:val="auto"/>
                      <w:kern w:val="0"/>
                      <w:szCs w:val="21"/>
                      <w:lang w:bidi="ar"/>
                    </w:rPr>
                    <w:t>金沙江干流，长江一级支流和九大高原湖泊岸线三公里范围内，且不属于化工、尾矿库、冶炼渣库和磷石膏库等项目。</w:t>
                  </w:r>
                </w:p>
              </w:tc>
              <w:tc>
                <w:tcPr>
                  <w:tcW w:w="830" w:type="dxa"/>
                  <w:vAlign w:val="center"/>
                </w:tcPr>
                <w:p w14:paraId="56CB5080">
                  <w:pPr>
                    <w:pStyle w:val="78"/>
                    <w:rPr>
                      <w:rFonts w:ascii="Times New Roman" w:hAnsi="Times New Roman"/>
                      <w:color w:val="auto"/>
                    </w:rPr>
                  </w:pPr>
                  <w:r>
                    <w:rPr>
                      <w:rFonts w:ascii="Times New Roman" w:hAnsi="Times New Roman"/>
                      <w:color w:val="auto"/>
                    </w:rPr>
                    <w:t>符合</w:t>
                  </w:r>
                </w:p>
              </w:tc>
            </w:tr>
            <w:tr w14:paraId="6E97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54" w:type="dxa"/>
                  <w:vAlign w:val="center"/>
                </w:tcPr>
                <w:p w14:paraId="35792603">
                  <w:pPr>
                    <w:pStyle w:val="78"/>
                    <w:rPr>
                      <w:rFonts w:ascii="Times New Roman" w:hAnsi="Times New Roman"/>
                      <w:color w:val="auto"/>
                    </w:rPr>
                  </w:pPr>
                  <w:r>
                    <w:rPr>
                      <w:rFonts w:ascii="Times New Roman" w:hAnsi="Times New Roman"/>
                      <w:color w:val="auto"/>
                    </w:rPr>
                    <w:t>10</w:t>
                  </w:r>
                </w:p>
              </w:tc>
              <w:tc>
                <w:tcPr>
                  <w:tcW w:w="3495" w:type="dxa"/>
                  <w:vAlign w:val="center"/>
                </w:tcPr>
                <w:p w14:paraId="4E3AC991">
                  <w:pPr>
                    <w:adjustRightInd w:val="0"/>
                    <w:jc w:val="center"/>
                    <w:rPr>
                      <w:rFonts w:ascii="Times New Roman" w:hAnsi="Times New Roman"/>
                      <w:color w:val="auto"/>
                      <w:szCs w:val="21"/>
                    </w:rPr>
                  </w:pPr>
                  <w:r>
                    <w:rPr>
                      <w:rFonts w:ascii="Times New Roman" w:hAnsi="Times New Roman"/>
                      <w:color w:val="auto"/>
                      <w:kern w:val="0"/>
                      <w:szCs w:val="21"/>
                      <w:lang w:bidi="ar"/>
                    </w:rPr>
                    <w:t>禁止在合规园区外新建、扩建钢铁、石化、化工、焦化、建材、有色、制浆造纸行业中的高污染项目。</w:t>
                  </w:r>
                </w:p>
              </w:tc>
              <w:tc>
                <w:tcPr>
                  <w:tcW w:w="2098" w:type="dxa"/>
                  <w:vAlign w:val="center"/>
                </w:tcPr>
                <w:p w14:paraId="0C00591B">
                  <w:pPr>
                    <w:adjustRightInd w:val="0"/>
                    <w:rPr>
                      <w:rFonts w:ascii="Times New Roman" w:hAnsi="Times New Roman"/>
                      <w:color w:val="auto"/>
                      <w:szCs w:val="21"/>
                    </w:rPr>
                  </w:pPr>
                  <w:r>
                    <w:rPr>
                      <w:rFonts w:ascii="Times New Roman" w:hAnsi="Times New Roman"/>
                      <w:color w:val="auto"/>
                      <w:kern w:val="0"/>
                      <w:szCs w:val="21"/>
                    </w:rPr>
                    <w:t>本项</w:t>
                  </w:r>
                  <w:r>
                    <w:rPr>
                      <w:rFonts w:ascii="Times New Roman" w:hAnsi="Times New Roman"/>
                      <w:color w:val="auto"/>
                      <w:kern w:val="0"/>
                      <w:szCs w:val="21"/>
                      <w:lang w:bidi="ar"/>
                    </w:rPr>
                    <w:t>目为</w:t>
                  </w:r>
                  <w:r>
                    <w:rPr>
                      <w:rFonts w:hint="eastAsia" w:ascii="Times New Roman" w:hAnsi="Times New Roman"/>
                      <w:color w:val="auto"/>
                      <w:kern w:val="0"/>
                      <w:szCs w:val="21"/>
                      <w:lang w:val="en-US" w:eastAsia="zh-CN" w:bidi="ar"/>
                    </w:rPr>
                    <w:t>洗染服务</w:t>
                  </w:r>
                  <w:r>
                    <w:rPr>
                      <w:rFonts w:ascii="Times New Roman" w:hAnsi="Times New Roman"/>
                      <w:color w:val="auto"/>
                      <w:kern w:val="0"/>
                      <w:szCs w:val="21"/>
                      <w:lang w:bidi="ar"/>
                    </w:rPr>
                    <w:t>项目，不属于钢铁、石化、化工、焦化、建材、有色、制浆造纸等高污染项目。</w:t>
                  </w:r>
                </w:p>
              </w:tc>
              <w:tc>
                <w:tcPr>
                  <w:tcW w:w="830" w:type="dxa"/>
                  <w:vAlign w:val="center"/>
                </w:tcPr>
                <w:p w14:paraId="5ECB4495">
                  <w:pPr>
                    <w:pStyle w:val="78"/>
                    <w:rPr>
                      <w:rFonts w:ascii="Times New Roman" w:hAnsi="Times New Roman"/>
                      <w:color w:val="auto"/>
                    </w:rPr>
                  </w:pPr>
                  <w:r>
                    <w:rPr>
                      <w:rFonts w:ascii="Times New Roman" w:hAnsi="Times New Roman"/>
                      <w:color w:val="auto"/>
                    </w:rPr>
                    <w:t>符合</w:t>
                  </w:r>
                </w:p>
              </w:tc>
            </w:tr>
            <w:tr w14:paraId="77B2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4" w:type="dxa"/>
                  <w:vAlign w:val="center"/>
                </w:tcPr>
                <w:p w14:paraId="4F28811D">
                  <w:pPr>
                    <w:pStyle w:val="78"/>
                    <w:rPr>
                      <w:rFonts w:ascii="Times New Roman" w:hAnsi="Times New Roman"/>
                      <w:color w:val="auto"/>
                    </w:rPr>
                  </w:pPr>
                  <w:r>
                    <w:rPr>
                      <w:rFonts w:ascii="Times New Roman" w:hAnsi="Times New Roman"/>
                      <w:color w:val="auto"/>
                    </w:rPr>
                    <w:t>11</w:t>
                  </w:r>
                </w:p>
              </w:tc>
              <w:tc>
                <w:tcPr>
                  <w:tcW w:w="3495" w:type="dxa"/>
                  <w:vAlign w:val="center"/>
                </w:tcPr>
                <w:p w14:paraId="7AA6D678">
                  <w:pPr>
                    <w:adjustRightInd w:val="0"/>
                    <w:jc w:val="center"/>
                    <w:rPr>
                      <w:rFonts w:ascii="Times New Roman" w:hAnsi="Times New Roman"/>
                      <w:color w:val="auto"/>
                      <w:szCs w:val="21"/>
                    </w:rPr>
                  </w:pPr>
                  <w:r>
                    <w:rPr>
                      <w:rFonts w:ascii="Times New Roman" w:hAnsi="Times New Roman"/>
                      <w:color w:val="auto"/>
                      <w:kern w:val="0"/>
                      <w:szCs w:val="21"/>
                      <w:lang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2098" w:type="dxa"/>
                  <w:vAlign w:val="center"/>
                </w:tcPr>
                <w:p w14:paraId="12E7F3A9">
                  <w:pPr>
                    <w:adjustRightInd w:val="0"/>
                    <w:rPr>
                      <w:rFonts w:ascii="Times New Roman" w:hAnsi="Times New Roman"/>
                      <w:color w:val="auto"/>
                      <w:szCs w:val="21"/>
                    </w:rPr>
                  </w:pPr>
                  <w:r>
                    <w:rPr>
                      <w:rFonts w:ascii="Times New Roman" w:hAnsi="Times New Roman"/>
                      <w:color w:val="auto"/>
                      <w:kern w:val="0"/>
                      <w:szCs w:val="21"/>
                    </w:rPr>
                    <w:t>本项目</w:t>
                  </w:r>
                  <w:r>
                    <w:rPr>
                      <w:rFonts w:ascii="Times New Roman" w:hAnsi="Times New Roman"/>
                      <w:color w:val="auto"/>
                      <w:szCs w:val="21"/>
                    </w:rPr>
                    <w:t>为</w:t>
                  </w:r>
                  <w:r>
                    <w:rPr>
                      <w:rFonts w:hint="eastAsia" w:ascii="Times New Roman" w:hAnsi="Times New Roman"/>
                      <w:color w:val="auto"/>
                      <w:kern w:val="0"/>
                      <w:szCs w:val="21"/>
                      <w:lang w:val="en-US" w:eastAsia="zh-CN"/>
                    </w:rPr>
                    <w:t>洗染服务</w:t>
                  </w:r>
                  <w:r>
                    <w:rPr>
                      <w:rFonts w:ascii="Times New Roman" w:hAnsi="Times New Roman"/>
                      <w:color w:val="auto"/>
                      <w:kern w:val="0"/>
                      <w:szCs w:val="21"/>
                    </w:rPr>
                    <w:t>项目，不属于不符合国家石化、现代煤化工等产业布局规划</w:t>
                  </w:r>
                  <w:r>
                    <w:rPr>
                      <w:rFonts w:ascii="Times New Roman" w:hAnsi="Times New Roman"/>
                      <w:color w:val="auto"/>
                      <w:kern w:val="0"/>
                      <w:szCs w:val="21"/>
                      <w:lang w:bidi="ar"/>
                    </w:rPr>
                    <w:t>的项目，不属于列入《云南省城镇人口密集区危险化学品生产企业搬迁改造名单》的搬迁改造企业。</w:t>
                  </w:r>
                </w:p>
              </w:tc>
              <w:tc>
                <w:tcPr>
                  <w:tcW w:w="830" w:type="dxa"/>
                  <w:vAlign w:val="center"/>
                </w:tcPr>
                <w:p w14:paraId="1E676B56">
                  <w:pPr>
                    <w:pStyle w:val="78"/>
                    <w:rPr>
                      <w:rFonts w:ascii="Times New Roman" w:hAnsi="Times New Roman"/>
                      <w:color w:val="auto"/>
                    </w:rPr>
                  </w:pPr>
                  <w:r>
                    <w:rPr>
                      <w:rFonts w:ascii="Times New Roman" w:hAnsi="Times New Roman"/>
                      <w:color w:val="auto"/>
                    </w:rPr>
                    <w:t>符合</w:t>
                  </w:r>
                </w:p>
              </w:tc>
            </w:tr>
            <w:tr w14:paraId="0B6E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4" w:type="dxa"/>
                  <w:vAlign w:val="center"/>
                </w:tcPr>
                <w:p w14:paraId="07F3328C">
                  <w:pPr>
                    <w:pStyle w:val="78"/>
                    <w:rPr>
                      <w:rFonts w:ascii="Times New Roman" w:hAnsi="Times New Roman"/>
                      <w:color w:val="auto"/>
                    </w:rPr>
                  </w:pPr>
                  <w:r>
                    <w:rPr>
                      <w:rFonts w:ascii="Times New Roman" w:hAnsi="Times New Roman"/>
                      <w:color w:val="auto"/>
                    </w:rPr>
                    <w:t>12</w:t>
                  </w:r>
                </w:p>
              </w:tc>
              <w:tc>
                <w:tcPr>
                  <w:tcW w:w="3495" w:type="dxa"/>
                  <w:vAlign w:val="center"/>
                </w:tcPr>
                <w:p w14:paraId="533443BF">
                  <w:pPr>
                    <w:adjustRightInd w:val="0"/>
                    <w:jc w:val="center"/>
                    <w:rPr>
                      <w:rFonts w:ascii="Times New Roman" w:hAnsi="Times New Roman"/>
                      <w:color w:val="auto"/>
                      <w:szCs w:val="21"/>
                    </w:rPr>
                  </w:pPr>
                  <w:r>
                    <w:rPr>
                      <w:rFonts w:ascii="Times New Roman" w:hAnsi="Times New Roman"/>
                      <w:color w:val="auto"/>
                      <w:kern w:val="0"/>
                      <w:szCs w:val="21"/>
                      <w:lang w:bidi="ar"/>
                    </w:rPr>
                    <w:t>禁止新建、扩建法律法规和相关政策明合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黄磷、烧碱、纯碱、聚氯乙烯等行业新增产能。</w:t>
                  </w:r>
                </w:p>
              </w:tc>
              <w:tc>
                <w:tcPr>
                  <w:tcW w:w="2098" w:type="dxa"/>
                  <w:vAlign w:val="center"/>
                </w:tcPr>
                <w:p w14:paraId="674688C4">
                  <w:pPr>
                    <w:adjustRightInd w:val="0"/>
                    <w:rPr>
                      <w:rFonts w:ascii="Times New Roman" w:hAnsi="Times New Roman"/>
                      <w:color w:val="auto"/>
                      <w:szCs w:val="21"/>
                    </w:rPr>
                  </w:pPr>
                  <w:r>
                    <w:rPr>
                      <w:rFonts w:ascii="Times New Roman" w:hAnsi="Times New Roman"/>
                      <w:color w:val="auto"/>
                      <w:kern w:val="0"/>
                      <w:szCs w:val="21"/>
                    </w:rPr>
                    <w:t>本项目</w:t>
                  </w:r>
                  <w:r>
                    <w:rPr>
                      <w:rFonts w:ascii="Times New Roman" w:hAnsi="Times New Roman"/>
                      <w:color w:val="auto"/>
                      <w:szCs w:val="21"/>
                    </w:rPr>
                    <w:t>为</w:t>
                  </w:r>
                  <w:r>
                    <w:rPr>
                      <w:rFonts w:hint="eastAsia" w:ascii="Times New Roman" w:hAnsi="Times New Roman"/>
                      <w:color w:val="auto"/>
                      <w:kern w:val="0"/>
                      <w:szCs w:val="21"/>
                      <w:lang w:val="en-US" w:eastAsia="zh-CN"/>
                    </w:rPr>
                    <w:t>洗染服务</w:t>
                  </w:r>
                  <w:r>
                    <w:rPr>
                      <w:rFonts w:ascii="Times New Roman" w:hAnsi="Times New Roman"/>
                      <w:color w:val="auto"/>
                      <w:kern w:val="0"/>
                      <w:szCs w:val="21"/>
                    </w:rPr>
                    <w:t>项目</w:t>
                  </w:r>
                  <w:r>
                    <w:rPr>
                      <w:rFonts w:ascii="Times New Roman" w:hAnsi="Times New Roman"/>
                      <w:color w:val="auto"/>
                      <w:szCs w:val="21"/>
                    </w:rPr>
                    <w:t>，</w:t>
                  </w:r>
                  <w:r>
                    <w:rPr>
                      <w:rFonts w:ascii="Times New Roman" w:hAnsi="Times New Roman"/>
                      <w:color w:val="auto"/>
                      <w:szCs w:val="21"/>
                      <w:lang w:bidi="ar"/>
                    </w:rPr>
                    <w:t>不属于</w:t>
                  </w:r>
                  <w:r>
                    <w:rPr>
                      <w:rFonts w:ascii="Times New Roman" w:hAnsi="Times New Roman"/>
                      <w:color w:val="auto"/>
                      <w:kern w:val="0"/>
                      <w:szCs w:val="21"/>
                      <w:lang w:bidi="ar"/>
                    </w:rPr>
                    <w:t>落后产能项目、过剩产能行业的项目、高耗能高排放项目、高毒高残留以及对环境影响大的农药原药生产项目、尿素磷、电石、焦炭、黄磷、烧碱、纯碱、聚氯乙烯等项目</w:t>
                  </w:r>
                  <w:r>
                    <w:rPr>
                      <w:rFonts w:ascii="Times New Roman" w:hAnsi="Times New Roman"/>
                      <w:color w:val="auto"/>
                      <w:szCs w:val="21"/>
                      <w:lang w:bidi="ar"/>
                    </w:rPr>
                    <w:t>。</w:t>
                  </w:r>
                </w:p>
              </w:tc>
              <w:tc>
                <w:tcPr>
                  <w:tcW w:w="830" w:type="dxa"/>
                  <w:vAlign w:val="center"/>
                </w:tcPr>
                <w:p w14:paraId="6CF125C5">
                  <w:pPr>
                    <w:pStyle w:val="78"/>
                    <w:rPr>
                      <w:rFonts w:ascii="Times New Roman" w:hAnsi="Times New Roman"/>
                      <w:color w:val="auto"/>
                    </w:rPr>
                  </w:pPr>
                  <w:r>
                    <w:rPr>
                      <w:rFonts w:ascii="Times New Roman" w:hAnsi="Times New Roman"/>
                      <w:color w:val="auto"/>
                    </w:rPr>
                    <w:t>符合</w:t>
                  </w:r>
                </w:p>
              </w:tc>
            </w:tr>
          </w:tbl>
          <w:p w14:paraId="2D756A66">
            <w:pPr>
              <w:autoSpaceDE w:val="0"/>
              <w:autoSpaceDN w:val="0"/>
              <w:adjustRightInd w:val="0"/>
              <w:snapToGrid w:val="0"/>
              <w:spacing w:line="360" w:lineRule="auto"/>
              <w:ind w:firstLine="480" w:firstLineChars="200"/>
              <w:rPr>
                <w:rFonts w:ascii="Times New Roman" w:hAnsi="Times New Roman"/>
                <w:bCs/>
                <w:color w:val="auto"/>
                <w:kern w:val="0"/>
                <w:szCs w:val="21"/>
              </w:rPr>
            </w:pPr>
            <w:r>
              <w:rPr>
                <w:rFonts w:ascii="Times New Roman" w:hAnsi="Times New Roman"/>
                <w:bCs/>
                <w:color w:val="auto"/>
                <w:kern w:val="0"/>
                <w:sz w:val="24"/>
              </w:rPr>
              <w:t>根据表1-</w:t>
            </w:r>
            <w:r>
              <w:rPr>
                <w:rFonts w:hint="eastAsia" w:ascii="Times New Roman" w:hAnsi="Times New Roman"/>
                <w:bCs/>
                <w:color w:val="auto"/>
                <w:kern w:val="0"/>
                <w:sz w:val="24"/>
                <w:lang w:val="en-US" w:eastAsia="zh-CN"/>
              </w:rPr>
              <w:t>8</w:t>
            </w:r>
            <w:r>
              <w:rPr>
                <w:rFonts w:ascii="Times New Roman" w:hAnsi="Times New Roman"/>
                <w:bCs/>
                <w:color w:val="auto"/>
                <w:kern w:val="0"/>
                <w:sz w:val="24"/>
              </w:rPr>
              <w:t>可知，项目与《云南省长江经济带发展负面清单指南实施细则（试行）2022年版》相符。</w:t>
            </w:r>
          </w:p>
          <w:p w14:paraId="51D83CD6">
            <w:pPr>
              <w:pStyle w:val="98"/>
              <w:spacing w:before="36" w:line="360" w:lineRule="auto"/>
              <w:rPr>
                <w:rFonts w:ascii="Times New Roman" w:hAnsi="Times New Roman" w:eastAsia="宋体" w:cs="宋体"/>
                <w:b/>
                <w:bCs/>
                <w:color w:val="auto"/>
                <w:spacing w:val="-5"/>
                <w:sz w:val="24"/>
                <w:szCs w:val="24"/>
              </w:rPr>
            </w:pPr>
            <w:r>
              <w:rPr>
                <w:rFonts w:hint="eastAsia" w:ascii="Times New Roman" w:hAnsi="Times New Roman" w:eastAsia="宋体" w:cs="宋体"/>
                <w:b/>
                <w:bCs/>
                <w:color w:val="auto"/>
                <w:spacing w:val="-5"/>
                <w:lang w:val="en-US" w:eastAsia="zh-CN"/>
              </w:rPr>
              <w:t>9</w:t>
            </w:r>
            <w:r>
              <w:rPr>
                <w:rFonts w:ascii="Times New Roman" w:hAnsi="Times New Roman" w:eastAsia="宋体" w:cs="宋体"/>
                <w:b/>
                <w:bCs/>
                <w:color w:val="auto"/>
                <w:spacing w:val="-5"/>
              </w:rPr>
              <w:t xml:space="preserve"> 、</w:t>
            </w:r>
            <w:r>
              <w:rPr>
                <w:rFonts w:hint="eastAsia" w:ascii="Times New Roman" w:hAnsi="Times New Roman" w:eastAsia="宋体" w:cs="宋体"/>
                <w:b/>
                <w:bCs/>
                <w:color w:val="auto"/>
                <w:spacing w:val="-5"/>
                <w:sz w:val="24"/>
                <w:szCs w:val="24"/>
                <w:lang w:val="en-US" w:eastAsia="zh-CN"/>
              </w:rPr>
              <w:t>项目与</w:t>
            </w:r>
            <w:r>
              <w:rPr>
                <w:rFonts w:hint="default" w:ascii="Times New Roman" w:hAnsi="Times New Roman" w:eastAsia="宋体" w:cs="宋体"/>
                <w:b/>
                <w:bCs/>
                <w:color w:val="auto"/>
                <w:spacing w:val="-5"/>
                <w:sz w:val="24"/>
                <w:szCs w:val="24"/>
                <w:lang w:val="en-US" w:eastAsia="zh-CN"/>
              </w:rPr>
              <w:t>《昆明市大气污染防治条例》</w:t>
            </w:r>
            <w:r>
              <w:rPr>
                <w:rFonts w:ascii="Times New Roman" w:hAnsi="Times New Roman" w:eastAsia="宋体" w:cs="宋体"/>
                <w:b/>
                <w:bCs/>
                <w:color w:val="auto"/>
                <w:spacing w:val="-5"/>
                <w:sz w:val="24"/>
                <w:szCs w:val="24"/>
              </w:rPr>
              <w:t>符合性分析</w:t>
            </w:r>
          </w:p>
          <w:p w14:paraId="78B19C94">
            <w:pPr>
              <w:autoSpaceDE w:val="0"/>
              <w:autoSpaceDN w:val="0"/>
              <w:adjustRightInd w:val="0"/>
              <w:snapToGrid w:val="0"/>
              <w:spacing w:line="360" w:lineRule="auto"/>
              <w:ind w:firstLine="480" w:firstLineChars="200"/>
              <w:rPr>
                <w:rFonts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本项目主要涉及《昆明市大气污染防治条例》的规定分析如下：</w:t>
            </w:r>
          </w:p>
          <w:p w14:paraId="0A85813E">
            <w:pPr>
              <w:pStyle w:val="39"/>
              <w:keepNext w:val="0"/>
              <w:keepLines w:val="0"/>
              <w:pageBreakBefore w:val="0"/>
              <w:widowControl w:val="0"/>
              <w:kinsoku/>
              <w:wordWrap/>
              <w:overflowPunct/>
              <w:topLinePunct w:val="0"/>
              <w:autoSpaceDE w:val="0"/>
              <w:autoSpaceDN w:val="0"/>
              <w:bidi w:val="0"/>
              <w:adjustRightInd w:val="0"/>
              <w:snapToGrid/>
              <w:spacing w:before="0" w:after="0" w:line="360" w:lineRule="auto"/>
              <w:jc w:val="center"/>
              <w:textAlignment w:val="auto"/>
              <w:rPr>
                <w:rFonts w:hint="default" w:ascii="Times New Roman" w:hAnsi="Times New Roman" w:eastAsia="宋体" w:cs="Times New Roman"/>
                <w:b/>
                <w:color w:val="auto"/>
                <w:kern w:val="0"/>
                <w:sz w:val="21"/>
                <w:szCs w:val="21"/>
                <w:lang w:val="en-US" w:eastAsia="zh-CN" w:bidi="ar-SA"/>
              </w:rPr>
            </w:pPr>
            <w:r>
              <w:rPr>
                <w:rFonts w:ascii="Times New Roman" w:hAnsi="Times New Roman" w:eastAsia="宋体" w:cs="Times New Roman"/>
                <w:b/>
                <w:color w:val="auto"/>
                <w:kern w:val="0"/>
                <w:sz w:val="21"/>
                <w:szCs w:val="21"/>
                <w:lang w:val="en-US" w:eastAsia="zh-CN" w:bidi="ar-SA"/>
              </w:rPr>
              <w:t>表1-</w:t>
            </w:r>
            <w:r>
              <w:rPr>
                <w:rFonts w:hint="eastAsia" w:ascii="Times New Roman" w:hAnsi="Times New Roman" w:eastAsia="宋体" w:cs="Times New Roman"/>
                <w:b/>
                <w:color w:val="auto"/>
                <w:kern w:val="0"/>
                <w:sz w:val="21"/>
                <w:szCs w:val="21"/>
                <w:lang w:val="en-US" w:eastAsia="zh-CN" w:bidi="ar-SA"/>
              </w:rPr>
              <w:t xml:space="preserve">9  </w:t>
            </w:r>
            <w:r>
              <w:rPr>
                <w:rFonts w:ascii="Times New Roman" w:hAnsi="Times New Roman" w:eastAsia="宋体" w:cs="Times New Roman"/>
                <w:b/>
                <w:color w:val="auto"/>
                <w:kern w:val="0"/>
                <w:sz w:val="21"/>
                <w:szCs w:val="21"/>
                <w:lang w:val="en-US" w:eastAsia="zh-CN" w:bidi="ar-SA"/>
              </w:rPr>
              <w:t>项目与《昆明市大气污染防治条例》的符合性分析</w:t>
            </w:r>
          </w:p>
          <w:tbl>
            <w:tblPr>
              <w:tblStyle w:val="28"/>
              <w:tblW w:w="7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2"/>
              <w:gridCol w:w="2678"/>
              <w:gridCol w:w="748"/>
            </w:tblGrid>
            <w:tr w14:paraId="59A8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792" w:type="dxa"/>
                  <w:vAlign w:val="center"/>
                </w:tcPr>
                <w:p w14:paraId="260F9D7D">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2678" w:type="dxa"/>
                  <w:vAlign w:val="center"/>
                </w:tcPr>
                <w:p w14:paraId="09ECBDFA">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748" w:type="dxa"/>
                  <w:vAlign w:val="center"/>
                </w:tcPr>
                <w:p w14:paraId="1F51611A">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14:paraId="4842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2" w:type="dxa"/>
                  <w:vAlign w:val="center"/>
                </w:tcPr>
                <w:p w14:paraId="070FF333">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对具备条件且有供热需求的现有各类工业园区与工业集中区实施热电联产或者集中供热改造；对具备条件的新建各类工业园区，应当将集中供热纳入建设项目。</w:t>
                  </w:r>
                </w:p>
              </w:tc>
              <w:tc>
                <w:tcPr>
                  <w:tcW w:w="2678" w:type="dxa"/>
                  <w:vAlign w:val="center"/>
                </w:tcPr>
                <w:p w14:paraId="2F488E7E">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本项目位于</w:t>
                  </w:r>
                  <w:r>
                    <w:rPr>
                      <w:rFonts w:hint="eastAsia" w:ascii="Times New Roman" w:hAnsi="Times New Roman" w:eastAsiaTheme="minorEastAsia" w:cstheme="minorEastAsia"/>
                      <w:color w:val="auto"/>
                      <w:kern w:val="0"/>
                      <w:sz w:val="21"/>
                      <w:szCs w:val="21"/>
                      <w:lang w:val="en-US" w:eastAsia="zh-CN" w:bidi="ar"/>
                    </w:rPr>
                    <w:t>寻甸县仁德街道办事处易天线小功山，不具备</w:t>
                  </w:r>
                  <w:r>
                    <w:rPr>
                      <w:rFonts w:hint="eastAsia" w:ascii="Times New Roman" w:hAnsi="Times New Roman" w:eastAsia="宋体" w:cs="Times New Roman"/>
                      <w:color w:val="auto"/>
                      <w:szCs w:val="21"/>
                      <w:highlight w:val="none"/>
                    </w:rPr>
                    <w:t>热电联产或者集中供热</w:t>
                  </w:r>
                  <w:r>
                    <w:rPr>
                      <w:rFonts w:hint="eastAsia" w:ascii="Times New Roman" w:hAnsi="Times New Roman" w:eastAsia="宋体" w:cs="Times New Roman"/>
                      <w:color w:val="auto"/>
                      <w:szCs w:val="21"/>
                      <w:highlight w:val="none"/>
                      <w:lang w:val="en-US" w:eastAsia="zh-CN"/>
                    </w:rPr>
                    <w:t>条件，项目设置1</w:t>
                  </w:r>
                  <w:r>
                    <w:rPr>
                      <w:rFonts w:hint="eastAsia" w:ascii="Times New Roman" w:hAnsi="Times New Roman" w:eastAsia="宋体" w:cs="Times New Roman"/>
                      <w:color w:val="auto"/>
                      <w:szCs w:val="21"/>
                      <w:highlight w:val="none"/>
                      <w:lang w:eastAsia="zh-CN"/>
                    </w:rPr>
                    <w:t>台</w:t>
                  </w:r>
                  <w:r>
                    <w:rPr>
                      <w:rFonts w:hint="eastAsia"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lang w:eastAsia="zh-CN"/>
                    </w:rPr>
                    <w:t>t/h生物质蒸汽</w:t>
                  </w:r>
                  <w:r>
                    <w:rPr>
                      <w:rFonts w:hint="eastAsia" w:ascii="Times New Roman" w:hAnsi="Times New Roman" w:eastAsia="宋体" w:cs="Times New Roman"/>
                      <w:color w:val="auto"/>
                      <w:szCs w:val="21"/>
                      <w:highlight w:val="none"/>
                      <w:lang w:val="en-US" w:eastAsia="zh-CN"/>
                    </w:rPr>
                    <w:t>发生器为项目洗涤、烘干、熨烫工序提供蒸汽。</w:t>
                  </w:r>
                </w:p>
              </w:tc>
              <w:tc>
                <w:tcPr>
                  <w:tcW w:w="748" w:type="dxa"/>
                  <w:vAlign w:val="center"/>
                </w:tcPr>
                <w:p w14:paraId="21BBE4F0">
                  <w:pPr>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符合</w:t>
                  </w:r>
                </w:p>
              </w:tc>
            </w:tr>
            <w:tr w14:paraId="6421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2" w:type="dxa"/>
                  <w:vAlign w:val="center"/>
                </w:tcPr>
                <w:p w14:paraId="6666D82A">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在禁燃区内，禁止销售、燃用高污染燃料；禁止新建、扩建燃用高污染燃料的设施，已建成的，应当在规定的期限内改用天然气、液化石油气、电或者其他清洁能源。</w:t>
                  </w:r>
                </w:p>
              </w:tc>
              <w:tc>
                <w:tcPr>
                  <w:tcW w:w="2678" w:type="dxa"/>
                  <w:vAlign w:val="center"/>
                </w:tcPr>
                <w:p w14:paraId="73F6074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w:t>
                  </w:r>
                  <w:r>
                    <w:rPr>
                      <w:rFonts w:hint="eastAsia" w:ascii="Times New Roman" w:hAnsi="Times New Roman" w:cs="Times New Roman"/>
                      <w:color w:val="auto"/>
                      <w:szCs w:val="21"/>
                      <w:highlight w:val="none"/>
                      <w:lang w:val="en-US" w:eastAsia="zh-CN"/>
                    </w:rPr>
                    <w:t>位于</w:t>
                  </w:r>
                  <w:r>
                    <w:rPr>
                      <w:rFonts w:hint="eastAsia" w:ascii="Times New Roman" w:hAnsi="Times New Roman" w:eastAsiaTheme="minorEastAsia" w:cstheme="minorEastAsia"/>
                      <w:color w:val="auto"/>
                      <w:kern w:val="0"/>
                      <w:sz w:val="21"/>
                      <w:szCs w:val="21"/>
                      <w:lang w:val="en-US" w:eastAsia="zh-CN" w:bidi="ar"/>
                    </w:rPr>
                    <w:t>寻甸县仁德街道办事处易天线小功山，不属于禁燃区。</w:t>
                  </w:r>
                </w:p>
              </w:tc>
              <w:tc>
                <w:tcPr>
                  <w:tcW w:w="748" w:type="dxa"/>
                  <w:vAlign w:val="center"/>
                </w:tcPr>
                <w:p w14:paraId="473B48C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符合</w:t>
                  </w:r>
                </w:p>
              </w:tc>
            </w:tr>
            <w:tr w14:paraId="293E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2" w:type="dxa"/>
                  <w:vAlign w:val="center"/>
                </w:tcPr>
                <w:p w14:paraId="1EF5269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2678" w:type="dxa"/>
                  <w:vAlign w:val="center"/>
                </w:tcPr>
                <w:p w14:paraId="0FFD6094">
                  <w:pPr>
                    <w:widowControl/>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rPr>
                    <w:t>项目</w:t>
                  </w:r>
                  <w:r>
                    <w:rPr>
                      <w:rFonts w:hint="eastAsia" w:ascii="Times New Roman" w:hAnsi="Times New Roman" w:eastAsia="宋体" w:cs="Times New Roman"/>
                      <w:color w:val="auto"/>
                      <w:szCs w:val="21"/>
                      <w:highlight w:val="none"/>
                      <w:lang w:val="en-US" w:eastAsia="zh-CN"/>
                    </w:rPr>
                    <w:t>生物质锅炉燃烧废气经布袋除尘器处理后经30m排气筒外排，各污染物均可满足</w:t>
                  </w:r>
                  <w:r>
                    <w:rPr>
                      <w:rFonts w:hint="default" w:ascii="Times New Roman" w:hAnsi="Times New Roman" w:eastAsia="宋体" w:cs="Times New Roman"/>
                      <w:color w:val="auto"/>
                      <w:szCs w:val="21"/>
                      <w:highlight w:val="none"/>
                      <w:lang w:val="en-US" w:eastAsia="zh-CN"/>
                    </w:rPr>
                    <w:t>《锅炉大气污染物排放标准》（GB13271-2014）表2</w:t>
                  </w:r>
                  <w:r>
                    <w:rPr>
                      <w:rFonts w:hint="eastAsia" w:ascii="Times New Roman" w:hAnsi="Times New Roman" w:eastAsia="宋体" w:cs="Times New Roman"/>
                      <w:color w:val="auto"/>
                      <w:szCs w:val="21"/>
                      <w:highlight w:val="none"/>
                      <w:lang w:val="en-US" w:eastAsia="zh-CN"/>
                    </w:rPr>
                    <w:t>燃煤锅炉排放标准限值要求</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748" w:type="dxa"/>
                  <w:vAlign w:val="center"/>
                </w:tcPr>
                <w:p w14:paraId="10E85E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bl>
          <w:p w14:paraId="65D92452">
            <w:pPr>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综上，项目与《昆明市大气污染防治条例》相符合。</w:t>
            </w:r>
          </w:p>
          <w:p w14:paraId="04F97850">
            <w:pPr>
              <w:pStyle w:val="4"/>
              <w:spacing w:line="360" w:lineRule="auto"/>
              <w:jc w:val="both"/>
              <w:rPr>
                <w:rFonts w:ascii="Times New Roman" w:hAnsi="Times New Roman" w:eastAsia="宋体" w:cs="宋体"/>
                <w:b/>
                <w:bCs/>
                <w:color w:val="auto"/>
                <w:spacing w:val="-5"/>
                <w:kern w:val="2"/>
                <w:sz w:val="24"/>
                <w:szCs w:val="24"/>
                <w:lang w:val="en-US" w:eastAsia="en-US" w:bidi="ar-SA"/>
              </w:rPr>
            </w:pPr>
            <w:r>
              <w:rPr>
                <w:rFonts w:hint="eastAsia" w:ascii="Times New Roman" w:hAnsi="Times New Roman" w:eastAsia="宋体" w:cs="宋体"/>
                <w:b/>
                <w:bCs/>
                <w:color w:val="auto"/>
                <w:spacing w:val="-5"/>
                <w:kern w:val="2"/>
                <w:sz w:val="24"/>
                <w:szCs w:val="24"/>
                <w:lang w:val="en-US" w:eastAsia="zh-CN" w:bidi="ar-SA"/>
              </w:rPr>
              <w:t>10、</w:t>
            </w:r>
            <w:r>
              <w:rPr>
                <w:rFonts w:ascii="Times New Roman" w:hAnsi="Times New Roman" w:eastAsia="宋体" w:cs="宋体"/>
                <w:b/>
                <w:bCs/>
                <w:color w:val="auto"/>
                <w:spacing w:val="-5"/>
                <w:kern w:val="2"/>
                <w:sz w:val="24"/>
                <w:szCs w:val="24"/>
                <w:lang w:val="en-US" w:eastAsia="en-US" w:bidi="ar-SA"/>
              </w:rPr>
              <w:t>与《云南省空气质量持续改善行动实施方案》（云政发〔2024〕14号）符合性分析</w:t>
            </w:r>
          </w:p>
          <w:p w14:paraId="2008FFB6">
            <w:pPr>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2024年4月23日，云南省人民政府印发《云南省空气质量持续改善行动实施方案》（云政发〔2024〕14号），项目与《云南省空气质量持续改善行动实施方案》相符性分析判定情况见下表</w:t>
            </w:r>
            <w:r>
              <w:rPr>
                <w:rFonts w:hint="eastAsia" w:ascii="Times New Roman" w:hAnsi="Times New Roman" w:eastAsia="宋体" w:cs="Times New Roman"/>
                <w:bCs/>
                <w:color w:val="auto"/>
                <w:kern w:val="0"/>
                <w:sz w:val="24"/>
                <w:szCs w:val="24"/>
                <w:lang w:val="en-US" w:eastAsia="zh-CN" w:bidi="ar-SA"/>
              </w:rPr>
              <w:t>1-10。</w:t>
            </w:r>
          </w:p>
          <w:p w14:paraId="1C9D8C41">
            <w:pPr>
              <w:spacing w:line="360" w:lineRule="auto"/>
              <w:jc w:val="center"/>
              <w:rPr>
                <w:rFonts w:ascii="Times New Roman" w:hAnsi="Times New Roman"/>
                <w:b/>
                <w:bCs/>
                <w:color w:val="auto"/>
              </w:rPr>
            </w:pPr>
            <w:r>
              <w:rPr>
                <w:rFonts w:ascii="Times New Roman" w:hAnsi="Times New Roman"/>
                <w:b/>
                <w:bCs/>
                <w:color w:val="auto"/>
              </w:rPr>
              <w:t>表</w:t>
            </w:r>
            <w:r>
              <w:rPr>
                <w:rFonts w:hint="eastAsia" w:ascii="Times New Roman" w:hAnsi="Times New Roman"/>
                <w:b/>
                <w:bCs/>
                <w:color w:val="auto"/>
                <w:lang w:val="en-US" w:eastAsia="zh-CN"/>
              </w:rPr>
              <w:t>1</w:t>
            </w:r>
            <w:r>
              <w:rPr>
                <w:rFonts w:ascii="Times New Roman" w:hAnsi="Times New Roman"/>
                <w:b/>
                <w:bCs/>
                <w:color w:val="auto"/>
              </w:rPr>
              <w:t>-</w:t>
            </w:r>
            <w:r>
              <w:rPr>
                <w:rFonts w:hint="eastAsia" w:ascii="Times New Roman" w:hAnsi="Times New Roman"/>
                <w:b/>
                <w:bCs/>
                <w:color w:val="auto"/>
                <w:lang w:val="en-US" w:eastAsia="zh-CN"/>
              </w:rPr>
              <w:t>10</w:t>
            </w:r>
            <w:r>
              <w:rPr>
                <w:rFonts w:ascii="Times New Roman" w:hAnsi="Times New Roman"/>
                <w:b/>
                <w:bCs/>
                <w:color w:val="auto"/>
              </w:rPr>
              <w:t xml:space="preserve"> 项目与《云南省空气质量持续改善行动实施方案》符合性分析一览表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450"/>
              <w:gridCol w:w="3261"/>
              <w:gridCol w:w="2546"/>
              <w:gridCol w:w="835"/>
            </w:tblGrid>
            <w:tr w14:paraId="3005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16" w:type="pct"/>
                  <w:gridSpan w:val="2"/>
                  <w:noWrap w:val="0"/>
                  <w:tcMar>
                    <w:top w:w="28" w:type="dxa"/>
                    <w:left w:w="57" w:type="dxa"/>
                    <w:bottom w:w="28" w:type="dxa"/>
                    <w:right w:w="57" w:type="dxa"/>
                  </w:tcMar>
                  <w:vAlign w:val="center"/>
                </w:tcPr>
                <w:p w14:paraId="33BBC2C0">
                  <w:pPr>
                    <w:jc w:val="center"/>
                    <w:rPr>
                      <w:rFonts w:ascii="Times New Roman" w:hAnsi="Times New Roman"/>
                      <w:b/>
                      <w:color w:val="auto"/>
                      <w:lang w:bidi="en-US"/>
                    </w:rPr>
                  </w:pPr>
                  <w:r>
                    <w:rPr>
                      <w:rFonts w:ascii="Times New Roman" w:hAnsi="Times New Roman"/>
                      <w:b/>
                      <w:color w:val="auto"/>
                      <w:lang w:bidi="en-US"/>
                    </w:rPr>
                    <w:t>方案要求（摘录）</w:t>
                  </w:r>
                </w:p>
              </w:tc>
              <w:tc>
                <w:tcPr>
                  <w:tcW w:w="1794" w:type="pct"/>
                  <w:noWrap w:val="0"/>
                  <w:tcMar>
                    <w:top w:w="28" w:type="dxa"/>
                    <w:left w:w="57" w:type="dxa"/>
                    <w:bottom w:w="28" w:type="dxa"/>
                    <w:right w:w="57" w:type="dxa"/>
                  </w:tcMar>
                  <w:vAlign w:val="center"/>
                </w:tcPr>
                <w:p w14:paraId="269D360A">
                  <w:pPr>
                    <w:jc w:val="center"/>
                    <w:rPr>
                      <w:rFonts w:ascii="Times New Roman" w:hAnsi="Times New Roman"/>
                      <w:b/>
                      <w:color w:val="auto"/>
                      <w:lang w:bidi="en-US"/>
                    </w:rPr>
                  </w:pPr>
                  <w:r>
                    <w:rPr>
                      <w:rFonts w:ascii="Times New Roman" w:hAnsi="Times New Roman"/>
                      <w:b/>
                      <w:color w:val="auto"/>
                      <w:lang w:bidi="en-US"/>
                    </w:rPr>
                    <w:t>本项目实际情况</w:t>
                  </w:r>
                </w:p>
              </w:tc>
              <w:tc>
                <w:tcPr>
                  <w:tcW w:w="588" w:type="pct"/>
                  <w:noWrap w:val="0"/>
                  <w:tcMar>
                    <w:top w:w="28" w:type="dxa"/>
                    <w:left w:w="57" w:type="dxa"/>
                    <w:bottom w:w="28" w:type="dxa"/>
                    <w:right w:w="57" w:type="dxa"/>
                  </w:tcMar>
                  <w:vAlign w:val="center"/>
                </w:tcPr>
                <w:p w14:paraId="721D47E6">
                  <w:pPr>
                    <w:jc w:val="center"/>
                    <w:rPr>
                      <w:rFonts w:ascii="Times New Roman" w:hAnsi="Times New Roman"/>
                      <w:b/>
                      <w:color w:val="auto"/>
                      <w:lang w:bidi="en-US"/>
                    </w:rPr>
                  </w:pPr>
                  <w:r>
                    <w:rPr>
                      <w:rFonts w:ascii="Times New Roman" w:hAnsi="Times New Roman"/>
                      <w:b/>
                      <w:color w:val="auto"/>
                      <w:lang w:bidi="en-US"/>
                    </w:rPr>
                    <w:t>符合性</w:t>
                  </w:r>
                </w:p>
              </w:tc>
            </w:tr>
            <w:tr w14:paraId="1F0A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vMerge w:val="restart"/>
                  <w:noWrap w:val="0"/>
                  <w:tcMar>
                    <w:top w:w="28" w:type="dxa"/>
                    <w:left w:w="57" w:type="dxa"/>
                    <w:bottom w:w="28" w:type="dxa"/>
                    <w:right w:w="57" w:type="dxa"/>
                  </w:tcMar>
                  <w:vAlign w:val="center"/>
                </w:tcPr>
                <w:p w14:paraId="1AC2909E">
                  <w:pPr>
                    <w:jc w:val="center"/>
                    <w:rPr>
                      <w:rFonts w:ascii="Times New Roman" w:hAnsi="Times New Roman"/>
                      <w:color w:val="auto"/>
                      <w:lang w:bidi="en-US"/>
                    </w:rPr>
                  </w:pPr>
                  <w:r>
                    <w:rPr>
                      <w:rFonts w:ascii="Times New Roman" w:hAnsi="Times New Roman"/>
                      <w:color w:val="auto"/>
                      <w:lang w:bidi="en-US"/>
                    </w:rPr>
                    <w:t>二、优化产业结构</w:t>
                  </w:r>
                </w:p>
              </w:tc>
              <w:tc>
                <w:tcPr>
                  <w:tcW w:w="2299" w:type="pct"/>
                  <w:noWrap w:val="0"/>
                  <w:tcMar>
                    <w:top w:w="28" w:type="dxa"/>
                    <w:left w:w="57" w:type="dxa"/>
                    <w:bottom w:w="28" w:type="dxa"/>
                    <w:right w:w="57" w:type="dxa"/>
                  </w:tcMar>
                  <w:vAlign w:val="center"/>
                </w:tcPr>
                <w:p w14:paraId="529A46E6">
                  <w:pPr>
                    <w:jc w:val="center"/>
                    <w:rPr>
                      <w:rFonts w:ascii="Times New Roman" w:hAnsi="Times New Roman" w:cs="Times New Roman"/>
                      <w:color w:val="auto"/>
                      <w:lang w:bidi="en-US"/>
                    </w:rPr>
                  </w:pPr>
                  <w:r>
                    <w:rPr>
                      <w:rFonts w:ascii="Times New Roman" w:hAnsi="Times New Roman" w:cs="Times New Roman"/>
                      <w:color w:val="auto"/>
                      <w:lang w:bidi="en-US"/>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794" w:type="pct"/>
                  <w:noWrap w:val="0"/>
                  <w:tcMar>
                    <w:top w:w="28" w:type="dxa"/>
                    <w:left w:w="57" w:type="dxa"/>
                    <w:bottom w:w="28" w:type="dxa"/>
                    <w:right w:w="57" w:type="dxa"/>
                  </w:tcMar>
                  <w:vAlign w:val="center"/>
                </w:tcPr>
                <w:p w14:paraId="57DC7263">
                  <w:pPr>
                    <w:jc w:val="center"/>
                    <w:rPr>
                      <w:rFonts w:ascii="Times New Roman" w:hAnsi="Times New Roman" w:cs="Times New Roman"/>
                      <w:color w:val="auto"/>
                      <w:lang w:bidi="en-US"/>
                    </w:rPr>
                  </w:pPr>
                  <w:r>
                    <w:rPr>
                      <w:rFonts w:ascii="Times New Roman" w:hAnsi="Times New Roman" w:cs="Times New Roman"/>
                      <w:color w:val="auto"/>
                      <w:lang w:bidi="en-US"/>
                    </w:rPr>
                    <w:t>项目为</w:t>
                  </w:r>
                  <w:r>
                    <w:rPr>
                      <w:rFonts w:hint="eastAsia" w:ascii="Times New Roman" w:hAnsi="Times New Roman" w:cs="Times New Roman"/>
                      <w:color w:val="auto"/>
                      <w:lang w:val="en-US" w:eastAsia="zh-CN" w:bidi="en-US"/>
                    </w:rPr>
                    <w:t>洗染服务行业，属于《产业结构调整指导目录(2024年版)》目录中的允许类项</w:t>
                  </w:r>
                  <w:r>
                    <w:rPr>
                      <w:rFonts w:ascii="Times New Roman" w:hAnsi="Times New Roman" w:cs="Times New Roman"/>
                      <w:color w:val="auto"/>
                      <w:lang w:bidi="en-US"/>
                    </w:rPr>
                    <w:t>目，符合国家产业政策；项目位于</w:t>
                  </w:r>
                  <w:r>
                    <w:rPr>
                      <w:rFonts w:hint="eastAsia" w:ascii="Times New Roman" w:hAnsi="Times New Roman" w:cs="Times New Roman"/>
                      <w:color w:val="auto"/>
                      <w:lang w:val="en-US" w:eastAsia="zh-CN" w:bidi="en-US"/>
                    </w:rPr>
                    <w:t>昆明市寻甸县仁德街道办事处易天线小功山寻甸仁德子超养殖场内已建厂房，</w:t>
                  </w:r>
                  <w:r>
                    <w:rPr>
                      <w:rFonts w:ascii="Times New Roman" w:hAnsi="Times New Roman" w:cs="Times New Roman"/>
                      <w:color w:val="auto"/>
                      <w:lang w:bidi="en-US"/>
                    </w:rPr>
                    <w:t>项目符合《昆明市“三线一单”生态环境分区管控实施方案》</w:t>
                  </w:r>
                  <w:r>
                    <w:rPr>
                      <w:rFonts w:hint="eastAsia" w:ascii="Times New Roman" w:hAnsi="Times New Roman" w:cs="Times New Roman"/>
                      <w:color w:val="auto"/>
                      <w:lang w:val="en-US" w:eastAsia="zh-CN" w:bidi="en-US"/>
                    </w:rPr>
                    <w:t>及</w:t>
                  </w:r>
                  <w:r>
                    <w:rPr>
                      <w:rFonts w:ascii="Times New Roman" w:hAnsi="Times New Roman" w:cs="Times New Roman"/>
                      <w:color w:val="auto"/>
                      <w:lang w:bidi="en-US"/>
                    </w:rPr>
                    <w:t>《昆明市生态环境分区管控动态更新方案》相关要求。</w:t>
                  </w:r>
                </w:p>
              </w:tc>
              <w:tc>
                <w:tcPr>
                  <w:tcW w:w="588" w:type="pct"/>
                  <w:noWrap w:val="0"/>
                  <w:tcMar>
                    <w:top w:w="28" w:type="dxa"/>
                    <w:left w:w="57" w:type="dxa"/>
                    <w:bottom w:w="28" w:type="dxa"/>
                    <w:right w:w="57" w:type="dxa"/>
                  </w:tcMar>
                  <w:vAlign w:val="center"/>
                </w:tcPr>
                <w:p w14:paraId="33B918D4">
                  <w:pPr>
                    <w:jc w:val="center"/>
                    <w:rPr>
                      <w:rFonts w:ascii="Times New Roman" w:hAnsi="Times New Roman"/>
                      <w:color w:val="auto"/>
                      <w:lang w:bidi="en-US"/>
                    </w:rPr>
                  </w:pPr>
                  <w:r>
                    <w:rPr>
                      <w:rFonts w:ascii="Times New Roman" w:hAnsi="Times New Roman"/>
                      <w:color w:val="auto"/>
                      <w:lang w:bidi="en-US"/>
                    </w:rPr>
                    <w:t>符合</w:t>
                  </w:r>
                </w:p>
              </w:tc>
            </w:tr>
            <w:tr w14:paraId="3F2F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vMerge w:val="continue"/>
                  <w:noWrap w:val="0"/>
                  <w:tcMar>
                    <w:top w:w="28" w:type="dxa"/>
                    <w:left w:w="57" w:type="dxa"/>
                    <w:bottom w:w="28" w:type="dxa"/>
                    <w:right w:w="57" w:type="dxa"/>
                  </w:tcMar>
                  <w:vAlign w:val="center"/>
                </w:tcPr>
                <w:p w14:paraId="7BA8AE17">
                  <w:pPr>
                    <w:jc w:val="center"/>
                    <w:rPr>
                      <w:rFonts w:ascii="Times New Roman" w:hAnsi="Times New Roman"/>
                      <w:color w:val="auto"/>
                      <w:lang w:bidi="en-US"/>
                    </w:rPr>
                  </w:pPr>
                </w:p>
              </w:tc>
              <w:tc>
                <w:tcPr>
                  <w:tcW w:w="2299" w:type="pct"/>
                  <w:noWrap w:val="0"/>
                  <w:tcMar>
                    <w:top w:w="28" w:type="dxa"/>
                    <w:left w:w="57" w:type="dxa"/>
                    <w:bottom w:w="28" w:type="dxa"/>
                    <w:right w:w="57" w:type="dxa"/>
                  </w:tcMar>
                  <w:vAlign w:val="center"/>
                </w:tcPr>
                <w:p w14:paraId="7683936E">
                  <w:pPr>
                    <w:jc w:val="center"/>
                    <w:rPr>
                      <w:rFonts w:ascii="Times New Roman" w:hAnsi="Times New Roman"/>
                      <w:color w:val="auto"/>
                      <w:lang w:bidi="en-US"/>
                    </w:rPr>
                  </w:pPr>
                  <w:r>
                    <w:rPr>
                      <w:rFonts w:ascii="Times New Roman" w:hAnsi="Times New Roman"/>
                      <w:color w:val="auto"/>
                      <w:lang w:bidi="en-US"/>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794" w:type="pct"/>
                  <w:noWrap w:val="0"/>
                  <w:tcMar>
                    <w:top w:w="28" w:type="dxa"/>
                    <w:left w:w="57" w:type="dxa"/>
                    <w:bottom w:w="28" w:type="dxa"/>
                    <w:right w:w="57" w:type="dxa"/>
                  </w:tcMar>
                  <w:vAlign w:val="center"/>
                </w:tcPr>
                <w:p w14:paraId="255E5A8F">
                  <w:pPr>
                    <w:jc w:val="center"/>
                    <w:rPr>
                      <w:rFonts w:ascii="Times New Roman" w:hAnsi="Times New Roman"/>
                      <w:color w:val="auto"/>
                      <w:lang w:bidi="en-US"/>
                    </w:rPr>
                  </w:pPr>
                  <w:r>
                    <w:rPr>
                      <w:rFonts w:ascii="Times New Roman" w:hAnsi="Times New Roman" w:eastAsia="宋体" w:cs="Times New Roman"/>
                      <w:color w:val="auto"/>
                      <w:lang w:bidi="en-US"/>
                    </w:rPr>
                    <w:t>项目</w:t>
                  </w:r>
                  <w:r>
                    <w:rPr>
                      <w:rFonts w:hint="eastAsia" w:ascii="Times New Roman" w:hAnsi="Times New Roman" w:cs="Times New Roman"/>
                      <w:color w:val="auto"/>
                      <w:lang w:val="en-US" w:eastAsia="zh-CN" w:bidi="en-US"/>
                    </w:rPr>
                    <w:t>洗染服务</w:t>
                  </w:r>
                  <w:r>
                    <w:rPr>
                      <w:rFonts w:hint="eastAsia" w:ascii="Times New Roman" w:hAnsi="Times New Roman" w:eastAsia="宋体" w:cs="Times New Roman"/>
                      <w:color w:val="auto"/>
                      <w:lang w:val="en-US" w:eastAsia="zh-CN" w:bidi="en-US"/>
                    </w:rPr>
                    <w:t>行业，属于《产业结构调整指导目录(2024年本)》目录中的允许类项</w:t>
                  </w:r>
                  <w:r>
                    <w:rPr>
                      <w:rFonts w:ascii="Times New Roman" w:hAnsi="Times New Roman" w:eastAsia="宋体" w:cs="Times New Roman"/>
                      <w:color w:val="auto"/>
                      <w:lang w:bidi="en-US"/>
                    </w:rPr>
                    <w:t>目，</w:t>
                  </w:r>
                  <w:r>
                    <w:rPr>
                      <w:rFonts w:ascii="Times New Roman" w:hAnsi="Times New Roman"/>
                      <w:color w:val="auto"/>
                      <w:lang w:bidi="en-US"/>
                    </w:rPr>
                    <w:t>符合国家产业政策，不属于落后淘汰产能。项目采用先进的生产工艺和设备。</w:t>
                  </w:r>
                </w:p>
              </w:tc>
              <w:tc>
                <w:tcPr>
                  <w:tcW w:w="588" w:type="pct"/>
                  <w:noWrap w:val="0"/>
                  <w:tcMar>
                    <w:top w:w="28" w:type="dxa"/>
                    <w:left w:w="57" w:type="dxa"/>
                    <w:bottom w:w="28" w:type="dxa"/>
                    <w:right w:w="57" w:type="dxa"/>
                  </w:tcMar>
                  <w:vAlign w:val="center"/>
                </w:tcPr>
                <w:p w14:paraId="099AFE1F">
                  <w:pPr>
                    <w:jc w:val="center"/>
                    <w:rPr>
                      <w:rFonts w:ascii="Times New Roman" w:hAnsi="Times New Roman"/>
                      <w:color w:val="auto"/>
                      <w:lang w:bidi="en-US"/>
                    </w:rPr>
                  </w:pPr>
                  <w:r>
                    <w:rPr>
                      <w:rFonts w:ascii="Times New Roman" w:hAnsi="Times New Roman"/>
                      <w:color w:val="auto"/>
                      <w:lang w:bidi="en-US"/>
                    </w:rPr>
                    <w:t>符合</w:t>
                  </w:r>
                </w:p>
              </w:tc>
            </w:tr>
            <w:tr w14:paraId="361A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noWrap w:val="0"/>
                  <w:tcMar>
                    <w:top w:w="28" w:type="dxa"/>
                    <w:left w:w="57" w:type="dxa"/>
                    <w:bottom w:w="28" w:type="dxa"/>
                    <w:right w:w="57" w:type="dxa"/>
                  </w:tcMar>
                  <w:vAlign w:val="center"/>
                </w:tcPr>
                <w:p w14:paraId="73186DB0">
                  <w:pPr>
                    <w:jc w:val="center"/>
                    <w:rPr>
                      <w:rFonts w:ascii="Times New Roman" w:hAnsi="Times New Roman" w:eastAsia="宋体" w:cs="Times New Roman"/>
                      <w:color w:val="auto"/>
                      <w:lang w:bidi="en-US"/>
                    </w:rPr>
                  </w:pPr>
                  <w:r>
                    <w:rPr>
                      <w:rFonts w:hint="eastAsia" w:ascii="Times New Roman" w:hAnsi="Times New Roman" w:eastAsia="宋体" w:cs="Times New Roman"/>
                      <w:color w:val="auto"/>
                      <w:lang w:val="en-US" w:eastAsia="zh-CN" w:bidi="en-US"/>
                    </w:rPr>
                    <w:t>三</w:t>
                  </w:r>
                  <w:r>
                    <w:rPr>
                      <w:rFonts w:ascii="Times New Roman" w:hAnsi="Times New Roman" w:eastAsia="宋体" w:cs="Times New Roman"/>
                      <w:color w:val="auto"/>
                      <w:lang w:bidi="en-US"/>
                    </w:rPr>
                    <w:t>、优化</w:t>
                  </w:r>
                  <w:r>
                    <w:rPr>
                      <w:rFonts w:hint="eastAsia" w:ascii="Times New Roman" w:hAnsi="Times New Roman" w:eastAsia="宋体" w:cs="Times New Roman"/>
                      <w:color w:val="auto"/>
                      <w:lang w:val="en-US" w:eastAsia="zh-CN" w:bidi="en-US"/>
                    </w:rPr>
                    <w:t>能源</w:t>
                  </w:r>
                  <w:r>
                    <w:rPr>
                      <w:rFonts w:ascii="Times New Roman" w:hAnsi="Times New Roman" w:eastAsia="宋体" w:cs="Times New Roman"/>
                      <w:color w:val="auto"/>
                      <w:lang w:bidi="en-US"/>
                    </w:rPr>
                    <w:t>结构</w:t>
                  </w:r>
                </w:p>
              </w:tc>
              <w:tc>
                <w:tcPr>
                  <w:tcW w:w="2299" w:type="pct"/>
                  <w:noWrap w:val="0"/>
                  <w:tcMar>
                    <w:top w:w="28" w:type="dxa"/>
                    <w:left w:w="57" w:type="dxa"/>
                    <w:bottom w:w="28" w:type="dxa"/>
                    <w:right w:w="57" w:type="dxa"/>
                  </w:tcMar>
                  <w:vAlign w:val="center"/>
                </w:tcPr>
                <w:p w14:paraId="33439655">
                  <w:pPr>
                    <w:jc w:val="center"/>
                    <w:rPr>
                      <w:rFonts w:ascii="Times New Roman" w:hAnsi="Times New Roman" w:eastAsia="宋体" w:cs="Times New Roman"/>
                      <w:color w:val="auto"/>
                      <w:lang w:bidi="en-US"/>
                    </w:rPr>
                  </w:pPr>
                  <w:r>
                    <w:rPr>
                      <w:rFonts w:ascii="Times New Roman" w:hAnsi="Times New Roman" w:eastAsia="宋体" w:cs="Times New Roman"/>
                      <w:color w:val="auto"/>
                      <w:lang w:bidi="en-US"/>
                    </w:rPr>
                    <w:t>（六）大力发展新能源和清洁能源。到2025年，非化石能源消费比重较2020年提高4个百分点以上，电能占终端能源消费比重达30%以上。持续增加天然气生产供应，新增天然气优先保障居民生活和清洁取暖需求。</w:t>
                  </w:r>
                </w:p>
                <w:p w14:paraId="0A9F5DED">
                  <w:pPr>
                    <w:jc w:val="center"/>
                    <w:rPr>
                      <w:rFonts w:ascii="Times New Roman" w:hAnsi="Times New Roman" w:eastAsia="宋体" w:cs="Times New Roman"/>
                      <w:color w:val="auto"/>
                      <w:lang w:bidi="en-US"/>
                    </w:rPr>
                  </w:pPr>
                  <w:r>
                    <w:rPr>
                      <w:rFonts w:ascii="Times New Roman" w:hAnsi="Times New Roman" w:eastAsia="宋体" w:cs="Times New Roman"/>
                      <w:color w:val="auto"/>
                      <w:lang w:bidi="en-US"/>
                    </w:rPr>
                    <w:t>（八）开展燃煤锅炉关停整合。县级及以上城市建成区原则上不再新建35蒸吨/小时及以下燃煤锅炉。依托电厂、大型工业企业开展远距离供热示范，淘汰管网覆盖范围内的燃煤锅炉和散煤。到2025年，PM2.5未达标城市基本淘汰10蒸吨/小时及以下燃煤锅炉。</w:t>
                  </w:r>
                </w:p>
              </w:tc>
              <w:tc>
                <w:tcPr>
                  <w:tcW w:w="1794" w:type="pct"/>
                  <w:noWrap w:val="0"/>
                  <w:tcMar>
                    <w:top w:w="28" w:type="dxa"/>
                    <w:left w:w="57" w:type="dxa"/>
                    <w:bottom w:w="28" w:type="dxa"/>
                    <w:right w:w="57" w:type="dxa"/>
                  </w:tcMar>
                  <w:vAlign w:val="center"/>
                </w:tcPr>
                <w:p w14:paraId="70E94F71">
                  <w:pPr>
                    <w:jc w:val="center"/>
                    <w:rPr>
                      <w:rFonts w:hint="default" w:ascii="Times New Roman" w:hAnsi="Times New Roman" w:eastAsia="宋体" w:cs="Times New Roman"/>
                      <w:color w:val="auto"/>
                      <w:lang w:val="en-US" w:bidi="en-US"/>
                    </w:rPr>
                  </w:pPr>
                  <w:r>
                    <w:rPr>
                      <w:rFonts w:ascii="Times New Roman" w:hAnsi="Times New Roman" w:eastAsia="宋体" w:cs="Times New Roman"/>
                      <w:color w:val="auto"/>
                      <w:lang w:bidi="en-US"/>
                    </w:rPr>
                    <w:t>项目</w:t>
                  </w:r>
                  <w:r>
                    <w:rPr>
                      <w:rFonts w:hint="eastAsia" w:ascii="Times New Roman" w:hAnsi="Times New Roman" w:eastAsia="宋体" w:cs="Times New Roman"/>
                      <w:color w:val="auto"/>
                      <w:lang w:val="en-US" w:eastAsia="zh-CN" w:bidi="en-US"/>
                    </w:rPr>
                    <w:t>设置1</w:t>
                  </w:r>
                  <w:r>
                    <w:rPr>
                      <w:rFonts w:hint="eastAsia" w:ascii="Times New Roman" w:hAnsi="Times New Roman" w:eastAsia="宋体" w:cs="Times New Roman"/>
                      <w:color w:val="auto"/>
                      <w:lang w:eastAsia="zh-CN" w:bidi="en-US"/>
                    </w:rPr>
                    <w:t>台</w:t>
                  </w:r>
                  <w:r>
                    <w:rPr>
                      <w:rFonts w:hint="eastAsia" w:ascii="Times New Roman" w:hAnsi="Times New Roman" w:eastAsia="宋体" w:cs="Times New Roman"/>
                      <w:color w:val="auto"/>
                      <w:lang w:val="en-US" w:eastAsia="zh-CN" w:bidi="en-US"/>
                    </w:rPr>
                    <w:t>3</w:t>
                  </w:r>
                  <w:r>
                    <w:rPr>
                      <w:rFonts w:hint="eastAsia" w:ascii="Times New Roman" w:hAnsi="Times New Roman" w:eastAsia="宋体" w:cs="Times New Roman"/>
                      <w:color w:val="auto"/>
                      <w:lang w:eastAsia="zh-CN" w:bidi="en-US"/>
                    </w:rPr>
                    <w:t>t/h生物质蒸汽</w:t>
                  </w:r>
                  <w:r>
                    <w:rPr>
                      <w:rFonts w:hint="eastAsia" w:ascii="Times New Roman" w:hAnsi="Times New Roman" w:eastAsia="宋体" w:cs="Times New Roman"/>
                      <w:color w:val="auto"/>
                      <w:lang w:val="en-US" w:eastAsia="zh-CN" w:bidi="en-US"/>
                    </w:rPr>
                    <w:t>发生器，燃料采用成型生物质，对照</w:t>
                  </w:r>
                  <w:r>
                    <w:rPr>
                      <w:rFonts w:ascii="Times New Roman" w:hAnsi="Times New Roman" w:cs="Times New Roman"/>
                      <w:color w:val="auto"/>
                      <w:szCs w:val="21"/>
                    </w:rPr>
                    <w:t>《产业结构调整指导目录（</w:t>
                  </w:r>
                  <w:r>
                    <w:rPr>
                      <w:rFonts w:hint="eastAsia" w:ascii="Times New Roman" w:hAnsi="Times New Roman" w:cs="Times New Roman"/>
                      <w:color w:val="auto"/>
                      <w:szCs w:val="21"/>
                      <w:lang w:val="en-US" w:eastAsia="zh-CN"/>
                    </w:rPr>
                    <w:t>2024</w:t>
                  </w:r>
                  <w:r>
                    <w:rPr>
                      <w:rFonts w:ascii="Times New Roman" w:hAnsi="Times New Roman" w:cs="Times New Roman"/>
                      <w:color w:val="auto"/>
                      <w:szCs w:val="21"/>
                    </w:rPr>
                    <w:t>年</w:t>
                  </w:r>
                  <w:r>
                    <w:rPr>
                      <w:rFonts w:hint="eastAsia" w:ascii="Times New Roman" w:hAnsi="Times New Roman" w:cs="Times New Roman"/>
                      <w:color w:val="auto"/>
                      <w:szCs w:val="21"/>
                      <w:lang w:val="en-US" w:eastAsia="zh-CN"/>
                    </w:rPr>
                    <w:t>版</w:t>
                  </w:r>
                  <w:r>
                    <w:rPr>
                      <w:rFonts w:ascii="Times New Roman" w:hAnsi="Times New Roman" w:cs="Times New Roman"/>
                      <w:color w:val="auto"/>
                      <w:szCs w:val="21"/>
                    </w:rPr>
                    <w:t>）</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项目生物质蒸汽发生器不属于落后生产设备</w:t>
                  </w:r>
                  <w:r>
                    <w:rPr>
                      <w:rFonts w:ascii="Times New Roman" w:hAnsi="Times New Roman" w:cs="Times New Roman"/>
                      <w:color w:val="auto"/>
                      <w:szCs w:val="21"/>
                    </w:rPr>
                    <w:t>，符合国家产业政策。</w:t>
                  </w:r>
                </w:p>
              </w:tc>
              <w:tc>
                <w:tcPr>
                  <w:tcW w:w="588" w:type="pct"/>
                  <w:noWrap w:val="0"/>
                  <w:tcMar>
                    <w:top w:w="28" w:type="dxa"/>
                    <w:left w:w="57" w:type="dxa"/>
                    <w:bottom w:w="28" w:type="dxa"/>
                    <w:right w:w="57" w:type="dxa"/>
                  </w:tcMar>
                  <w:vAlign w:val="center"/>
                </w:tcPr>
                <w:p w14:paraId="6620766C">
                  <w:pPr>
                    <w:jc w:val="center"/>
                    <w:rPr>
                      <w:rFonts w:ascii="Times New Roman" w:hAnsi="Times New Roman"/>
                      <w:color w:val="auto"/>
                      <w:lang w:bidi="en-US"/>
                    </w:rPr>
                  </w:pPr>
                  <w:r>
                    <w:rPr>
                      <w:rFonts w:ascii="Times New Roman" w:hAnsi="Times New Roman"/>
                      <w:color w:val="auto"/>
                      <w:lang w:bidi="en-US"/>
                    </w:rPr>
                    <w:t>符合</w:t>
                  </w:r>
                </w:p>
              </w:tc>
            </w:tr>
          </w:tbl>
          <w:p w14:paraId="53F0749A">
            <w:pPr>
              <w:spacing w:line="360" w:lineRule="auto"/>
              <w:ind w:firstLine="480" w:firstLineChars="20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综上分析，项目与《云南省空气质量持续改善行动实施方案》相符。</w:t>
            </w:r>
          </w:p>
          <w:p w14:paraId="34ECADE6">
            <w:pPr>
              <w:rPr>
                <w:rFonts w:hint="eastAsia" w:ascii="Times New Roman" w:hAnsi="Times New Roman" w:eastAsia="宋体" w:cs="宋体"/>
                <w:b/>
                <w:bCs/>
                <w:color w:val="auto"/>
                <w:spacing w:val="-5"/>
                <w:kern w:val="2"/>
                <w:sz w:val="24"/>
                <w:szCs w:val="24"/>
                <w:lang w:val="en-US" w:eastAsia="zh-CN" w:bidi="ar-SA"/>
              </w:rPr>
            </w:pPr>
            <w:r>
              <w:rPr>
                <w:rFonts w:hint="eastAsia" w:ascii="Times New Roman" w:hAnsi="Times New Roman" w:eastAsia="宋体" w:cs="宋体"/>
                <w:b/>
                <w:bCs/>
                <w:color w:val="auto"/>
                <w:spacing w:val="-5"/>
                <w:kern w:val="2"/>
                <w:sz w:val="24"/>
                <w:szCs w:val="24"/>
                <w:lang w:val="en-US" w:eastAsia="zh-CN" w:bidi="ar-SA"/>
              </w:rPr>
              <w:t>11.目与《工业锅炉污染防治可行技术指南》（HJ1178-2021）符合性分析</w:t>
            </w:r>
          </w:p>
          <w:p w14:paraId="3290345E">
            <w:pPr>
              <w:spacing w:line="360" w:lineRule="auto"/>
              <w:ind w:firstLine="480" w:firstLineChars="20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项目与《工业锅炉污染防治可行技术指南》（HJ 1178-2021</w:t>
            </w:r>
            <w:r>
              <w:rPr>
                <w:rFonts w:hint="eastAsia" w:ascii="Times New Roman" w:hAnsi="Times New Roman" w:eastAsia="宋体" w:cs="Times New Roman"/>
                <w:bCs/>
                <w:color w:val="auto"/>
                <w:kern w:val="0"/>
                <w:sz w:val="24"/>
                <w:szCs w:val="24"/>
                <w:lang w:val="en-US" w:eastAsia="zh-CN" w:bidi="ar-SA"/>
              </w:rPr>
              <w:t>）</w:t>
            </w:r>
            <w:r>
              <w:rPr>
                <w:rFonts w:ascii="Times New Roman" w:hAnsi="Times New Roman" w:eastAsia="宋体" w:cs="Times New Roman"/>
                <w:bCs/>
                <w:color w:val="auto"/>
                <w:kern w:val="0"/>
                <w:sz w:val="24"/>
                <w:szCs w:val="24"/>
                <w:lang w:val="en-US" w:eastAsia="zh-CN" w:bidi="ar-SA"/>
              </w:rPr>
              <w:t>相符性分析见下表</w:t>
            </w:r>
            <w:r>
              <w:rPr>
                <w:rFonts w:hint="eastAsia" w:ascii="Times New Roman" w:hAnsi="Times New Roman" w:eastAsia="宋体" w:cs="Times New Roman"/>
                <w:bCs/>
                <w:color w:val="auto"/>
                <w:kern w:val="0"/>
                <w:sz w:val="24"/>
                <w:szCs w:val="24"/>
                <w:lang w:val="en-US" w:eastAsia="zh-CN" w:bidi="ar-SA"/>
              </w:rPr>
              <w:t>。</w:t>
            </w:r>
          </w:p>
          <w:p w14:paraId="6EEE3698">
            <w:pPr>
              <w:spacing w:line="360" w:lineRule="auto"/>
              <w:jc w:val="center"/>
              <w:rPr>
                <w:rFonts w:ascii="Times New Roman" w:hAnsi="Times New Roman" w:eastAsia="宋体"/>
                <w:b/>
                <w:bCs/>
                <w:color w:val="auto"/>
              </w:rPr>
            </w:pPr>
            <w:r>
              <w:rPr>
                <w:rFonts w:ascii="Times New Roman" w:hAnsi="Times New Roman" w:eastAsia="宋体"/>
                <w:b/>
                <w:bCs/>
                <w:color w:val="auto"/>
              </w:rPr>
              <w:t>表1-1</w:t>
            </w:r>
            <w:r>
              <w:rPr>
                <w:rFonts w:hint="eastAsia" w:ascii="Times New Roman" w:hAnsi="Times New Roman" w:eastAsia="宋体"/>
                <w:b/>
                <w:bCs/>
                <w:color w:val="auto"/>
                <w:lang w:val="en-US" w:eastAsia="zh-CN"/>
              </w:rPr>
              <w:t xml:space="preserve">1 </w:t>
            </w:r>
            <w:r>
              <w:rPr>
                <w:rFonts w:ascii="Times New Roman" w:hAnsi="Times New Roman" w:eastAsia="宋体"/>
                <w:b/>
                <w:bCs/>
                <w:color w:val="auto"/>
              </w:rPr>
              <w:t>项目与《工业锅炉污染防治可行技术指南》（HJ1178-2021）符合性分析表</w:t>
            </w:r>
          </w:p>
          <w:tbl>
            <w:tblPr>
              <w:tblStyle w:val="80"/>
              <w:tblW w:w="71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3249"/>
              <w:gridCol w:w="2925"/>
              <w:gridCol w:w="465"/>
            </w:tblGrid>
            <w:tr w14:paraId="6B258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92" w:type="dxa"/>
                  <w:textDirection w:val="tbRlV"/>
                  <w:vAlign w:val="center"/>
                </w:tcPr>
                <w:p w14:paraId="605BDAD6">
                  <w:pPr>
                    <w:jc w:val="center"/>
                    <w:rPr>
                      <w:rFonts w:ascii="Times New Roman" w:hAnsi="Times New Roman" w:eastAsia="宋体"/>
                      <w:color w:val="auto"/>
                      <w:lang w:bidi="en-US"/>
                    </w:rPr>
                  </w:pPr>
                  <w:r>
                    <w:rPr>
                      <w:rFonts w:ascii="Times New Roman" w:hAnsi="Times New Roman" w:eastAsia="宋体"/>
                      <w:color w:val="auto"/>
                      <w:lang w:bidi="en-US"/>
                    </w:rPr>
                    <w:t>序号</w:t>
                  </w:r>
                </w:p>
              </w:tc>
              <w:tc>
                <w:tcPr>
                  <w:tcW w:w="3249" w:type="dxa"/>
                  <w:vAlign w:val="center"/>
                </w:tcPr>
                <w:p w14:paraId="2952C213">
                  <w:pPr>
                    <w:jc w:val="center"/>
                    <w:rPr>
                      <w:rFonts w:ascii="Times New Roman" w:hAnsi="Times New Roman" w:eastAsia="宋体"/>
                      <w:color w:val="auto"/>
                      <w:lang w:bidi="en-US"/>
                    </w:rPr>
                  </w:pPr>
                  <w:r>
                    <w:rPr>
                      <w:rFonts w:ascii="Times New Roman" w:hAnsi="Times New Roman" w:eastAsia="宋体"/>
                      <w:color w:val="auto"/>
                      <w:lang w:bidi="en-US"/>
                    </w:rPr>
                    <w:t>管控要求</w:t>
                  </w:r>
                </w:p>
              </w:tc>
              <w:tc>
                <w:tcPr>
                  <w:tcW w:w="2925" w:type="dxa"/>
                  <w:vAlign w:val="center"/>
                </w:tcPr>
                <w:p w14:paraId="3FEC49B1">
                  <w:pPr>
                    <w:jc w:val="center"/>
                    <w:rPr>
                      <w:rFonts w:ascii="Times New Roman" w:hAnsi="Times New Roman" w:eastAsia="宋体"/>
                      <w:color w:val="auto"/>
                      <w:lang w:bidi="en-US"/>
                    </w:rPr>
                  </w:pPr>
                  <w:r>
                    <w:rPr>
                      <w:rFonts w:ascii="Times New Roman" w:hAnsi="Times New Roman" w:eastAsia="宋体"/>
                      <w:color w:val="auto"/>
                      <w:lang w:bidi="en-US"/>
                    </w:rPr>
                    <w:t>本项目情况</w:t>
                  </w:r>
                </w:p>
              </w:tc>
              <w:tc>
                <w:tcPr>
                  <w:tcW w:w="465" w:type="dxa"/>
                  <w:vAlign w:val="center"/>
                </w:tcPr>
                <w:p w14:paraId="5318671E">
                  <w:pPr>
                    <w:jc w:val="center"/>
                    <w:rPr>
                      <w:rFonts w:ascii="Times New Roman" w:hAnsi="Times New Roman" w:eastAsia="宋体"/>
                      <w:color w:val="auto"/>
                      <w:lang w:bidi="en-US"/>
                    </w:rPr>
                  </w:pPr>
                  <w:r>
                    <w:rPr>
                      <w:rFonts w:ascii="Times New Roman" w:hAnsi="Times New Roman" w:eastAsia="宋体"/>
                      <w:color w:val="auto"/>
                      <w:lang w:bidi="en-US"/>
                    </w:rPr>
                    <w:t>符合性</w:t>
                  </w:r>
                </w:p>
              </w:tc>
            </w:tr>
            <w:tr w14:paraId="32319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0" w:hRule="atLeast"/>
              </w:trPr>
              <w:tc>
                <w:tcPr>
                  <w:tcW w:w="492" w:type="dxa"/>
                  <w:vAlign w:val="center"/>
                </w:tcPr>
                <w:p w14:paraId="2F376A0B">
                  <w:pPr>
                    <w:jc w:val="center"/>
                    <w:rPr>
                      <w:rFonts w:ascii="Times New Roman" w:hAnsi="Times New Roman" w:eastAsia="宋体"/>
                      <w:color w:val="auto"/>
                      <w:lang w:bidi="en-US"/>
                    </w:rPr>
                  </w:pPr>
                </w:p>
                <w:p w14:paraId="37E221E5">
                  <w:pPr>
                    <w:jc w:val="center"/>
                    <w:rPr>
                      <w:rFonts w:ascii="Times New Roman" w:hAnsi="Times New Roman" w:eastAsia="宋体"/>
                      <w:color w:val="auto"/>
                      <w:lang w:bidi="en-US"/>
                    </w:rPr>
                  </w:pPr>
                </w:p>
                <w:p w14:paraId="6903C10F">
                  <w:pPr>
                    <w:jc w:val="center"/>
                    <w:rPr>
                      <w:rFonts w:ascii="Times New Roman" w:hAnsi="Times New Roman" w:eastAsia="宋体"/>
                      <w:color w:val="auto"/>
                      <w:lang w:bidi="en-US"/>
                    </w:rPr>
                  </w:pPr>
                </w:p>
                <w:p w14:paraId="104A1A59">
                  <w:pPr>
                    <w:jc w:val="center"/>
                    <w:rPr>
                      <w:rFonts w:ascii="Times New Roman" w:hAnsi="Times New Roman" w:eastAsia="宋体"/>
                      <w:color w:val="auto"/>
                      <w:lang w:bidi="en-US"/>
                    </w:rPr>
                  </w:pPr>
                </w:p>
                <w:p w14:paraId="755480B9">
                  <w:pPr>
                    <w:jc w:val="center"/>
                    <w:rPr>
                      <w:rFonts w:ascii="Times New Roman" w:hAnsi="Times New Roman" w:eastAsia="宋体"/>
                      <w:color w:val="auto"/>
                      <w:lang w:bidi="en-US"/>
                    </w:rPr>
                  </w:pPr>
                  <w:r>
                    <w:rPr>
                      <w:rFonts w:ascii="Times New Roman" w:hAnsi="Times New Roman" w:eastAsia="宋体"/>
                      <w:color w:val="auto"/>
                      <w:lang w:bidi="en-US"/>
                    </w:rPr>
                    <w:t>1</w:t>
                  </w:r>
                </w:p>
              </w:tc>
              <w:tc>
                <w:tcPr>
                  <w:tcW w:w="3249" w:type="dxa"/>
                  <w:vAlign w:val="center"/>
                </w:tcPr>
                <w:p w14:paraId="4F2ADF65">
                  <w:pPr>
                    <w:jc w:val="center"/>
                    <w:rPr>
                      <w:rFonts w:ascii="Times New Roman" w:hAnsi="Times New Roman" w:eastAsia="宋体"/>
                      <w:color w:val="auto"/>
                      <w:lang w:bidi="en-US"/>
                    </w:rPr>
                  </w:pPr>
                </w:p>
                <w:p w14:paraId="0574C495">
                  <w:pPr>
                    <w:jc w:val="center"/>
                    <w:rPr>
                      <w:rFonts w:ascii="Times New Roman" w:hAnsi="Times New Roman" w:eastAsia="宋体"/>
                      <w:color w:val="auto"/>
                      <w:lang w:bidi="en-US"/>
                    </w:rPr>
                  </w:pPr>
                </w:p>
                <w:p w14:paraId="477F14C6">
                  <w:pPr>
                    <w:jc w:val="center"/>
                    <w:rPr>
                      <w:rFonts w:ascii="Times New Roman" w:hAnsi="Times New Roman" w:eastAsia="宋体"/>
                      <w:color w:val="auto"/>
                      <w:lang w:bidi="en-US"/>
                    </w:rPr>
                  </w:pPr>
                  <w:r>
                    <w:rPr>
                      <w:rFonts w:ascii="Times New Roman" w:hAnsi="Times New Roman" w:eastAsia="宋体"/>
                      <w:color w:val="auto"/>
                      <w:lang w:bidi="en-US"/>
                    </w:rPr>
                    <w:t>5.1.1锅炉使用单位应优先选用符合国家或地方相关标准及政策要求的低硫分和低灰分的燃料，降低因燃料燃烧产生的颗粒物、SO</w:t>
                  </w:r>
                  <w:r>
                    <w:rPr>
                      <w:rFonts w:ascii="Times New Roman" w:hAnsi="Times New Roman" w:eastAsia="宋体"/>
                      <w:color w:val="auto"/>
                      <w:vertAlign w:val="subscript"/>
                      <w:lang w:bidi="en-US"/>
                    </w:rPr>
                    <w:t>2</w:t>
                  </w:r>
                  <w:r>
                    <w:rPr>
                      <w:rFonts w:ascii="Times New Roman" w:hAnsi="Times New Roman" w:eastAsia="宋体"/>
                      <w:color w:val="auto"/>
                      <w:lang w:bidi="en-US"/>
                    </w:rPr>
                    <w:t>、汞及其化合物的浓度。</w:t>
                  </w:r>
                </w:p>
              </w:tc>
              <w:tc>
                <w:tcPr>
                  <w:tcW w:w="2925" w:type="dxa"/>
                  <w:vAlign w:val="center"/>
                </w:tcPr>
                <w:p w14:paraId="111763A2">
                  <w:pPr>
                    <w:jc w:val="center"/>
                    <w:rPr>
                      <w:rFonts w:ascii="Times New Roman" w:hAnsi="Times New Roman" w:eastAsia="宋体"/>
                      <w:color w:val="auto"/>
                      <w:lang w:bidi="en-US"/>
                    </w:rPr>
                  </w:pPr>
                  <w:r>
                    <w:rPr>
                      <w:rFonts w:ascii="Times New Roman" w:hAnsi="Times New Roman" w:eastAsia="宋体"/>
                      <w:color w:val="auto"/>
                      <w:lang w:bidi="en-US"/>
                    </w:rPr>
                    <w:t>本项目设置</w:t>
                  </w:r>
                  <w:r>
                    <w:rPr>
                      <w:rFonts w:hint="eastAsia" w:ascii="Times New Roman" w:hAnsi="Times New Roman"/>
                      <w:color w:val="auto"/>
                      <w:lang w:val="en-US" w:eastAsia="zh-CN" w:bidi="en-US"/>
                    </w:rPr>
                    <w:t>1</w:t>
                  </w:r>
                  <w:r>
                    <w:rPr>
                      <w:rFonts w:ascii="Times New Roman" w:hAnsi="Times New Roman" w:eastAsia="宋体"/>
                      <w:color w:val="auto"/>
                      <w:lang w:bidi="en-US"/>
                    </w:rPr>
                    <w:t>台3t/h生物质蒸汽</w:t>
                  </w:r>
                  <w:r>
                    <w:rPr>
                      <w:rFonts w:hint="eastAsia" w:ascii="Times New Roman" w:hAnsi="Times New Roman"/>
                      <w:color w:val="auto"/>
                      <w:lang w:val="en-US" w:eastAsia="zh-CN" w:bidi="en-US"/>
                    </w:rPr>
                    <w:t>锅炉</w:t>
                  </w:r>
                  <w:r>
                    <w:rPr>
                      <w:rFonts w:ascii="Times New Roman" w:hAnsi="Times New Roman" w:eastAsia="宋体"/>
                      <w:color w:val="auto"/>
                      <w:lang w:bidi="en-US"/>
                    </w:rPr>
                    <w:t>，采用的燃料为</w:t>
                  </w:r>
                  <w:r>
                    <w:rPr>
                      <w:rFonts w:hint="eastAsia" w:ascii="Times New Roman" w:hAnsi="Times New Roman"/>
                      <w:color w:val="auto"/>
                      <w:lang w:val="en-US" w:eastAsia="zh-CN" w:bidi="en-US"/>
                    </w:rPr>
                    <w:t>成型</w:t>
                  </w:r>
                  <w:r>
                    <w:rPr>
                      <w:rFonts w:ascii="Times New Roman" w:hAnsi="Times New Roman" w:eastAsia="宋体"/>
                      <w:color w:val="auto"/>
                      <w:lang w:bidi="en-US"/>
                    </w:rPr>
                    <w:t>生物质。根据建设单位提供资料生物质燃料</w:t>
                  </w:r>
                  <w:r>
                    <w:rPr>
                      <w:rFonts w:hint="eastAsia" w:ascii="Times New Roman" w:hAnsi="Times New Roman"/>
                      <w:color w:val="auto"/>
                      <w:lang w:val="en-US" w:eastAsia="zh-CN" w:bidi="en-US"/>
                    </w:rPr>
                    <w:t>检测报告</w:t>
                  </w:r>
                  <w:r>
                    <w:rPr>
                      <w:rFonts w:ascii="Times New Roman" w:hAnsi="Times New Roman" w:eastAsia="宋体"/>
                      <w:color w:val="auto"/>
                      <w:lang w:bidi="en-US"/>
                    </w:rPr>
                    <w:t>，属于低硫分和低灰分燃料。根据核算，</w:t>
                  </w:r>
                  <w:r>
                    <w:rPr>
                      <w:rFonts w:hint="eastAsia" w:ascii="Times New Roman" w:hAnsi="Times New Roman"/>
                      <w:color w:val="auto"/>
                      <w:lang w:val="en-US" w:eastAsia="zh-CN" w:bidi="en-US"/>
                    </w:rPr>
                    <w:t>生物质锅炉燃烧</w:t>
                  </w:r>
                  <w:r>
                    <w:rPr>
                      <w:rFonts w:ascii="Times New Roman" w:hAnsi="Times New Roman" w:eastAsia="宋体"/>
                      <w:color w:val="auto"/>
                      <w:lang w:bidi="en-US"/>
                    </w:rPr>
                    <w:t>废气排放浓度满足《锅炉大气污染物排放标准》（GB13271-2014）表2大气污染物排放限值。</w:t>
                  </w:r>
                </w:p>
              </w:tc>
              <w:tc>
                <w:tcPr>
                  <w:tcW w:w="465" w:type="dxa"/>
                  <w:vAlign w:val="center"/>
                </w:tcPr>
                <w:p w14:paraId="39FCF193">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5524F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492" w:type="dxa"/>
                  <w:vAlign w:val="center"/>
                </w:tcPr>
                <w:p w14:paraId="54A3B921">
                  <w:pPr>
                    <w:jc w:val="center"/>
                    <w:rPr>
                      <w:rFonts w:ascii="Times New Roman" w:hAnsi="Times New Roman" w:eastAsia="宋体"/>
                      <w:color w:val="auto"/>
                      <w:lang w:bidi="en-US"/>
                    </w:rPr>
                  </w:pPr>
                </w:p>
                <w:p w14:paraId="601A8ACD">
                  <w:pPr>
                    <w:jc w:val="center"/>
                    <w:rPr>
                      <w:rFonts w:ascii="Times New Roman" w:hAnsi="Times New Roman" w:eastAsia="宋体"/>
                      <w:color w:val="auto"/>
                      <w:lang w:bidi="en-US"/>
                    </w:rPr>
                  </w:pPr>
                </w:p>
                <w:p w14:paraId="33204B3C">
                  <w:pPr>
                    <w:jc w:val="center"/>
                    <w:rPr>
                      <w:rFonts w:ascii="Times New Roman" w:hAnsi="Times New Roman" w:eastAsia="宋体"/>
                      <w:color w:val="auto"/>
                      <w:lang w:bidi="en-US"/>
                    </w:rPr>
                  </w:pPr>
                </w:p>
                <w:p w14:paraId="2C97A80D">
                  <w:pPr>
                    <w:jc w:val="center"/>
                    <w:rPr>
                      <w:rFonts w:ascii="Times New Roman" w:hAnsi="Times New Roman" w:eastAsia="宋体"/>
                      <w:color w:val="auto"/>
                      <w:lang w:bidi="en-US"/>
                    </w:rPr>
                  </w:pPr>
                  <w:r>
                    <w:rPr>
                      <w:rFonts w:ascii="Times New Roman" w:hAnsi="Times New Roman" w:eastAsia="宋体"/>
                      <w:color w:val="auto"/>
                      <w:lang w:bidi="en-US"/>
                    </w:rPr>
                    <w:t>2</w:t>
                  </w:r>
                </w:p>
              </w:tc>
              <w:tc>
                <w:tcPr>
                  <w:tcW w:w="3249" w:type="dxa"/>
                  <w:vAlign w:val="center"/>
                </w:tcPr>
                <w:p w14:paraId="19286F3A">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HYPERLINK"6.1.1.2"</w:instrText>
                  </w:r>
                  <w:r>
                    <w:rPr>
                      <w:rFonts w:ascii="Times New Roman" w:hAnsi="Times New Roman" w:eastAsia="宋体"/>
                      <w:color w:val="auto"/>
                      <w:lang w:bidi="en-US"/>
                    </w:rPr>
                    <w:fldChar w:fldCharType="separate"/>
                  </w:r>
                  <w:r>
                    <w:rPr>
                      <w:rFonts w:ascii="Times New Roman" w:hAnsi="Times New Roman" w:eastAsia="宋体"/>
                      <w:color w:val="auto"/>
                      <w:lang w:bidi="en-US"/>
                    </w:rPr>
                    <w:t>6.1.1.2</w:t>
                  </w:r>
                  <w:r>
                    <w:rPr>
                      <w:rFonts w:ascii="Times New Roman" w:hAnsi="Times New Roman" w:eastAsia="宋体"/>
                      <w:color w:val="auto"/>
                      <w:lang w:bidi="en-US"/>
                    </w:rPr>
                    <w:fldChar w:fldCharType="end"/>
                  </w:r>
                  <w:r>
                    <w:rPr>
                      <w:rFonts w:ascii="Times New Roman" w:hAnsi="Times New Roman" w:eastAsia="宋体"/>
                      <w:color w:val="auto"/>
                      <w:lang w:bidi="en-US"/>
                    </w:rPr>
                    <w:t>燃煤锅炉宜采用袋式除尘、电除尘、电袋复合除尘、机械除尘+袋式除尘等技术实现颗粒物达标排放。燃油锅炉和燃气锅炉炉膛出口颗粒物浓度不达标时，宜采用袋式除尘技术实现达标排放。燃生物质成型燃料锅炉宜采用机械除尘+袋式除尘技术实现颗粒物达标排放。</w:t>
                  </w:r>
                </w:p>
              </w:tc>
              <w:tc>
                <w:tcPr>
                  <w:tcW w:w="2925" w:type="dxa"/>
                  <w:vMerge w:val="restart"/>
                  <w:vAlign w:val="center"/>
                </w:tcPr>
                <w:p w14:paraId="480073A2">
                  <w:pPr>
                    <w:jc w:val="center"/>
                    <w:rPr>
                      <w:rFonts w:ascii="Times New Roman" w:hAnsi="Times New Roman" w:eastAsia="宋体"/>
                      <w:color w:val="auto"/>
                      <w:lang w:bidi="en-US"/>
                    </w:rPr>
                  </w:pPr>
                  <w:r>
                    <w:rPr>
                      <w:rFonts w:ascii="Times New Roman" w:hAnsi="Times New Roman" w:eastAsia="宋体"/>
                      <w:color w:val="auto"/>
                      <w:lang w:bidi="en-US"/>
                    </w:rPr>
                    <w:t>本项目设置</w:t>
                  </w:r>
                  <w:r>
                    <w:rPr>
                      <w:rFonts w:hint="eastAsia" w:ascii="Times New Roman" w:hAnsi="Times New Roman"/>
                      <w:color w:val="auto"/>
                      <w:lang w:val="en-US" w:eastAsia="zh-CN" w:bidi="en-US"/>
                    </w:rPr>
                    <w:t>1</w:t>
                  </w:r>
                  <w:r>
                    <w:rPr>
                      <w:rFonts w:ascii="Times New Roman" w:hAnsi="Times New Roman" w:eastAsia="宋体"/>
                      <w:color w:val="auto"/>
                      <w:lang w:bidi="en-US"/>
                    </w:rPr>
                    <w:t>台3t/h生物质蒸汽</w:t>
                  </w:r>
                  <w:r>
                    <w:rPr>
                      <w:rFonts w:hint="eastAsia" w:ascii="Times New Roman" w:hAnsi="Times New Roman"/>
                      <w:color w:val="auto"/>
                      <w:lang w:val="en-US" w:eastAsia="zh-CN" w:bidi="en-US"/>
                    </w:rPr>
                    <w:t>锅炉</w:t>
                  </w:r>
                  <w:r>
                    <w:rPr>
                      <w:rFonts w:ascii="Times New Roman" w:hAnsi="Times New Roman" w:eastAsia="宋体"/>
                      <w:color w:val="auto"/>
                      <w:lang w:bidi="en-US"/>
                    </w:rPr>
                    <w:t>，采用的燃料为</w:t>
                  </w:r>
                  <w:r>
                    <w:rPr>
                      <w:rFonts w:hint="eastAsia" w:ascii="Times New Roman" w:hAnsi="Times New Roman"/>
                      <w:color w:val="auto"/>
                      <w:lang w:val="en-US" w:eastAsia="zh-CN" w:bidi="en-US"/>
                    </w:rPr>
                    <w:t>成型</w:t>
                  </w:r>
                  <w:r>
                    <w:rPr>
                      <w:rFonts w:ascii="Times New Roman" w:hAnsi="Times New Roman" w:eastAsia="宋体"/>
                      <w:color w:val="auto"/>
                      <w:lang w:bidi="en-US"/>
                    </w:rPr>
                    <w:t>生物质。生物质蒸汽发生器配套设置布袋除尘器，燃烧废气经布袋除尘器处理后由一个30m高的排气筒（DA001）排放。根据核算，</w:t>
                  </w:r>
                  <w:r>
                    <w:rPr>
                      <w:rFonts w:hint="eastAsia" w:ascii="Times New Roman" w:hAnsi="Times New Roman"/>
                      <w:color w:val="auto"/>
                      <w:lang w:val="en-US" w:eastAsia="zh-CN" w:bidi="en-US"/>
                    </w:rPr>
                    <w:t>颗粒物、</w:t>
                  </w:r>
                  <w:r>
                    <w:rPr>
                      <w:rFonts w:ascii="Times New Roman" w:hAnsi="Times New Roman" w:eastAsia="宋体"/>
                      <w:color w:val="auto"/>
                      <w:lang w:bidi="en-US"/>
                    </w:rPr>
                    <w:t>SO</w:t>
                  </w:r>
                  <w:r>
                    <w:rPr>
                      <w:rFonts w:ascii="Times New Roman" w:hAnsi="Times New Roman" w:eastAsia="宋体"/>
                      <w:color w:val="auto"/>
                      <w:vertAlign w:val="subscript"/>
                      <w:lang w:bidi="en-US"/>
                    </w:rPr>
                    <w:t>2</w:t>
                  </w:r>
                  <w:r>
                    <w:rPr>
                      <w:rFonts w:hint="eastAsia" w:ascii="Times New Roman" w:hAnsi="Times New Roman"/>
                      <w:color w:val="auto"/>
                      <w:lang w:eastAsia="zh-CN" w:bidi="en-US"/>
                    </w:rPr>
                    <w:t>、</w:t>
                  </w:r>
                  <w:r>
                    <w:rPr>
                      <w:rFonts w:hint="eastAsia" w:ascii="Times New Roman" w:hAnsi="Times New Roman"/>
                      <w:color w:val="auto"/>
                      <w:lang w:val="en-US" w:eastAsia="zh-CN" w:bidi="en-US"/>
                    </w:rPr>
                    <w:t>NOx</w:t>
                  </w:r>
                  <w:r>
                    <w:rPr>
                      <w:rFonts w:ascii="Times New Roman" w:hAnsi="Times New Roman" w:eastAsia="宋体"/>
                      <w:color w:val="auto"/>
                      <w:lang w:bidi="en-US"/>
                    </w:rPr>
                    <w:t>排放浓度</w:t>
                  </w:r>
                  <w:r>
                    <w:rPr>
                      <w:rFonts w:hint="eastAsia" w:ascii="Times New Roman" w:hAnsi="Times New Roman"/>
                      <w:color w:val="auto"/>
                      <w:lang w:val="en-US" w:eastAsia="zh-CN" w:bidi="en-US"/>
                    </w:rPr>
                    <w:t>均</w:t>
                  </w:r>
                  <w:r>
                    <w:rPr>
                      <w:rFonts w:ascii="Times New Roman" w:hAnsi="Times New Roman" w:eastAsia="宋体"/>
                      <w:color w:val="auto"/>
                      <w:lang w:bidi="en-US"/>
                    </w:rPr>
                    <w:t>可</w:t>
                  </w:r>
                  <w:r>
                    <w:rPr>
                      <w:rFonts w:hint="eastAsia" w:ascii="Times New Roman" w:hAnsi="Times New Roman"/>
                      <w:color w:val="auto"/>
                      <w:lang w:val="en-US" w:eastAsia="zh-CN" w:bidi="en-US"/>
                    </w:rPr>
                    <w:t>满足</w:t>
                  </w:r>
                  <w:r>
                    <w:rPr>
                      <w:rFonts w:ascii="Times New Roman" w:hAnsi="Times New Roman" w:eastAsia="宋体"/>
                      <w:color w:val="auto"/>
                      <w:lang w:bidi="en-US"/>
                    </w:rPr>
                    <w:t>《锅炉大气污染物排放标准》（GB13271-2014）表2</w:t>
                  </w:r>
                  <w:r>
                    <w:rPr>
                      <w:rFonts w:hint="eastAsia" w:ascii="Times New Roman" w:hAnsi="Times New Roman" w:eastAsia="宋体" w:cs="Times New Roman"/>
                      <w:color w:val="auto"/>
                      <w:szCs w:val="21"/>
                      <w:lang w:val="en-US" w:eastAsia="zh-CN"/>
                    </w:rPr>
                    <w:t>燃煤锅炉</w:t>
                  </w:r>
                  <w:r>
                    <w:rPr>
                      <w:rFonts w:ascii="Times New Roman" w:hAnsi="Times New Roman" w:eastAsia="宋体"/>
                      <w:color w:val="auto"/>
                      <w:lang w:bidi="en-US"/>
                    </w:rPr>
                    <w:t>排放限值。</w:t>
                  </w:r>
                </w:p>
              </w:tc>
              <w:tc>
                <w:tcPr>
                  <w:tcW w:w="465" w:type="dxa"/>
                  <w:vAlign w:val="center"/>
                </w:tcPr>
                <w:p w14:paraId="4BB3B9D2">
                  <w:pPr>
                    <w:jc w:val="center"/>
                    <w:rPr>
                      <w:rFonts w:ascii="Times New Roman" w:hAnsi="Times New Roman" w:eastAsia="宋体"/>
                      <w:color w:val="auto"/>
                      <w:lang w:bidi="en-US"/>
                    </w:rPr>
                  </w:pPr>
                </w:p>
                <w:p w14:paraId="38F05F16">
                  <w:pPr>
                    <w:jc w:val="center"/>
                    <w:rPr>
                      <w:rFonts w:ascii="Times New Roman" w:hAnsi="Times New Roman" w:eastAsia="宋体"/>
                      <w:color w:val="auto"/>
                      <w:lang w:bidi="en-US"/>
                    </w:rPr>
                  </w:pPr>
                </w:p>
                <w:p w14:paraId="20D9ACC8">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68159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9" w:hRule="atLeast"/>
              </w:trPr>
              <w:tc>
                <w:tcPr>
                  <w:tcW w:w="492" w:type="dxa"/>
                  <w:vAlign w:val="center"/>
                </w:tcPr>
                <w:p w14:paraId="6ED2C67B">
                  <w:pPr>
                    <w:jc w:val="center"/>
                    <w:rPr>
                      <w:rFonts w:ascii="Times New Roman" w:hAnsi="Times New Roman" w:eastAsia="宋体"/>
                      <w:color w:val="auto"/>
                      <w:lang w:bidi="en-US"/>
                    </w:rPr>
                  </w:pPr>
                </w:p>
                <w:p w14:paraId="34711130">
                  <w:pPr>
                    <w:jc w:val="center"/>
                    <w:rPr>
                      <w:rFonts w:ascii="Times New Roman" w:hAnsi="Times New Roman" w:eastAsia="宋体"/>
                      <w:color w:val="auto"/>
                      <w:lang w:bidi="en-US"/>
                    </w:rPr>
                  </w:pPr>
                </w:p>
                <w:p w14:paraId="37AD22A2">
                  <w:pPr>
                    <w:jc w:val="center"/>
                    <w:rPr>
                      <w:rFonts w:ascii="Times New Roman" w:hAnsi="Times New Roman" w:eastAsia="宋体"/>
                      <w:color w:val="auto"/>
                      <w:lang w:bidi="en-US"/>
                    </w:rPr>
                  </w:pPr>
                </w:p>
                <w:p w14:paraId="4DC6F416">
                  <w:pPr>
                    <w:jc w:val="center"/>
                    <w:rPr>
                      <w:rFonts w:ascii="Times New Roman" w:hAnsi="Times New Roman" w:eastAsia="宋体"/>
                      <w:color w:val="auto"/>
                      <w:lang w:bidi="en-US"/>
                    </w:rPr>
                  </w:pPr>
                </w:p>
                <w:p w14:paraId="6FDF0F0D">
                  <w:pPr>
                    <w:jc w:val="center"/>
                    <w:rPr>
                      <w:rFonts w:ascii="Times New Roman" w:hAnsi="Times New Roman" w:eastAsia="宋体"/>
                      <w:color w:val="auto"/>
                      <w:lang w:bidi="en-US"/>
                    </w:rPr>
                  </w:pPr>
                </w:p>
                <w:p w14:paraId="23878490">
                  <w:pPr>
                    <w:jc w:val="center"/>
                    <w:rPr>
                      <w:rFonts w:ascii="Times New Roman" w:hAnsi="Times New Roman" w:eastAsia="宋体"/>
                      <w:color w:val="auto"/>
                      <w:lang w:bidi="en-US"/>
                    </w:rPr>
                  </w:pPr>
                  <w:r>
                    <w:rPr>
                      <w:rFonts w:ascii="Times New Roman" w:hAnsi="Times New Roman" w:eastAsia="宋体"/>
                      <w:color w:val="auto"/>
                      <w:lang w:bidi="en-US"/>
                    </w:rPr>
                    <w:t>3</w:t>
                  </w:r>
                </w:p>
              </w:tc>
              <w:tc>
                <w:tcPr>
                  <w:tcW w:w="3249" w:type="dxa"/>
                  <w:vAlign w:val="center"/>
                </w:tcPr>
                <w:p w14:paraId="664D618D">
                  <w:pPr>
                    <w:jc w:val="center"/>
                    <w:rPr>
                      <w:rFonts w:ascii="Times New Roman" w:hAnsi="Times New Roman" w:eastAsia="宋体"/>
                      <w:color w:val="auto"/>
                      <w:lang w:bidi="en-US"/>
                    </w:rPr>
                  </w:pPr>
                  <w:r>
                    <w:rPr>
                      <w:rFonts w:ascii="Times New Roman" w:hAnsi="Times New Roman" w:eastAsia="宋体"/>
                      <w:color w:val="auto"/>
                      <w:lang w:bidi="en-US"/>
                    </w:rPr>
                    <w:t>燃煤锅炉宜采用石灰石/石灰-石膏湿法、镁法、钠碱法、烟气循环流化床法和炉内喷钙脱硫技术实现SO</w:t>
                  </w:r>
                  <w:r>
                    <w:rPr>
                      <w:rFonts w:ascii="Times New Roman" w:hAnsi="Times New Roman" w:eastAsia="宋体"/>
                      <w:color w:val="auto"/>
                      <w:vertAlign w:val="subscript"/>
                      <w:lang w:bidi="en-US"/>
                    </w:rPr>
                    <w:t>2</w:t>
                  </w:r>
                  <w:r>
                    <w:rPr>
                      <w:rFonts w:ascii="Times New Roman" w:hAnsi="Times New Roman" w:eastAsia="宋体"/>
                      <w:color w:val="auto"/>
                      <w:lang w:bidi="en-US"/>
                    </w:rPr>
                    <w:t>达标排放。锅炉使用单位有稳定废碱来源（如碱性废水等）的宜优先选择“以废治废”的烟气脱硫方式实现SO</w:t>
                  </w:r>
                  <w:r>
                    <w:rPr>
                      <w:rFonts w:ascii="Times New Roman" w:hAnsi="Times New Roman" w:eastAsia="宋体"/>
                      <w:color w:val="auto"/>
                      <w:vertAlign w:val="subscript"/>
                      <w:lang w:bidi="en-US"/>
                    </w:rPr>
                    <w:t>2</w:t>
                  </w:r>
                  <w:r>
                    <w:rPr>
                      <w:rFonts w:ascii="Times New Roman" w:hAnsi="Times New Roman" w:eastAsia="宋体"/>
                      <w:color w:val="auto"/>
                      <w:lang w:bidi="en-US"/>
                    </w:rPr>
                    <w:t>达标排放。燃油、燃气和燃生物质成型燃料锅炉SO</w:t>
                  </w:r>
                  <w:r>
                    <w:rPr>
                      <w:rFonts w:ascii="Times New Roman" w:hAnsi="Times New Roman" w:eastAsia="宋体"/>
                      <w:color w:val="auto"/>
                      <w:vertAlign w:val="subscript"/>
                      <w:lang w:bidi="en-US"/>
                    </w:rPr>
                    <w:t>2</w:t>
                  </w:r>
                  <w:r>
                    <w:rPr>
                      <w:rFonts w:ascii="Times New Roman" w:hAnsi="Times New Roman" w:eastAsia="宋体"/>
                      <w:color w:val="auto"/>
                      <w:lang w:bidi="en-US"/>
                    </w:rPr>
                    <w:t>排放不达标时，宜参考燃煤锅炉选择烟气脱硫技术。</w:t>
                  </w:r>
                </w:p>
              </w:tc>
              <w:tc>
                <w:tcPr>
                  <w:tcW w:w="2925" w:type="dxa"/>
                  <w:vMerge w:val="continue"/>
                  <w:vAlign w:val="center"/>
                </w:tcPr>
                <w:p w14:paraId="0EE3ED66">
                  <w:pPr>
                    <w:jc w:val="center"/>
                    <w:rPr>
                      <w:rFonts w:ascii="Times New Roman" w:hAnsi="Times New Roman" w:eastAsia="宋体"/>
                      <w:color w:val="auto"/>
                      <w:lang w:bidi="en-US"/>
                    </w:rPr>
                  </w:pPr>
                </w:p>
              </w:tc>
              <w:tc>
                <w:tcPr>
                  <w:tcW w:w="465" w:type="dxa"/>
                  <w:vAlign w:val="center"/>
                </w:tcPr>
                <w:p w14:paraId="560012A3">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5260C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492" w:type="dxa"/>
                  <w:vAlign w:val="center"/>
                </w:tcPr>
                <w:p w14:paraId="72B93D1D">
                  <w:pPr>
                    <w:jc w:val="center"/>
                    <w:rPr>
                      <w:rFonts w:ascii="Times New Roman" w:hAnsi="Times New Roman" w:eastAsia="宋体"/>
                      <w:color w:val="auto"/>
                      <w:lang w:bidi="en-US"/>
                    </w:rPr>
                  </w:pPr>
                </w:p>
                <w:p w14:paraId="159DE08D">
                  <w:pPr>
                    <w:jc w:val="center"/>
                    <w:rPr>
                      <w:rFonts w:ascii="Times New Roman" w:hAnsi="Times New Roman" w:eastAsia="宋体"/>
                      <w:color w:val="auto"/>
                      <w:lang w:bidi="en-US"/>
                    </w:rPr>
                  </w:pPr>
                </w:p>
                <w:p w14:paraId="030DA825">
                  <w:pPr>
                    <w:jc w:val="center"/>
                    <w:rPr>
                      <w:rFonts w:ascii="Times New Roman" w:hAnsi="Times New Roman" w:eastAsia="宋体"/>
                      <w:color w:val="auto"/>
                      <w:lang w:bidi="en-US"/>
                    </w:rPr>
                  </w:pPr>
                </w:p>
                <w:p w14:paraId="41941CCD">
                  <w:pPr>
                    <w:jc w:val="center"/>
                    <w:rPr>
                      <w:rFonts w:ascii="Times New Roman" w:hAnsi="Times New Roman" w:eastAsia="宋体"/>
                      <w:color w:val="auto"/>
                      <w:lang w:bidi="en-US"/>
                    </w:rPr>
                  </w:pPr>
                  <w:r>
                    <w:rPr>
                      <w:rFonts w:ascii="Times New Roman" w:hAnsi="Times New Roman" w:eastAsia="宋体"/>
                      <w:color w:val="auto"/>
                      <w:lang w:bidi="en-US"/>
                    </w:rPr>
                    <w:t>4</w:t>
                  </w:r>
                </w:p>
              </w:tc>
              <w:tc>
                <w:tcPr>
                  <w:tcW w:w="3249" w:type="dxa"/>
                  <w:vAlign w:val="center"/>
                </w:tcPr>
                <w:p w14:paraId="7C11703C">
                  <w:pPr>
                    <w:jc w:val="center"/>
                    <w:rPr>
                      <w:rFonts w:ascii="Times New Roman" w:hAnsi="Times New Roman" w:eastAsia="宋体"/>
                      <w:color w:val="auto"/>
                      <w:lang w:bidi="en-US"/>
                    </w:rPr>
                  </w:pPr>
                  <w:r>
                    <w:rPr>
                      <w:rFonts w:ascii="Times New Roman" w:hAnsi="Times New Roman" w:eastAsia="宋体"/>
                      <w:color w:val="auto"/>
                      <w:lang w:bidi="en-US"/>
                    </w:rPr>
                    <w:t>氮氧化物排放控制宜优先采用低氮燃烧技术，若不能实现达标排放，应结合选择性催化还原法（SCR）、选择性非催化还原法（SNCR）和SNCR-SCR联合法脱硝技术实现达标排放。</w:t>
                  </w:r>
                </w:p>
              </w:tc>
              <w:tc>
                <w:tcPr>
                  <w:tcW w:w="2925" w:type="dxa"/>
                  <w:vMerge w:val="continue"/>
                  <w:vAlign w:val="center"/>
                </w:tcPr>
                <w:p w14:paraId="33AC9E54">
                  <w:pPr>
                    <w:jc w:val="center"/>
                    <w:rPr>
                      <w:rFonts w:ascii="Times New Roman" w:hAnsi="Times New Roman" w:eastAsia="宋体"/>
                      <w:color w:val="auto"/>
                      <w:lang w:bidi="en-US"/>
                    </w:rPr>
                  </w:pPr>
                </w:p>
              </w:tc>
              <w:tc>
                <w:tcPr>
                  <w:tcW w:w="465" w:type="dxa"/>
                  <w:vAlign w:val="center"/>
                </w:tcPr>
                <w:p w14:paraId="273617A8">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4C22E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492" w:type="dxa"/>
                  <w:vAlign w:val="center"/>
                </w:tcPr>
                <w:p w14:paraId="28F2C437">
                  <w:pPr>
                    <w:jc w:val="center"/>
                    <w:rPr>
                      <w:rFonts w:ascii="Times New Roman" w:hAnsi="Times New Roman" w:eastAsia="宋体"/>
                      <w:color w:val="auto"/>
                      <w:lang w:bidi="en-US"/>
                    </w:rPr>
                  </w:pPr>
                </w:p>
                <w:p w14:paraId="3DBC6A74">
                  <w:pPr>
                    <w:jc w:val="center"/>
                    <w:rPr>
                      <w:rFonts w:ascii="Times New Roman" w:hAnsi="Times New Roman" w:eastAsia="宋体"/>
                      <w:color w:val="auto"/>
                      <w:lang w:bidi="en-US"/>
                    </w:rPr>
                  </w:pPr>
                </w:p>
                <w:p w14:paraId="2FC6B1E9">
                  <w:pPr>
                    <w:jc w:val="center"/>
                    <w:rPr>
                      <w:rFonts w:ascii="Times New Roman" w:hAnsi="Times New Roman" w:eastAsia="宋体"/>
                      <w:color w:val="auto"/>
                      <w:lang w:bidi="en-US"/>
                    </w:rPr>
                  </w:pPr>
                  <w:r>
                    <w:rPr>
                      <w:rFonts w:ascii="Times New Roman" w:hAnsi="Times New Roman" w:eastAsia="宋体"/>
                      <w:color w:val="auto"/>
                      <w:lang w:bidi="en-US"/>
                    </w:rPr>
                    <w:t>5</w:t>
                  </w:r>
                </w:p>
              </w:tc>
              <w:tc>
                <w:tcPr>
                  <w:tcW w:w="3249" w:type="dxa"/>
                  <w:vAlign w:val="center"/>
                </w:tcPr>
                <w:p w14:paraId="56B9FEA3">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HYPERLINK"6.2.1.2"</w:instrText>
                  </w:r>
                  <w:r>
                    <w:rPr>
                      <w:rFonts w:ascii="Times New Roman" w:hAnsi="Times New Roman" w:eastAsia="宋体"/>
                      <w:color w:val="auto"/>
                      <w:lang w:bidi="en-US"/>
                    </w:rPr>
                    <w:fldChar w:fldCharType="separate"/>
                  </w:r>
                  <w:r>
                    <w:rPr>
                      <w:rFonts w:ascii="Times New Roman" w:hAnsi="Times New Roman" w:eastAsia="宋体"/>
                      <w:color w:val="auto"/>
                      <w:lang w:bidi="en-US"/>
                    </w:rPr>
                    <w:t>6.2.1.2</w:t>
                  </w:r>
                  <w:r>
                    <w:rPr>
                      <w:rFonts w:ascii="Times New Roman" w:hAnsi="Times New Roman" w:eastAsia="宋体"/>
                      <w:color w:val="auto"/>
                      <w:lang w:bidi="en-US"/>
                    </w:rPr>
                    <w:fldChar w:fldCharType="end"/>
                  </w:r>
                  <w:r>
                    <w:rPr>
                      <w:rFonts w:ascii="Times New Roman" w:hAnsi="Times New Roman" w:eastAsia="宋体"/>
                      <w:color w:val="auto"/>
                      <w:lang w:bidi="en-US"/>
                    </w:rPr>
                    <w:t>软化水再生废水是锅炉软化水装置再生时产生的废水，当其为酸碱废水时，宜采用pH调整处理后回用或排至生产废水集中处理系统集中处理；当其为浓盐水时，宜采用絮凝、澄清处理后回用或排至生产废水集中处理系统集中处理。</w:t>
                  </w:r>
                </w:p>
              </w:tc>
              <w:tc>
                <w:tcPr>
                  <w:tcW w:w="2925" w:type="dxa"/>
                  <w:vMerge w:val="restart"/>
                  <w:vAlign w:val="center"/>
                </w:tcPr>
                <w:p w14:paraId="3DD026BF">
                  <w:pPr>
                    <w:jc w:val="center"/>
                    <w:rPr>
                      <w:rFonts w:ascii="Times New Roman" w:hAnsi="Times New Roman" w:eastAsia="宋体"/>
                      <w:color w:val="auto"/>
                      <w:lang w:bidi="en-US"/>
                    </w:rPr>
                  </w:pPr>
                  <w:r>
                    <w:rPr>
                      <w:rFonts w:hint="eastAsia" w:ascii="Times New Roman" w:hAnsi="Times New Roman" w:cs="Times New Roman"/>
                      <w:color w:val="auto"/>
                      <w:szCs w:val="21"/>
                      <w:lang w:val="en-US" w:eastAsia="zh-CN"/>
                    </w:rPr>
                    <w:t>纯水制备废水、锅炉排污水</w:t>
                  </w:r>
                  <w:r>
                    <w:rPr>
                      <w:rFonts w:ascii="Times New Roman" w:hAnsi="Times New Roman" w:eastAsia="宋体"/>
                      <w:color w:val="auto"/>
                      <w:lang w:bidi="en-US"/>
                    </w:rPr>
                    <w:t>为清净下水，废水主要污染物为含盐类物质（Ca</w:t>
                  </w:r>
                  <w:r>
                    <w:rPr>
                      <w:rFonts w:ascii="Times New Roman" w:hAnsi="Times New Roman" w:eastAsia="宋体"/>
                      <w:color w:val="auto"/>
                      <w:vertAlign w:val="superscript"/>
                      <w:lang w:bidi="en-US"/>
                    </w:rPr>
                    <w:t>2+</w:t>
                  </w:r>
                  <w:r>
                    <w:rPr>
                      <w:rFonts w:ascii="Times New Roman" w:hAnsi="Times New Roman" w:eastAsia="宋体"/>
                      <w:color w:val="auto"/>
                      <w:lang w:bidi="en-US"/>
                    </w:rPr>
                    <w:t>、Mg</w:t>
                  </w:r>
                  <w:r>
                    <w:rPr>
                      <w:rFonts w:ascii="Times New Roman" w:hAnsi="Times New Roman" w:eastAsia="宋体"/>
                      <w:color w:val="auto"/>
                      <w:vertAlign w:val="superscript"/>
                      <w:lang w:bidi="en-US"/>
                    </w:rPr>
                    <w:t>2+</w:t>
                  </w:r>
                  <w:r>
                    <w:rPr>
                      <w:rFonts w:ascii="Times New Roman" w:hAnsi="Times New Roman" w:eastAsia="宋体"/>
                      <w:color w:val="auto"/>
                      <w:lang w:bidi="en-US"/>
                    </w:rPr>
                    <w:t>），</w:t>
                  </w:r>
                  <w:r>
                    <w:rPr>
                      <w:rFonts w:hint="eastAsia" w:ascii="Times New Roman" w:hAnsi="Times New Roman" w:cs="Times New Roman"/>
                      <w:color w:val="auto"/>
                      <w:szCs w:val="21"/>
                      <w:lang w:val="en-US" w:eastAsia="zh-CN"/>
                    </w:rPr>
                    <w:t>纯水制备废水、锅炉排污水</w:t>
                  </w:r>
                  <w:r>
                    <w:rPr>
                      <w:rFonts w:hint="eastAsia" w:ascii="Times New Roman" w:hAnsi="Times New Roman" w:eastAsia="宋体" w:cs="Times New Roman"/>
                      <w:color w:val="auto"/>
                      <w:szCs w:val="21"/>
                      <w:lang w:val="en-US" w:eastAsia="zh-CN"/>
                    </w:rPr>
                    <w:t>经三级沉淀处理达标后排入易天线市政污水管网，最终进入寻甸县污水处理厂统一处理</w:t>
                  </w:r>
                  <w:r>
                    <w:rPr>
                      <w:rFonts w:ascii="Times New Roman" w:hAnsi="Times New Roman" w:eastAsia="宋体"/>
                      <w:color w:val="auto"/>
                      <w:lang w:bidi="en-US"/>
                    </w:rPr>
                    <w:t>。</w:t>
                  </w:r>
                </w:p>
              </w:tc>
              <w:tc>
                <w:tcPr>
                  <w:tcW w:w="465" w:type="dxa"/>
                  <w:vAlign w:val="center"/>
                </w:tcPr>
                <w:p w14:paraId="662AB438">
                  <w:pPr>
                    <w:jc w:val="center"/>
                    <w:rPr>
                      <w:rFonts w:ascii="Times New Roman" w:hAnsi="Times New Roman" w:eastAsia="宋体"/>
                      <w:color w:val="auto"/>
                      <w:lang w:bidi="en-US"/>
                    </w:rPr>
                  </w:pPr>
                </w:p>
                <w:p w14:paraId="41D02060">
                  <w:pPr>
                    <w:jc w:val="center"/>
                    <w:rPr>
                      <w:rFonts w:ascii="Times New Roman" w:hAnsi="Times New Roman" w:eastAsia="宋体"/>
                      <w:color w:val="auto"/>
                      <w:lang w:bidi="en-US"/>
                    </w:rPr>
                  </w:pPr>
                  <w:r>
                    <w:rPr>
                      <w:rFonts w:ascii="Times New Roman" w:hAnsi="Times New Roman" w:eastAsia="宋体"/>
                      <w:color w:val="auto"/>
                      <w:lang w:bidi="en-US"/>
                    </w:rPr>
                    <w:t>符合</w:t>
                  </w:r>
                </w:p>
              </w:tc>
            </w:tr>
            <w:tr w14:paraId="121F3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492" w:type="dxa"/>
                  <w:tcBorders>
                    <w:bottom w:val="single" w:color="000000" w:sz="6" w:space="0"/>
                  </w:tcBorders>
                  <w:vAlign w:val="center"/>
                </w:tcPr>
                <w:p w14:paraId="659B21FD">
                  <w:pPr>
                    <w:jc w:val="center"/>
                    <w:rPr>
                      <w:rFonts w:ascii="Times New Roman" w:hAnsi="Times New Roman" w:eastAsia="宋体"/>
                      <w:color w:val="auto"/>
                      <w:lang w:bidi="en-US"/>
                    </w:rPr>
                  </w:pPr>
                </w:p>
                <w:p w14:paraId="7C7C9655">
                  <w:pPr>
                    <w:jc w:val="center"/>
                    <w:rPr>
                      <w:rFonts w:ascii="Times New Roman" w:hAnsi="Times New Roman" w:eastAsia="宋体"/>
                      <w:color w:val="auto"/>
                      <w:lang w:bidi="en-US"/>
                    </w:rPr>
                  </w:pPr>
                </w:p>
                <w:p w14:paraId="104DC1EC">
                  <w:pPr>
                    <w:jc w:val="center"/>
                    <w:rPr>
                      <w:rFonts w:ascii="Times New Roman" w:hAnsi="Times New Roman" w:eastAsia="宋体"/>
                      <w:color w:val="auto"/>
                      <w:lang w:bidi="en-US"/>
                    </w:rPr>
                  </w:pPr>
                  <w:r>
                    <w:rPr>
                      <w:rFonts w:ascii="Times New Roman" w:hAnsi="Times New Roman" w:eastAsia="宋体"/>
                      <w:color w:val="auto"/>
                      <w:lang w:bidi="en-US"/>
                    </w:rPr>
                    <w:t>6</w:t>
                  </w:r>
                </w:p>
              </w:tc>
              <w:tc>
                <w:tcPr>
                  <w:tcW w:w="3249" w:type="dxa"/>
                  <w:tcBorders>
                    <w:bottom w:val="single" w:color="000000" w:sz="6" w:space="0"/>
                  </w:tcBorders>
                  <w:vAlign w:val="center"/>
                </w:tcPr>
                <w:p w14:paraId="18F43258">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HYPERLINK"6.2.1.3"</w:instrText>
                  </w:r>
                  <w:r>
                    <w:rPr>
                      <w:rFonts w:ascii="Times New Roman" w:hAnsi="Times New Roman" w:eastAsia="宋体"/>
                      <w:color w:val="auto"/>
                      <w:lang w:bidi="en-US"/>
                    </w:rPr>
                    <w:fldChar w:fldCharType="separate"/>
                  </w:r>
                  <w:r>
                    <w:rPr>
                      <w:rFonts w:ascii="Times New Roman" w:hAnsi="Times New Roman" w:eastAsia="宋体"/>
                      <w:color w:val="auto"/>
                      <w:lang w:bidi="en-US"/>
                    </w:rPr>
                    <w:t>6.2.1.3</w:t>
                  </w:r>
                  <w:r>
                    <w:rPr>
                      <w:rFonts w:ascii="Times New Roman" w:hAnsi="Times New Roman" w:eastAsia="宋体"/>
                      <w:color w:val="auto"/>
                      <w:lang w:bidi="en-US"/>
                    </w:rPr>
                    <w:fldChar w:fldCharType="end"/>
                  </w:r>
                  <w:r>
                    <w:rPr>
                      <w:rFonts w:ascii="Times New Roman" w:hAnsi="Times New Roman" w:eastAsia="宋体"/>
                      <w:color w:val="auto"/>
                      <w:lang w:bidi="en-US"/>
                    </w:rPr>
                    <w:t>锅炉排污水是为保持锅炉内的水质，需定期或连续排放的污水，宜采用pH调整、絮凝和澄清处理后回用或排至生产废水集中处理系统处理。</w:t>
                  </w:r>
                </w:p>
              </w:tc>
              <w:tc>
                <w:tcPr>
                  <w:tcW w:w="2925" w:type="dxa"/>
                  <w:vMerge w:val="continue"/>
                  <w:tcBorders>
                    <w:bottom w:val="single" w:color="000000" w:sz="6" w:space="0"/>
                  </w:tcBorders>
                  <w:vAlign w:val="center"/>
                </w:tcPr>
                <w:p w14:paraId="47EC9E8C">
                  <w:pPr>
                    <w:jc w:val="center"/>
                    <w:rPr>
                      <w:rFonts w:ascii="Times New Roman" w:hAnsi="Times New Roman" w:eastAsia="宋体"/>
                      <w:color w:val="auto"/>
                      <w:lang w:bidi="en-US"/>
                    </w:rPr>
                  </w:pPr>
                </w:p>
              </w:tc>
              <w:tc>
                <w:tcPr>
                  <w:tcW w:w="465" w:type="dxa"/>
                  <w:tcBorders>
                    <w:bottom w:val="single" w:color="000000" w:sz="6" w:space="0"/>
                  </w:tcBorders>
                  <w:vAlign w:val="center"/>
                </w:tcPr>
                <w:p w14:paraId="7B88D6F7">
                  <w:pPr>
                    <w:jc w:val="center"/>
                    <w:rPr>
                      <w:rFonts w:ascii="Times New Roman" w:hAnsi="Times New Roman" w:eastAsia="宋体"/>
                      <w:color w:val="auto"/>
                      <w:lang w:bidi="en-US"/>
                    </w:rPr>
                  </w:pPr>
                </w:p>
                <w:p w14:paraId="15EA2423">
                  <w:pPr>
                    <w:jc w:val="center"/>
                    <w:rPr>
                      <w:rFonts w:ascii="Times New Roman" w:hAnsi="Times New Roman" w:eastAsia="宋体"/>
                      <w:color w:val="auto"/>
                      <w:lang w:bidi="en-US"/>
                    </w:rPr>
                  </w:pPr>
                  <w:r>
                    <w:rPr>
                      <w:rFonts w:ascii="Times New Roman" w:hAnsi="Times New Roman" w:eastAsia="宋体"/>
                      <w:color w:val="auto"/>
                      <w:lang w:bidi="en-US"/>
                    </w:rPr>
                    <w:t>符合</w:t>
                  </w:r>
                </w:p>
              </w:tc>
            </w:tr>
          </w:tbl>
          <w:p w14:paraId="2FABA2CF">
            <w:pPr>
              <w:spacing w:line="360" w:lineRule="auto"/>
              <w:ind w:firstLine="480" w:firstLineChars="200"/>
              <w:rPr>
                <w:rFonts w:hint="eastAsia" w:ascii="Times New Roman" w:hAnsi="Times New Roman"/>
                <w:b/>
                <w:bCs/>
                <w:color w:val="auto"/>
                <w:sz w:val="24"/>
                <w:lang w:val="en-US" w:eastAsia="zh-CN"/>
              </w:rPr>
            </w:pPr>
            <w:r>
              <w:rPr>
                <w:rFonts w:ascii="Times New Roman" w:hAnsi="Times New Roman" w:eastAsia="宋体" w:cs="Times New Roman"/>
                <w:bCs/>
                <w:color w:val="auto"/>
                <w:kern w:val="0"/>
                <w:sz w:val="24"/>
                <w:szCs w:val="24"/>
                <w:lang w:val="en-US" w:eastAsia="zh-CN" w:bidi="ar-SA"/>
              </w:rPr>
              <w:t>综上分析，项目与《工业锅炉污染防治可行技术指南》（HJ 1178-2021</w:t>
            </w:r>
            <w:r>
              <w:rPr>
                <w:rFonts w:hint="eastAsia" w:ascii="Times New Roman" w:hAnsi="Times New Roman" w:eastAsia="宋体" w:cs="Times New Roman"/>
                <w:bCs/>
                <w:color w:val="auto"/>
                <w:kern w:val="0"/>
                <w:sz w:val="24"/>
                <w:szCs w:val="24"/>
                <w:lang w:val="en-US" w:eastAsia="zh-CN" w:bidi="ar-SA"/>
              </w:rPr>
              <w:t>）</w:t>
            </w:r>
            <w:r>
              <w:rPr>
                <w:rFonts w:hint="eastAsia" w:ascii="Times New Roman" w:hAnsi="Times New Roman" w:cs="Times New Roman"/>
                <w:bCs/>
                <w:color w:val="auto"/>
                <w:kern w:val="0"/>
                <w:sz w:val="24"/>
                <w:szCs w:val="24"/>
                <w:lang w:val="en-US" w:eastAsia="zh-CN" w:bidi="ar-SA"/>
              </w:rPr>
              <w:t>的相关要求</w:t>
            </w:r>
            <w:r>
              <w:rPr>
                <w:rFonts w:ascii="Times New Roman" w:hAnsi="Times New Roman" w:eastAsia="宋体" w:cs="Times New Roman"/>
                <w:bCs/>
                <w:color w:val="auto"/>
                <w:kern w:val="0"/>
                <w:sz w:val="24"/>
                <w:szCs w:val="24"/>
                <w:lang w:val="en-US" w:eastAsia="zh-CN" w:bidi="ar-SA"/>
              </w:rPr>
              <w:t>相符。</w:t>
            </w:r>
          </w:p>
          <w:p w14:paraId="76DAD09B">
            <w:pPr>
              <w:numPr>
                <w:ilvl w:val="0"/>
                <w:numId w:val="0"/>
              </w:num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bCs/>
                <w:color w:val="auto"/>
                <w:sz w:val="24"/>
                <w:lang w:val="en-US" w:eastAsia="zh-CN"/>
              </w:rPr>
              <w:t>12、选址合理</w:t>
            </w:r>
            <w:r>
              <w:rPr>
                <w:rFonts w:ascii="Times New Roman" w:hAnsi="Times New Roman"/>
                <w:b/>
                <w:bCs/>
                <w:color w:val="auto"/>
                <w:sz w:val="24"/>
              </w:rPr>
              <w:t>性分析</w:t>
            </w:r>
          </w:p>
          <w:p w14:paraId="35430C4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本项目为</w:t>
            </w:r>
            <w:r>
              <w:rPr>
                <w:rFonts w:hint="eastAsia" w:ascii="Times New Roman" w:hAnsi="Times New Roman" w:eastAsia="宋体"/>
                <w:bCs/>
                <w:color w:val="auto"/>
                <w:sz w:val="24"/>
                <w:lang w:val="en-US" w:eastAsia="zh-CN"/>
              </w:rPr>
              <w:t>酒店布草、理发店毛巾洗涤</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属于新建</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cs="Times New Roman"/>
                <w:color w:val="auto"/>
                <w:sz w:val="24"/>
                <w:highlight w:val="none"/>
                <w:lang w:val="en-US" w:eastAsia="zh-CN"/>
              </w:rPr>
              <w:t>。</w:t>
            </w:r>
            <w:r>
              <w:rPr>
                <w:rFonts w:ascii="Times New Roman" w:hAnsi="Times New Roman"/>
                <w:color w:val="auto"/>
                <w:sz w:val="24"/>
                <w:szCs w:val="24"/>
              </w:rPr>
              <w:t>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w:t>
            </w:r>
            <w:r>
              <w:rPr>
                <w:rFonts w:hint="eastAsia" w:ascii="Times New Roman" w:hAnsi="Times New Roman"/>
                <w:bCs/>
                <w:color w:val="auto"/>
                <w:sz w:val="24"/>
                <w:lang w:val="en-US" w:eastAsia="zh-CN"/>
              </w:rPr>
              <w:t>。</w:t>
            </w:r>
            <w:r>
              <w:rPr>
                <w:rFonts w:hint="eastAsia" w:ascii="Times New Roman" w:hAnsi="Times New Roman" w:eastAsia="宋体" w:cs="宋体"/>
                <w:color w:val="auto"/>
                <w:spacing w:val="-3"/>
                <w:kern w:val="2"/>
                <w:sz w:val="24"/>
                <w:szCs w:val="24"/>
                <w:lang w:val="en-US" w:eastAsia="zh-CN" w:bidi="ar-SA"/>
              </w:rPr>
              <w:t>项目</w:t>
            </w:r>
            <w:r>
              <w:rPr>
                <w:rFonts w:hint="eastAsia" w:ascii="Times New Roman" w:hAnsi="Times New Roman" w:cs="宋体"/>
                <w:color w:val="auto"/>
                <w:spacing w:val="-3"/>
                <w:kern w:val="2"/>
                <w:sz w:val="24"/>
                <w:szCs w:val="24"/>
                <w:lang w:val="en-US" w:eastAsia="zh-CN" w:bidi="ar-SA"/>
              </w:rPr>
              <w:t>选址</w:t>
            </w:r>
            <w:r>
              <w:rPr>
                <w:rFonts w:hint="eastAsia" w:ascii="Times New Roman" w:hAnsi="Times New Roman" w:eastAsia="宋体" w:cs="宋体"/>
                <w:color w:val="auto"/>
                <w:spacing w:val="-3"/>
                <w:kern w:val="2"/>
                <w:sz w:val="24"/>
                <w:szCs w:val="24"/>
                <w:lang w:val="en-US" w:eastAsia="zh-CN" w:bidi="ar-SA"/>
              </w:rPr>
              <w:t>未与寻甸县生态保护红线重叠</w:t>
            </w:r>
            <w:r>
              <w:rPr>
                <w:rFonts w:hint="eastAsia" w:ascii="Times New Roman" w:hAnsi="Times New Roman" w:cs="宋体"/>
                <w:color w:val="auto"/>
                <w:spacing w:val="-3"/>
                <w:kern w:val="2"/>
                <w:sz w:val="24"/>
                <w:szCs w:val="24"/>
                <w:lang w:val="en-US" w:eastAsia="zh-CN" w:bidi="ar-SA"/>
              </w:rPr>
              <w:t>，</w:t>
            </w:r>
            <w:r>
              <w:rPr>
                <w:rFonts w:hint="eastAsia" w:ascii="Times New Roman" w:hAnsi="Times New Roman" w:eastAsia="宋体" w:cs="宋体"/>
                <w:color w:val="auto"/>
                <w:spacing w:val="-3"/>
                <w:kern w:val="2"/>
                <w:sz w:val="24"/>
                <w:szCs w:val="24"/>
                <w:lang w:val="en-US" w:eastAsia="zh-CN" w:bidi="ar-SA"/>
              </w:rPr>
              <w:t>不涉及城镇开发边界</w:t>
            </w:r>
            <w:r>
              <w:rPr>
                <w:rFonts w:hint="eastAsia" w:ascii="Times New Roman" w:hAnsi="Times New Roman" w:cs="宋体"/>
                <w:color w:val="auto"/>
                <w:spacing w:val="-3"/>
                <w:kern w:val="2"/>
                <w:sz w:val="24"/>
                <w:szCs w:val="24"/>
                <w:lang w:val="en-US" w:eastAsia="zh-CN" w:bidi="ar-SA"/>
              </w:rPr>
              <w:t>，不占用永久</w:t>
            </w:r>
            <w:r>
              <w:rPr>
                <w:rFonts w:hint="eastAsia" w:ascii="Times New Roman" w:hAnsi="Times New Roman"/>
                <w:color w:val="auto"/>
                <w:lang w:val="en-US" w:eastAsia="zh-CN"/>
              </w:rPr>
              <w:t>基本农田</w:t>
            </w:r>
            <w:r>
              <w:rPr>
                <w:rFonts w:hint="eastAsia" w:ascii="Times New Roman" w:hAnsi="Times New Roman" w:eastAsia="宋体" w:cs="Times New Roman"/>
                <w:color w:val="auto"/>
                <w:sz w:val="24"/>
                <w:highlight w:val="none"/>
                <w:lang w:val="en-US" w:eastAsia="zh-CN"/>
              </w:rPr>
              <w:t>。</w:t>
            </w:r>
          </w:p>
          <w:p w14:paraId="5CDAF7E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项目区域配套基础设施完善，</w:t>
            </w:r>
            <w:r>
              <w:rPr>
                <w:rFonts w:hint="default" w:ascii="Times New Roman" w:hAnsi="Times New Roman" w:eastAsia="宋体" w:cs="Times New Roman"/>
                <w:color w:val="auto"/>
                <w:sz w:val="24"/>
                <w:highlight w:val="none"/>
                <w:lang w:val="en-US" w:eastAsia="zh-CN"/>
              </w:rPr>
              <w:t>项目厂址所在区域大气环境、声环境</w:t>
            </w:r>
            <w:r>
              <w:rPr>
                <w:rFonts w:hint="eastAsia" w:ascii="Times New Roman" w:hAnsi="Times New Roman" w:eastAsia="宋体" w:cs="Times New Roman"/>
                <w:color w:val="auto"/>
                <w:sz w:val="24"/>
                <w:highlight w:val="none"/>
                <w:lang w:val="en-US" w:eastAsia="zh-CN"/>
              </w:rPr>
              <w:t>、地表水环境</w:t>
            </w:r>
            <w:r>
              <w:rPr>
                <w:rFonts w:hint="default" w:ascii="Times New Roman" w:hAnsi="Times New Roman" w:eastAsia="宋体" w:cs="Times New Roman"/>
                <w:color w:val="auto"/>
                <w:sz w:val="24"/>
                <w:highlight w:val="none"/>
                <w:lang w:val="en-US" w:eastAsia="zh-CN"/>
              </w:rPr>
              <w:t>均能满足当前环境功能区划的要求。经过工程分析和环境影响分析，项目运营期产生的“三废”通过采取行之有效的措施妥善处理并确保各污染物达标排放后，项目产生</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的“三废”不会对环境造成大的影响，项目建设不会降低和改变区域的环境质量和环境功能。</w:t>
            </w:r>
          </w:p>
          <w:p w14:paraId="0E5C84A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因此，从环保角度来看，项目选址可行。</w:t>
            </w:r>
          </w:p>
          <w:p w14:paraId="4F54EC27">
            <w:pPr>
              <w:numPr>
                <w:ilvl w:val="0"/>
                <w:numId w:val="0"/>
              </w:num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bCs/>
                <w:color w:val="auto"/>
                <w:sz w:val="24"/>
                <w:lang w:val="en-US" w:eastAsia="zh-CN"/>
              </w:rPr>
              <w:t>13、</w:t>
            </w:r>
            <w:r>
              <w:rPr>
                <w:rFonts w:ascii="Times New Roman" w:hAnsi="Times New Roman"/>
                <w:b/>
                <w:bCs/>
                <w:color w:val="auto"/>
                <w:sz w:val="24"/>
              </w:rPr>
              <w:t>环境相容性分析</w:t>
            </w:r>
          </w:p>
          <w:p w14:paraId="04B4D62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w:t>
            </w:r>
            <w:r>
              <w:rPr>
                <w:rFonts w:hint="default" w:ascii="Times New Roman" w:hAnsi="Times New Roman" w:eastAsia="宋体" w:cs="Times New Roman"/>
                <w:color w:val="auto"/>
                <w:sz w:val="24"/>
                <w:highlight w:val="none"/>
                <w:lang w:val="en-US" w:eastAsia="zh-CN"/>
              </w:rPr>
              <w:t>。根据现场调查，项目周边500m范围内主要为</w:t>
            </w:r>
            <w:r>
              <w:rPr>
                <w:rFonts w:hint="eastAsia" w:ascii="Times New Roman" w:hAnsi="Times New Roman" w:cs="Times New Roman"/>
                <w:color w:val="auto"/>
                <w:sz w:val="24"/>
                <w:highlight w:val="none"/>
                <w:lang w:val="en-US" w:eastAsia="zh-CN"/>
              </w:rPr>
              <w:t>养殖、屠宰企业</w:t>
            </w:r>
            <w:r>
              <w:rPr>
                <w:rFonts w:hint="default" w:ascii="Times New Roman" w:hAnsi="Times New Roman" w:eastAsia="宋体" w:cs="Times New Roman"/>
                <w:color w:val="auto"/>
                <w:sz w:val="24"/>
                <w:highlight w:val="none"/>
                <w:lang w:val="en-US" w:eastAsia="zh-CN"/>
              </w:rPr>
              <w:t>，具体情况见</w:t>
            </w:r>
            <w:r>
              <w:rPr>
                <w:rFonts w:hint="eastAsia" w:ascii="Times New Roman" w:hAnsi="Times New Roman" w:cs="Times New Roman"/>
                <w:color w:val="auto"/>
                <w:sz w:val="24"/>
                <w:highlight w:val="none"/>
                <w:lang w:val="en-US" w:eastAsia="zh-CN"/>
              </w:rPr>
              <w:t>下</w:t>
            </w:r>
            <w:r>
              <w:rPr>
                <w:rFonts w:hint="default" w:ascii="Times New Roman" w:hAnsi="Times New Roman" w:eastAsia="宋体" w:cs="Times New Roman"/>
                <w:color w:val="auto"/>
                <w:sz w:val="24"/>
                <w:highlight w:val="none"/>
                <w:lang w:val="en-US" w:eastAsia="zh-CN"/>
              </w:rPr>
              <w:t>表。</w:t>
            </w:r>
          </w:p>
          <w:p w14:paraId="4EBDF955">
            <w:pP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 1-1</w:t>
            </w:r>
            <w:r>
              <w:rPr>
                <w:rFonts w:hint="eastAsia" w:ascii="Times New Roman" w:hAnsi="Times New Roman" w:cs="Times New Roman"/>
                <w:b/>
                <w:bCs/>
                <w:color w:val="auto"/>
                <w:szCs w:val="21"/>
                <w:highlight w:val="none"/>
                <w:lang w:val="en-US" w:eastAsia="zh-CN"/>
              </w:rPr>
              <w:t xml:space="preserve">2 </w:t>
            </w:r>
            <w:r>
              <w:rPr>
                <w:rFonts w:hint="default" w:ascii="Times New Roman" w:hAnsi="Times New Roman" w:eastAsia="宋体" w:cs="Times New Roman"/>
                <w:b/>
                <w:bCs/>
                <w:color w:val="auto"/>
                <w:szCs w:val="21"/>
                <w:highlight w:val="none"/>
              </w:rPr>
              <w:t>本项目周边情况一览表</w:t>
            </w:r>
          </w:p>
          <w:tbl>
            <w:tblPr>
              <w:tblStyle w:val="80"/>
              <w:tblW w:w="7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1481"/>
              <w:gridCol w:w="978"/>
              <w:gridCol w:w="1825"/>
              <w:gridCol w:w="2390"/>
            </w:tblGrid>
            <w:tr w14:paraId="3868D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jc w:val="center"/>
              </w:trPr>
              <w:tc>
                <w:tcPr>
                  <w:tcW w:w="504" w:type="dxa"/>
                  <w:textDirection w:val="tbRlV"/>
                  <w:vAlign w:val="center"/>
                </w:tcPr>
                <w:p w14:paraId="51E0AF5F">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1481" w:type="dxa"/>
                  <w:vAlign w:val="center"/>
                </w:tcPr>
                <w:p w14:paraId="09129725">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工业企业单位名称</w:t>
                  </w:r>
                </w:p>
              </w:tc>
              <w:tc>
                <w:tcPr>
                  <w:tcW w:w="978" w:type="dxa"/>
                  <w:vAlign w:val="center"/>
                </w:tcPr>
                <w:p w14:paraId="4E316044">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与本项目厂界方位、距离</w:t>
                  </w:r>
                </w:p>
              </w:tc>
              <w:tc>
                <w:tcPr>
                  <w:tcW w:w="1825" w:type="dxa"/>
                  <w:vAlign w:val="center"/>
                </w:tcPr>
                <w:p w14:paraId="210647B3">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主营业务</w:t>
                  </w:r>
                </w:p>
              </w:tc>
              <w:tc>
                <w:tcPr>
                  <w:tcW w:w="2390" w:type="dxa"/>
                  <w:vAlign w:val="center"/>
                </w:tcPr>
                <w:p w14:paraId="2D41221A">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主要污染物</w:t>
                  </w:r>
                </w:p>
              </w:tc>
            </w:tr>
            <w:tr w14:paraId="24D8D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14:paraId="6132E7C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1481" w:type="dxa"/>
                  <w:vAlign w:val="center"/>
                </w:tcPr>
                <w:p w14:paraId="5336690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寻甸东泰食品有限公司</w:t>
                  </w:r>
                </w:p>
              </w:tc>
              <w:tc>
                <w:tcPr>
                  <w:tcW w:w="978" w:type="dxa"/>
                  <w:vAlign w:val="center"/>
                </w:tcPr>
                <w:p w14:paraId="606615C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东</w:t>
                  </w:r>
                  <w:r>
                    <w:rPr>
                      <w:rFonts w:hint="eastAsia" w:ascii="Times New Roman" w:hAnsi="Times New Roman" w:eastAsia="宋体" w:cs="宋体"/>
                      <w:color w:val="auto"/>
                      <w:sz w:val="21"/>
                      <w:szCs w:val="21"/>
                    </w:rPr>
                    <w:t>侧</w:t>
                  </w:r>
                  <w:r>
                    <w:rPr>
                      <w:rFonts w:hint="eastAsia" w:ascii="Times New Roman" w:hAnsi="Times New Roman" w:eastAsia="宋体" w:cs="宋体"/>
                      <w:color w:val="auto"/>
                      <w:sz w:val="21"/>
                      <w:szCs w:val="21"/>
                      <w:lang w:val="en-US" w:eastAsia="zh-CN"/>
                    </w:rPr>
                    <w:t>10</w:t>
                  </w:r>
                  <w:r>
                    <w:rPr>
                      <w:rFonts w:hint="eastAsia" w:ascii="Times New Roman" w:hAnsi="Times New Roman" w:eastAsia="宋体" w:cs="宋体"/>
                      <w:color w:val="auto"/>
                      <w:sz w:val="21"/>
                      <w:szCs w:val="21"/>
                    </w:rPr>
                    <w:t>m</w:t>
                  </w:r>
                </w:p>
              </w:tc>
              <w:tc>
                <w:tcPr>
                  <w:tcW w:w="1825" w:type="dxa"/>
                  <w:vAlign w:val="center"/>
                </w:tcPr>
                <w:p w14:paraId="4B07C7F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生猪屠宰</w:t>
                  </w:r>
                  <w:r>
                    <w:rPr>
                      <w:rFonts w:hint="eastAsia" w:ascii="Times New Roman" w:hAnsi="Times New Roman" w:eastAsia="宋体" w:cs="宋体"/>
                      <w:color w:val="auto"/>
                      <w:sz w:val="21"/>
                      <w:szCs w:val="21"/>
                    </w:rPr>
                    <w:t>；</w:t>
                  </w:r>
                </w:p>
              </w:tc>
              <w:tc>
                <w:tcPr>
                  <w:tcW w:w="2390" w:type="dxa"/>
                  <w:vAlign w:val="center"/>
                </w:tcPr>
                <w:p w14:paraId="5882830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废水；废气：</w:t>
                  </w:r>
                  <w:r>
                    <w:rPr>
                      <w:rFonts w:hint="eastAsia" w:ascii="Times New Roman" w:hAnsi="Times New Roman" w:eastAsia="宋体" w:cs="宋体"/>
                      <w:color w:val="auto"/>
                      <w:sz w:val="21"/>
                      <w:szCs w:val="21"/>
                      <w:lang w:val="en-US" w:eastAsia="zh-CN"/>
                    </w:rPr>
                    <w:t>颗粒物、二氧化硫、氮氧化物、臭气浓度</w:t>
                  </w:r>
                  <w:r>
                    <w:rPr>
                      <w:rFonts w:hint="eastAsia" w:ascii="Times New Roman" w:hAnsi="Times New Roman" w:eastAsia="宋体" w:cs="宋体"/>
                      <w:color w:val="auto"/>
                      <w:sz w:val="21"/>
                      <w:szCs w:val="21"/>
                    </w:rPr>
                    <w:t>；噪声；固废；</w:t>
                  </w:r>
                </w:p>
              </w:tc>
            </w:tr>
            <w:tr w14:paraId="355FB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504" w:type="dxa"/>
                  <w:vAlign w:val="center"/>
                </w:tcPr>
                <w:p w14:paraId="582AAF9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w:t>
                  </w:r>
                </w:p>
              </w:tc>
              <w:tc>
                <w:tcPr>
                  <w:tcW w:w="1481" w:type="dxa"/>
                  <w:vAlign w:val="center"/>
                </w:tcPr>
                <w:p w14:paraId="40F9445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寻甸仁德子超养殖场</w:t>
                  </w:r>
                </w:p>
              </w:tc>
              <w:tc>
                <w:tcPr>
                  <w:tcW w:w="978" w:type="dxa"/>
                  <w:vAlign w:val="center"/>
                </w:tcPr>
                <w:p w14:paraId="32057B12">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北侧紧邻</w:t>
                  </w:r>
                </w:p>
              </w:tc>
              <w:tc>
                <w:tcPr>
                  <w:tcW w:w="1825" w:type="dxa"/>
                  <w:vAlign w:val="center"/>
                </w:tcPr>
                <w:p w14:paraId="4D9697AB">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生猪养殖</w:t>
                  </w:r>
                </w:p>
              </w:tc>
              <w:tc>
                <w:tcPr>
                  <w:tcW w:w="2390" w:type="dxa"/>
                  <w:vAlign w:val="center"/>
                </w:tcPr>
                <w:p w14:paraId="1D30EC1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废水；废气：</w:t>
                  </w:r>
                  <w:r>
                    <w:rPr>
                      <w:rFonts w:hint="eastAsia" w:ascii="Times New Roman" w:hAnsi="Times New Roman" w:eastAsia="宋体" w:cs="宋体"/>
                      <w:color w:val="auto"/>
                      <w:sz w:val="21"/>
                      <w:szCs w:val="21"/>
                      <w:lang w:val="en-US" w:eastAsia="zh-CN"/>
                    </w:rPr>
                    <w:t>臭气浓度</w:t>
                  </w:r>
                  <w:r>
                    <w:rPr>
                      <w:rFonts w:hint="eastAsia" w:ascii="Times New Roman" w:hAnsi="Times New Roman" w:eastAsia="宋体" w:cs="宋体"/>
                      <w:color w:val="auto"/>
                      <w:sz w:val="21"/>
                      <w:szCs w:val="21"/>
                    </w:rPr>
                    <w:t>；噪声；固废；</w:t>
                  </w:r>
                </w:p>
              </w:tc>
            </w:tr>
            <w:tr w14:paraId="053BF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14:paraId="535FB84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w:t>
                  </w:r>
                </w:p>
              </w:tc>
              <w:tc>
                <w:tcPr>
                  <w:tcW w:w="1481" w:type="dxa"/>
                  <w:vAlign w:val="center"/>
                </w:tcPr>
                <w:p w14:paraId="238CA95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寻甸县金叶烟用物资有限公司</w:t>
                  </w:r>
                </w:p>
              </w:tc>
              <w:tc>
                <w:tcPr>
                  <w:tcW w:w="978" w:type="dxa"/>
                  <w:vAlign w:val="center"/>
                </w:tcPr>
                <w:p w14:paraId="145E459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南</w:t>
                  </w:r>
                  <w:r>
                    <w:rPr>
                      <w:rFonts w:hint="eastAsia" w:ascii="Times New Roman" w:hAnsi="Times New Roman" w:eastAsia="宋体" w:cs="宋体"/>
                      <w:color w:val="auto"/>
                      <w:sz w:val="21"/>
                      <w:szCs w:val="21"/>
                    </w:rPr>
                    <w:t>侧</w:t>
                  </w:r>
                  <w:r>
                    <w:rPr>
                      <w:rFonts w:hint="eastAsia" w:ascii="Times New Roman" w:hAnsi="Times New Roman" w:eastAsia="宋体" w:cs="宋体"/>
                      <w:color w:val="auto"/>
                      <w:sz w:val="21"/>
                      <w:szCs w:val="21"/>
                      <w:lang w:val="en-US" w:eastAsia="zh-CN"/>
                    </w:rPr>
                    <w:t>紧邻</w:t>
                  </w:r>
                </w:p>
              </w:tc>
              <w:tc>
                <w:tcPr>
                  <w:tcW w:w="1825" w:type="dxa"/>
                  <w:vAlign w:val="center"/>
                </w:tcPr>
                <w:p w14:paraId="16D59737">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仓库</w:t>
                  </w:r>
                </w:p>
              </w:tc>
              <w:tc>
                <w:tcPr>
                  <w:tcW w:w="2390" w:type="dxa"/>
                  <w:vAlign w:val="center"/>
                </w:tcPr>
                <w:p w14:paraId="665CFBB8">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w:t>
                  </w:r>
                </w:p>
              </w:tc>
            </w:tr>
          </w:tbl>
          <w:p w14:paraId="0DD66E54">
            <w:pPr>
              <w:pStyle w:val="10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w:t>
            </w:r>
            <w:r>
              <w:rPr>
                <w:rFonts w:hint="default" w:ascii="Times New Roman" w:hAnsi="Times New Roman" w:eastAsia="宋体" w:cs="Times New Roman"/>
                <w:color w:val="auto"/>
                <w:kern w:val="2"/>
                <w:sz w:val="24"/>
                <w:szCs w:val="24"/>
                <w:highlight w:val="none"/>
                <w:lang w:val="en-US" w:eastAsia="zh-CN" w:bidi="ar-SA"/>
              </w:rPr>
              <w:t>废水</w:t>
            </w:r>
            <w:r>
              <w:rPr>
                <w:rFonts w:hint="default" w:ascii="Times New Roman" w:hAnsi="Times New Roman" w:eastAsia="宋体" w:cs="Times New Roman"/>
                <w:color w:val="auto"/>
                <w:kern w:val="2"/>
                <w:sz w:val="24"/>
                <w:szCs w:val="24"/>
                <w:highlight w:val="none"/>
                <w:lang w:val="zh-CN" w:eastAsia="zh-CN" w:bidi="ar-SA"/>
              </w:rPr>
              <w:t>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14:paraId="1A621AD5">
            <w:pPr>
              <w:autoSpaceDE w:val="0"/>
              <w:autoSpaceDN w:val="0"/>
              <w:adjustRightInd w:val="0"/>
              <w:snapToGrid w:val="0"/>
              <w:spacing w:line="360" w:lineRule="auto"/>
              <w:ind w:firstLine="480" w:firstLineChars="200"/>
              <w:rPr>
                <w:rFonts w:ascii="Times New Roman" w:hAnsi="Times New Roman"/>
                <w:color w:val="auto"/>
                <w:kern w:val="0"/>
                <w:szCs w:val="21"/>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tc>
      </w:tr>
    </w:tbl>
    <w:p w14:paraId="4479DD38">
      <w:pPr>
        <w:spacing w:line="360" w:lineRule="auto"/>
        <w:outlineLvl w:val="0"/>
        <w:rPr>
          <w:rFonts w:ascii="Times New Roman" w:hAnsi="Times New Roman" w:eastAsia="黑体"/>
          <w:color w:val="auto"/>
          <w:sz w:val="30"/>
        </w:rPr>
        <w:sectPr>
          <w:footerReference r:id="rId4" w:type="default"/>
          <w:pgSz w:w="11906" w:h="16838"/>
          <w:pgMar w:top="1440" w:right="1800" w:bottom="1440" w:left="1800" w:header="851" w:footer="1077" w:gutter="0"/>
          <w:pgNumType w:fmt="decimal" w:start="1"/>
          <w:cols w:space="720" w:num="1"/>
          <w:docGrid w:linePitch="312" w:charSpace="0"/>
        </w:sectPr>
      </w:pPr>
    </w:p>
    <w:p w14:paraId="07E6E1C0">
      <w:pPr>
        <w:pStyle w:val="2"/>
        <w:spacing w:before="0" w:after="0" w:line="240" w:lineRule="auto"/>
        <w:ind w:left="0" w:firstLine="0"/>
        <w:jc w:val="center"/>
        <w:rPr>
          <w:rFonts w:ascii="Times New Roman" w:hAnsi="Times New Roman"/>
          <w:color w:val="auto"/>
        </w:rPr>
      </w:pPr>
      <w:bookmarkStart w:id="2" w:name="_Toc17615"/>
      <w:bookmarkStart w:id="3" w:name="_Toc14456"/>
      <w:r>
        <w:rPr>
          <w:rFonts w:hint="eastAsia" w:ascii="Times New Roman" w:hAnsi="Times New Roman"/>
          <w:color w:val="auto"/>
        </w:rPr>
        <w:t>二、建设项目工程分析</w:t>
      </w:r>
      <w:bookmarkEnd w:id="2"/>
      <w:bookmarkEnd w:id="3"/>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16"/>
      </w:tblGrid>
      <w:tr w14:paraId="51049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644" w:type="dxa"/>
            <w:vAlign w:val="center"/>
          </w:tcPr>
          <w:p w14:paraId="5BB9EFA7">
            <w:pPr>
              <w:pStyle w:val="26"/>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 w:val="21"/>
                <w:szCs w:val="21"/>
              </w:rPr>
              <w:t>建设内容</w:t>
            </w:r>
          </w:p>
        </w:tc>
        <w:tc>
          <w:tcPr>
            <w:tcW w:w="8416" w:type="dxa"/>
          </w:tcPr>
          <w:p w14:paraId="1464FB8C">
            <w:pPr>
              <w:autoSpaceDE w:val="0"/>
              <w:autoSpaceDN w:val="0"/>
              <w:adjustRightInd w:val="0"/>
              <w:snapToGrid w:val="0"/>
              <w:spacing w:line="360" w:lineRule="auto"/>
              <w:ind w:firstLine="482" w:firstLineChars="200"/>
              <w:outlineLvl w:val="0"/>
              <w:rPr>
                <w:rFonts w:ascii="Times New Roman" w:hAnsi="Times New Roman"/>
                <w:b/>
                <w:color w:val="auto"/>
                <w:kern w:val="0"/>
                <w:sz w:val="24"/>
              </w:rPr>
            </w:pPr>
            <w:bookmarkStart w:id="4" w:name="_Toc4003"/>
            <w:bookmarkStart w:id="5" w:name="_Toc483056623"/>
            <w:bookmarkStart w:id="6" w:name="_Toc483056245"/>
            <w:r>
              <w:rPr>
                <w:rFonts w:ascii="Times New Roman" w:hAnsi="Times New Roman"/>
                <w:b/>
                <w:color w:val="auto"/>
                <w:kern w:val="0"/>
                <w:sz w:val="24"/>
              </w:rPr>
              <w:t>1、</w:t>
            </w:r>
            <w:r>
              <w:rPr>
                <w:rFonts w:hint="eastAsia" w:ascii="Times New Roman" w:hAnsi="Times New Roman"/>
                <w:b/>
                <w:color w:val="auto"/>
                <w:kern w:val="0"/>
                <w:sz w:val="24"/>
              </w:rPr>
              <w:t>项目由来</w:t>
            </w:r>
          </w:p>
          <w:p w14:paraId="20C95DF9">
            <w:pPr>
              <w:tabs>
                <w:tab w:val="left" w:pos="924"/>
              </w:tabs>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bCs/>
                <w:color w:val="auto"/>
                <w:sz w:val="24"/>
                <w:lang w:eastAsia="zh-CN"/>
              </w:rPr>
              <w:t>澳力洁(</w:t>
            </w:r>
            <w:r>
              <w:rPr>
                <w:rFonts w:hint="eastAsia" w:ascii="Times New Roman" w:hAnsi="Times New Roman" w:eastAsia="宋体"/>
                <w:bCs/>
                <w:color w:val="auto"/>
                <w:sz w:val="24"/>
                <w:lang w:val="en-US" w:eastAsia="zh-CN"/>
              </w:rPr>
              <w:t>昆明)洗涤有限公司拟在昆明市寻甸县仁德街道办事处易天线小功山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仁德子超养殖场内已建厂房上建设2条酒店布草、理发店毛巾洗涤生产线，项目建成后年洗涤量为70万套</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项目建成后</w:t>
            </w:r>
            <w:r>
              <w:rPr>
                <w:rFonts w:hint="eastAsia" w:ascii="Times New Roman" w:hAnsi="Times New Roman" w:eastAsia="宋体"/>
                <w:bCs/>
                <w:color w:val="auto"/>
                <w:sz w:val="24"/>
                <w:lang w:eastAsia="zh-CN"/>
              </w:rPr>
              <w:t>对满足地方需求及促进经济发展具有积极的意义。</w:t>
            </w:r>
          </w:p>
          <w:p w14:paraId="4B18FAEB">
            <w:pPr>
              <w:autoSpaceDE w:val="0"/>
              <w:autoSpaceDN w:val="0"/>
              <w:adjustRightInd w:val="0"/>
              <w:snapToGrid w:val="0"/>
              <w:spacing w:line="360" w:lineRule="auto"/>
              <w:ind w:firstLine="480" w:firstLineChars="200"/>
              <w:outlineLvl w:val="0"/>
              <w:rPr>
                <w:rFonts w:hint="eastAsia" w:ascii="Times New Roman" w:hAnsi="Times New Roman" w:eastAsia="宋体"/>
                <w:bCs/>
                <w:color w:val="auto"/>
                <w:sz w:val="24"/>
                <w:lang w:eastAsia="zh-CN"/>
              </w:rPr>
            </w:pPr>
            <w:r>
              <w:rPr>
                <w:rFonts w:hint="eastAsia" w:ascii="Times New Roman" w:hAnsi="Times New Roman" w:eastAsia="宋体"/>
                <w:bCs/>
                <w:color w:val="auto"/>
                <w:sz w:val="24"/>
                <w:lang w:eastAsia="zh-CN"/>
              </w:rPr>
              <w:t>根据《建设项目环境影响评价分类管理名录》（2021年版），“布草洗涤”属于清洁服务行业，不需要进行环境影响评价；</w:t>
            </w:r>
            <w:r>
              <w:rPr>
                <w:rFonts w:hint="eastAsia" w:ascii="Times New Roman" w:hAnsi="Times New Roman" w:eastAsia="宋体"/>
                <w:bCs/>
                <w:color w:val="auto"/>
                <w:sz w:val="24"/>
                <w:highlight w:val="none"/>
                <w:lang w:eastAsia="zh-CN"/>
              </w:rPr>
              <w:t>但项目建设</w:t>
            </w:r>
            <w:r>
              <w:rPr>
                <w:rFonts w:hint="eastAsia" w:ascii="Times New Roman" w:hAnsi="Times New Roman" w:eastAsia="宋体"/>
                <w:bCs/>
                <w:color w:val="auto"/>
                <w:sz w:val="24"/>
                <w:highlight w:val="none"/>
                <w:lang w:val="en-US" w:eastAsia="zh-CN"/>
              </w:rPr>
              <w:t>1</w:t>
            </w:r>
            <w:r>
              <w:rPr>
                <w:rFonts w:hint="eastAsia" w:ascii="Times New Roman" w:hAnsi="Times New Roman" w:eastAsia="宋体"/>
                <w:bCs/>
                <w:color w:val="auto"/>
                <w:sz w:val="24"/>
                <w:highlight w:val="none"/>
                <w:lang w:eastAsia="zh-CN"/>
              </w:rPr>
              <w:t>台</w:t>
            </w:r>
            <w:r>
              <w:rPr>
                <w:rFonts w:hint="eastAsia" w:ascii="Times New Roman" w:hAnsi="Times New Roman"/>
                <w:bCs/>
                <w:color w:val="auto"/>
                <w:sz w:val="24"/>
                <w:highlight w:val="none"/>
                <w:lang w:val="en-US" w:eastAsia="zh-CN"/>
              </w:rPr>
              <w:t>3</w:t>
            </w:r>
            <w:r>
              <w:rPr>
                <w:rFonts w:hint="eastAsia" w:ascii="Times New Roman" w:hAnsi="Times New Roman" w:eastAsia="宋体"/>
                <w:bCs/>
                <w:color w:val="auto"/>
                <w:sz w:val="24"/>
                <w:highlight w:val="none"/>
                <w:lang w:eastAsia="zh-CN"/>
              </w:rPr>
              <w:t>t/h生物质蒸汽</w:t>
            </w:r>
            <w:r>
              <w:rPr>
                <w:rFonts w:hint="eastAsia" w:ascii="Times New Roman" w:hAnsi="Times New Roman"/>
                <w:bCs/>
                <w:color w:val="auto"/>
                <w:sz w:val="24"/>
                <w:highlight w:val="none"/>
                <w:lang w:val="en-US" w:eastAsia="zh-CN"/>
              </w:rPr>
              <w:t>发生器</w:t>
            </w:r>
            <w:r>
              <w:rPr>
                <w:rFonts w:hint="eastAsia" w:ascii="Times New Roman" w:hAnsi="Times New Roman" w:eastAsia="宋体"/>
                <w:bCs/>
                <w:color w:val="auto"/>
                <w:sz w:val="24"/>
                <w:highlight w:val="none"/>
                <w:lang w:eastAsia="zh-CN"/>
              </w:rPr>
              <w:t>，按照《中华人民共和国</w:t>
            </w:r>
            <w:r>
              <w:rPr>
                <w:rFonts w:hint="eastAsia"/>
                <w:bCs/>
                <w:color w:val="auto"/>
                <w:sz w:val="24"/>
                <w:highlight w:val="none"/>
                <w:lang w:eastAsia="zh-CN"/>
              </w:rPr>
              <w:t>环境影响评价法</w:t>
            </w:r>
            <w:r>
              <w:rPr>
                <w:rFonts w:hint="eastAsia" w:ascii="Times New Roman" w:hAnsi="Times New Roman" w:eastAsia="宋体"/>
                <w:bCs/>
                <w:color w:val="auto"/>
                <w:sz w:val="24"/>
                <w:highlight w:val="none"/>
                <w:lang w:eastAsia="zh-CN"/>
              </w:rPr>
              <w:t>》和</w:t>
            </w:r>
            <w:r>
              <w:rPr>
                <w:rFonts w:hint="eastAsia" w:ascii="Times New Roman" w:hAnsi="Times New Roman" w:eastAsia="宋体"/>
                <w:bCs/>
                <w:color w:val="auto"/>
                <w:sz w:val="24"/>
                <w:lang w:eastAsia="zh-CN"/>
              </w:rPr>
              <w:t>《建设项目环境影响评价分类管理名录》（2021年版）（以下简称“名录”），生物质蒸汽发生器属于“四十一、电力、热力生产和供应业-91热力生产和供应工程”中“使用其他高污染燃料的（高污染燃料指国环规大气〔2017〕2号《高污染燃料目录》中规定的燃料）”类别，需要编制环境影响报告表。根据《名录》第四条，建设内容涉及两个及以上项目类别的建设项目，其环境影响评价类别按照其中单项等级最高的确定。根据以上规定，项目应编制环境影响报告表。</w:t>
            </w:r>
          </w:p>
          <w:p w14:paraId="3B64555A">
            <w:pPr>
              <w:autoSpaceDE w:val="0"/>
              <w:autoSpaceDN w:val="0"/>
              <w:adjustRightInd w:val="0"/>
              <w:snapToGrid w:val="0"/>
              <w:spacing w:line="360" w:lineRule="auto"/>
              <w:ind w:firstLine="480" w:firstLineChars="200"/>
              <w:outlineLvl w:val="0"/>
              <w:rPr>
                <w:rFonts w:hint="eastAsia" w:ascii="Times New Roman" w:hAnsi="Times New Roman" w:eastAsia="宋体"/>
                <w:bCs/>
                <w:color w:val="auto"/>
                <w:sz w:val="24"/>
                <w:lang w:eastAsia="zh-CN"/>
              </w:rPr>
            </w:pPr>
            <w:r>
              <w:rPr>
                <w:rFonts w:hint="eastAsia" w:ascii="Times New Roman" w:hAnsi="Times New Roman" w:eastAsia="宋体"/>
                <w:bCs/>
                <w:color w:val="auto"/>
                <w:sz w:val="24"/>
                <w:lang w:eastAsia="zh-CN"/>
              </w:rPr>
              <w:t>受</w:t>
            </w:r>
            <w:r>
              <w:rPr>
                <w:rFonts w:hint="eastAsia" w:ascii="Times New Roman" w:hAnsi="Times New Roman"/>
                <w:bCs/>
                <w:color w:val="auto"/>
                <w:sz w:val="24"/>
                <w:lang w:eastAsia="zh-CN"/>
              </w:rPr>
              <w:t>澳力洁(昆明)洗涤有限公司</w:t>
            </w:r>
            <w:r>
              <w:rPr>
                <w:rFonts w:hint="eastAsia" w:ascii="Times New Roman" w:hAnsi="Times New Roman" w:eastAsia="宋体"/>
                <w:bCs/>
                <w:color w:val="auto"/>
                <w:sz w:val="24"/>
                <w:lang w:eastAsia="zh-CN"/>
              </w:rPr>
              <w:t>的委托，我公司（云南清蓝源环保科技有限公司）承担了该项目环境影响报告表的编制工作，并组织人员到现场进行踏勘。经过现场勘查，收集相关资料后，编制了《</w:t>
            </w:r>
            <w:r>
              <w:rPr>
                <w:rFonts w:hint="eastAsia" w:ascii="Times New Roman" w:hAnsi="Times New Roman"/>
                <w:bCs/>
                <w:color w:val="auto"/>
                <w:sz w:val="24"/>
                <w:lang w:eastAsia="zh-CN"/>
              </w:rPr>
              <w:t>澳力洁(昆明)洗涤有限公司布草洗涤项目</w:t>
            </w:r>
            <w:r>
              <w:rPr>
                <w:rFonts w:hint="eastAsia" w:ascii="Times New Roman" w:hAnsi="Times New Roman" w:eastAsia="宋体"/>
                <w:bCs/>
                <w:color w:val="auto"/>
                <w:sz w:val="24"/>
                <w:lang w:eastAsia="zh-CN"/>
              </w:rPr>
              <w:t>环境影响报告表》，供建设单位上报审批。</w:t>
            </w:r>
          </w:p>
          <w:p w14:paraId="6A9D13D6">
            <w:pPr>
              <w:autoSpaceDE w:val="0"/>
              <w:autoSpaceDN w:val="0"/>
              <w:adjustRightInd w:val="0"/>
              <w:snapToGrid w:val="0"/>
              <w:spacing w:line="360" w:lineRule="auto"/>
              <w:ind w:firstLine="482" w:firstLineChars="200"/>
              <w:outlineLvl w:val="0"/>
              <w:rPr>
                <w:rFonts w:ascii="Times New Roman" w:hAnsi="Times New Roman"/>
                <w:b/>
                <w:color w:val="auto"/>
                <w:kern w:val="0"/>
                <w:sz w:val="24"/>
              </w:rPr>
            </w:pPr>
            <w:r>
              <w:rPr>
                <w:rFonts w:hint="eastAsia" w:ascii="Times New Roman" w:hAnsi="Times New Roman"/>
                <w:b/>
                <w:color w:val="auto"/>
                <w:kern w:val="0"/>
                <w:sz w:val="24"/>
                <w:lang w:val="en-US" w:eastAsia="zh-CN"/>
              </w:rPr>
              <w:t>2</w:t>
            </w:r>
            <w:r>
              <w:rPr>
                <w:rFonts w:hint="eastAsia" w:ascii="Times New Roman" w:hAnsi="Times New Roman"/>
                <w:b/>
                <w:color w:val="auto"/>
                <w:kern w:val="0"/>
                <w:sz w:val="24"/>
              </w:rPr>
              <w:t>、</w:t>
            </w:r>
            <w:r>
              <w:rPr>
                <w:rFonts w:ascii="Times New Roman" w:hAnsi="Times New Roman"/>
                <w:b/>
                <w:color w:val="auto"/>
                <w:kern w:val="0"/>
                <w:sz w:val="24"/>
              </w:rPr>
              <w:t>基本概况</w:t>
            </w:r>
          </w:p>
          <w:p w14:paraId="69AAABF9">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项目名称：</w:t>
            </w:r>
            <w:r>
              <w:rPr>
                <w:rFonts w:hint="eastAsia" w:ascii="Times New Roman" w:hAnsi="Times New Roman"/>
                <w:bCs/>
                <w:color w:val="auto"/>
                <w:sz w:val="24"/>
                <w:lang w:eastAsia="zh-CN"/>
              </w:rPr>
              <w:t>澳力洁(昆明)洗涤有限公司布草洗涤项目</w:t>
            </w:r>
          </w:p>
          <w:p w14:paraId="16DD6463">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建设单位：</w:t>
            </w:r>
            <w:r>
              <w:rPr>
                <w:rFonts w:hint="eastAsia" w:ascii="Times New Roman" w:hAnsi="Times New Roman"/>
                <w:bCs/>
                <w:color w:val="auto"/>
                <w:sz w:val="24"/>
                <w:lang w:eastAsia="zh-CN"/>
              </w:rPr>
              <w:t>澳力洁(昆明)洗涤有限公司</w:t>
            </w:r>
          </w:p>
          <w:p w14:paraId="2E06DD04">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建设性质：</w:t>
            </w:r>
            <w:r>
              <w:rPr>
                <w:rFonts w:hint="eastAsia" w:ascii="Times New Roman" w:hAnsi="Times New Roman"/>
                <w:bCs/>
                <w:color w:val="auto"/>
                <w:sz w:val="24"/>
              </w:rPr>
              <w:t>新建</w:t>
            </w:r>
          </w:p>
          <w:p w14:paraId="4D8CD09F">
            <w:pPr>
              <w:tabs>
                <w:tab w:val="left" w:pos="924"/>
              </w:tabs>
              <w:adjustRightInd w:val="0"/>
              <w:snapToGrid w:val="0"/>
              <w:spacing w:line="360" w:lineRule="auto"/>
              <w:ind w:firstLine="480" w:firstLineChars="200"/>
              <w:rPr>
                <w:rFonts w:hint="eastAsia" w:ascii="Times New Roman" w:hAnsi="Times New Roman" w:eastAsia="宋体"/>
                <w:bCs/>
                <w:color w:val="auto"/>
                <w:sz w:val="24"/>
              </w:rPr>
            </w:pPr>
            <w:r>
              <w:rPr>
                <w:rFonts w:ascii="Times New Roman" w:hAnsi="Times New Roman"/>
                <w:bCs/>
                <w:color w:val="auto"/>
                <w:sz w:val="24"/>
              </w:rPr>
              <w:t>建设地</w:t>
            </w:r>
            <w:r>
              <w:rPr>
                <w:rFonts w:ascii="Times New Roman" w:hAnsi="Times New Roman" w:eastAsia="宋体"/>
                <w:bCs/>
                <w:color w:val="auto"/>
                <w:sz w:val="24"/>
              </w:rPr>
              <w:t>点：</w:t>
            </w:r>
            <w:r>
              <w:rPr>
                <w:rFonts w:hint="eastAsia" w:ascii="Times New Roman" w:hAnsi="Times New Roman" w:eastAsia="宋体"/>
                <w:bCs/>
                <w:color w:val="auto"/>
                <w:sz w:val="24"/>
              </w:rPr>
              <w:t>昆明市寻甸县仁德街道办事处易天线小功山</w:t>
            </w:r>
          </w:p>
          <w:p w14:paraId="7C6ACF8D">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项目总投资：</w:t>
            </w:r>
            <w:r>
              <w:rPr>
                <w:rFonts w:hint="eastAsia" w:ascii="Times New Roman" w:hAnsi="Times New Roman"/>
                <w:bCs/>
                <w:color w:val="auto"/>
                <w:sz w:val="24"/>
                <w:lang w:val="en-US" w:eastAsia="zh-CN"/>
              </w:rPr>
              <w:t>200</w:t>
            </w:r>
            <w:r>
              <w:rPr>
                <w:rFonts w:ascii="Times New Roman" w:hAnsi="Times New Roman"/>
                <w:bCs/>
                <w:color w:val="auto"/>
                <w:sz w:val="24"/>
              </w:rPr>
              <w:t>万元</w:t>
            </w:r>
          </w:p>
          <w:p w14:paraId="697F43A5">
            <w:pPr>
              <w:tabs>
                <w:tab w:val="left" w:pos="924"/>
              </w:tabs>
              <w:adjustRightInd w:val="0"/>
              <w:snapToGrid w:val="0"/>
              <w:spacing w:line="360" w:lineRule="auto"/>
              <w:ind w:firstLine="480" w:firstLineChars="200"/>
              <w:rPr>
                <w:rFonts w:hint="eastAsia" w:ascii="Times New Roman" w:hAnsi="Times New Roman" w:eastAsia="宋体"/>
                <w:bCs/>
                <w:color w:val="auto"/>
                <w:sz w:val="24"/>
              </w:rPr>
            </w:pPr>
            <w:r>
              <w:rPr>
                <w:rFonts w:hint="eastAsia" w:ascii="Times New Roman" w:hAnsi="Times New Roman" w:eastAsia="宋体"/>
                <w:bCs/>
                <w:color w:val="auto"/>
                <w:sz w:val="24"/>
              </w:rPr>
              <w:t>项目占地面积：</w:t>
            </w:r>
            <w:r>
              <w:rPr>
                <w:rFonts w:hint="eastAsia" w:ascii="Times New Roman" w:hAnsi="Times New Roman" w:eastAsia="宋体"/>
                <w:bCs/>
                <w:color w:val="auto"/>
                <w:sz w:val="24"/>
                <w:lang w:val="en-US" w:eastAsia="zh-CN"/>
              </w:rPr>
              <w:t>2500</w:t>
            </w:r>
            <w:r>
              <w:rPr>
                <w:rFonts w:hint="eastAsia" w:ascii="Times New Roman" w:hAnsi="Times New Roman" w:eastAsia="宋体"/>
                <w:bCs/>
                <w:color w:val="auto"/>
                <w:sz w:val="24"/>
              </w:rPr>
              <w:t>m</w:t>
            </w:r>
            <w:r>
              <w:rPr>
                <w:rFonts w:hint="eastAsia" w:ascii="Times New Roman" w:hAnsi="Times New Roman" w:eastAsia="宋体"/>
                <w:bCs/>
                <w:color w:val="auto"/>
                <w:sz w:val="24"/>
                <w:vertAlign w:val="superscript"/>
              </w:rPr>
              <w:t>2</w:t>
            </w:r>
          </w:p>
          <w:p w14:paraId="1B2B0F0C">
            <w:pPr>
              <w:tabs>
                <w:tab w:val="left" w:pos="924"/>
              </w:tabs>
              <w:adjustRightInd w:val="0"/>
              <w:snapToGrid w:val="0"/>
              <w:spacing w:line="360" w:lineRule="auto"/>
              <w:ind w:firstLine="480" w:firstLineChars="200"/>
              <w:rPr>
                <w:rFonts w:hint="default" w:ascii="Times New Roman" w:hAnsi="Times New Roman"/>
                <w:bCs/>
                <w:color w:val="auto"/>
                <w:sz w:val="24"/>
                <w:lang w:val="en-US" w:eastAsia="zh-CN"/>
              </w:rPr>
            </w:pPr>
            <w:r>
              <w:rPr>
                <w:rFonts w:hint="eastAsia" w:ascii="Times New Roman" w:hAnsi="Times New Roman" w:eastAsia="宋体"/>
                <w:bCs/>
                <w:color w:val="auto"/>
                <w:sz w:val="24"/>
                <w:lang w:eastAsia="zh-CN"/>
              </w:rPr>
              <w:t>建设内容：</w:t>
            </w:r>
            <w:r>
              <w:rPr>
                <w:rFonts w:hint="eastAsia" w:ascii="Times New Roman" w:hAnsi="Times New Roman" w:eastAsia="宋体"/>
                <w:bCs/>
                <w:color w:val="auto"/>
                <w:sz w:val="24"/>
                <w:lang w:val="en-US" w:eastAsia="zh-CN"/>
              </w:rPr>
              <w:t>项目租用寻甸仁德子超养殖场内部分已建厂房</w:t>
            </w:r>
            <w:r>
              <w:rPr>
                <w:rFonts w:hint="eastAsia" w:ascii="Times New Roman" w:hAnsi="Times New Roman" w:eastAsia="宋体"/>
                <w:bCs/>
                <w:color w:val="auto"/>
                <w:sz w:val="24"/>
                <w:lang w:eastAsia="zh-CN"/>
              </w:rPr>
              <w:t>进行</w:t>
            </w:r>
            <w:r>
              <w:rPr>
                <w:rFonts w:hint="eastAsia" w:ascii="Times New Roman" w:hAnsi="Times New Roman" w:eastAsia="宋体"/>
                <w:bCs/>
                <w:color w:val="auto"/>
                <w:sz w:val="24"/>
                <w:lang w:val="en-US" w:eastAsia="zh-CN"/>
              </w:rPr>
              <w:t>生产</w:t>
            </w:r>
            <w:r>
              <w:rPr>
                <w:rFonts w:hint="eastAsia" w:ascii="Times New Roman" w:hAnsi="Times New Roman" w:eastAsia="宋体"/>
                <w:bCs/>
                <w:color w:val="auto"/>
                <w:sz w:val="24"/>
                <w:lang w:eastAsia="zh-CN"/>
              </w:rPr>
              <w:t>使用，</w:t>
            </w:r>
            <w:r>
              <w:rPr>
                <w:rFonts w:hint="eastAsia" w:ascii="Times New Roman" w:hAnsi="Times New Roman"/>
                <w:bCs/>
                <w:color w:val="auto"/>
                <w:sz w:val="24"/>
                <w:highlight w:val="none"/>
                <w:lang w:val="en-US" w:eastAsia="zh-CN"/>
              </w:rPr>
              <w:t>根据现有已建厂房布局，项目设置2条</w:t>
            </w:r>
            <w:r>
              <w:rPr>
                <w:rFonts w:hint="eastAsia" w:ascii="Times New Roman" w:hAnsi="Times New Roman" w:eastAsia="宋体"/>
                <w:bCs/>
                <w:color w:val="auto"/>
                <w:sz w:val="24"/>
                <w:lang w:eastAsia="zh-CN"/>
              </w:rPr>
              <w:t>酒店布草、理发店毛巾</w:t>
            </w:r>
            <w:r>
              <w:rPr>
                <w:rFonts w:hint="eastAsia" w:ascii="Times New Roman" w:hAnsi="Times New Roman" w:eastAsia="宋体"/>
                <w:bCs/>
                <w:color w:val="auto"/>
                <w:sz w:val="24"/>
                <w:lang w:val="en-US" w:eastAsia="zh-CN"/>
              </w:rPr>
              <w:t>洗涤</w:t>
            </w:r>
            <w:r>
              <w:rPr>
                <w:rFonts w:hint="eastAsia" w:ascii="Times New Roman" w:hAnsi="Times New Roman"/>
                <w:bCs/>
                <w:color w:val="auto"/>
                <w:sz w:val="24"/>
                <w:highlight w:val="none"/>
                <w:lang w:val="en-US" w:eastAsia="zh-CN"/>
              </w:rPr>
              <w:t>生产</w:t>
            </w:r>
            <w:r>
              <w:rPr>
                <w:rFonts w:hint="eastAsia" w:ascii="Times New Roman" w:hAnsi="Times New Roman" w:eastAsia="宋体"/>
                <w:bCs/>
                <w:color w:val="auto"/>
                <w:sz w:val="24"/>
                <w:highlight w:val="none"/>
                <w:lang w:val="en-US" w:eastAsia="zh-CN"/>
              </w:rPr>
              <w:t>线，内设生产区（洗涤区）、污水处理区、锅炉区等，项目建设后生产规模为洗涤量为 70万套/年，项目不涉及干洗，不设食宿。</w:t>
            </w:r>
          </w:p>
          <w:p w14:paraId="2DFCD7EC">
            <w:pPr>
              <w:autoSpaceDE w:val="0"/>
              <w:autoSpaceDN w:val="0"/>
              <w:adjustRightInd w:val="0"/>
              <w:snapToGrid w:val="0"/>
              <w:spacing w:line="360" w:lineRule="auto"/>
              <w:ind w:firstLine="482"/>
              <w:outlineLvl w:val="0"/>
              <w:rPr>
                <w:rFonts w:ascii="Times New Roman" w:hAnsi="Times New Roman"/>
                <w:b/>
                <w:color w:val="auto"/>
                <w:sz w:val="24"/>
              </w:rPr>
            </w:pPr>
            <w:r>
              <w:rPr>
                <w:rFonts w:hint="eastAsia" w:ascii="Times New Roman" w:hAnsi="Times New Roman"/>
                <w:b/>
                <w:color w:val="auto"/>
                <w:sz w:val="24"/>
                <w:lang w:val="en-US" w:eastAsia="zh-CN"/>
              </w:rPr>
              <w:t>3</w:t>
            </w:r>
            <w:r>
              <w:rPr>
                <w:rFonts w:hint="eastAsia" w:ascii="Times New Roman" w:hAnsi="Times New Roman"/>
                <w:b/>
                <w:color w:val="auto"/>
                <w:sz w:val="24"/>
              </w:rPr>
              <w:t>、</w:t>
            </w:r>
            <w:r>
              <w:rPr>
                <w:rFonts w:ascii="Times New Roman" w:hAnsi="Times New Roman"/>
                <w:b/>
                <w:color w:val="auto"/>
                <w:sz w:val="24"/>
              </w:rPr>
              <w:t>工程组成</w:t>
            </w:r>
          </w:p>
          <w:p w14:paraId="0569BCA1">
            <w:pPr>
              <w:tabs>
                <w:tab w:val="left" w:pos="2280"/>
              </w:tabs>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项目建设内容包括主体工程、辅助工程、公用工程和环保工程，</w:t>
            </w:r>
            <w:r>
              <w:rPr>
                <w:rFonts w:ascii="Times New Roman" w:hAnsi="Times New Roman"/>
                <w:color w:val="auto"/>
                <w:sz w:val="24"/>
              </w:rPr>
              <w:t>项目工程内容见表</w:t>
            </w:r>
            <w:r>
              <w:rPr>
                <w:rFonts w:hint="eastAsia" w:ascii="Times New Roman" w:hAnsi="Times New Roman"/>
                <w:color w:val="auto"/>
                <w:sz w:val="24"/>
              </w:rPr>
              <w:t>2</w:t>
            </w:r>
            <w:r>
              <w:rPr>
                <w:rFonts w:ascii="Times New Roman" w:hAnsi="Times New Roman"/>
                <w:color w:val="auto"/>
                <w:sz w:val="24"/>
              </w:rPr>
              <w:t>-</w:t>
            </w:r>
            <w:r>
              <w:rPr>
                <w:rFonts w:hint="eastAsia" w:ascii="Times New Roman" w:hAnsi="Times New Roman"/>
                <w:color w:val="auto"/>
                <w:sz w:val="24"/>
              </w:rPr>
              <w:t>1</w:t>
            </w:r>
            <w:r>
              <w:rPr>
                <w:rFonts w:ascii="Times New Roman" w:hAnsi="Times New Roman"/>
                <w:color w:val="auto"/>
                <w:sz w:val="24"/>
              </w:rPr>
              <w:t>。</w:t>
            </w:r>
          </w:p>
          <w:p w14:paraId="339239AC">
            <w:pPr>
              <w:tabs>
                <w:tab w:val="left" w:pos="2280"/>
              </w:tabs>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ascii="Times New Roman" w:hAnsi="Times New Roman"/>
                <w:b/>
                <w:color w:val="auto"/>
                <w:szCs w:val="21"/>
              </w:rPr>
              <w:t>-</w:t>
            </w:r>
            <w:r>
              <w:rPr>
                <w:rFonts w:hint="eastAsia" w:ascii="Times New Roman" w:hAnsi="Times New Roman"/>
                <w:b/>
                <w:color w:val="auto"/>
                <w:szCs w:val="21"/>
              </w:rPr>
              <w:t>1</w:t>
            </w:r>
            <w:r>
              <w:rPr>
                <w:rFonts w:ascii="Times New Roman" w:hAnsi="Times New Roman"/>
                <w:b/>
                <w:color w:val="auto"/>
                <w:szCs w:val="21"/>
              </w:rPr>
              <w:t>项目工程组成一览表</w:t>
            </w:r>
          </w:p>
          <w:tbl>
            <w:tblPr>
              <w:tblStyle w:val="28"/>
              <w:tblW w:w="8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26"/>
              <w:gridCol w:w="1108"/>
              <w:gridCol w:w="5029"/>
              <w:gridCol w:w="971"/>
            </w:tblGrid>
            <w:tr w14:paraId="0D5F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38" w:type="dxa"/>
                  <w:vAlign w:val="center"/>
                </w:tcPr>
                <w:p w14:paraId="0CF20B19">
                  <w:pPr>
                    <w:contextualSpacing/>
                    <w:jc w:val="center"/>
                    <w:rPr>
                      <w:rFonts w:hint="eastAsia" w:ascii="Times New Roman" w:hAnsi="Times New Roman" w:eastAsia="宋体" w:cs="宋体"/>
                      <w:b/>
                      <w:color w:val="auto"/>
                      <w:spacing w:val="-10"/>
                      <w:sz w:val="21"/>
                      <w:szCs w:val="21"/>
                    </w:rPr>
                  </w:pPr>
                  <w:r>
                    <w:rPr>
                      <w:rFonts w:hint="eastAsia" w:ascii="Times New Roman" w:hAnsi="Times New Roman" w:eastAsia="宋体" w:cs="宋体"/>
                      <w:b/>
                      <w:color w:val="auto"/>
                      <w:sz w:val="21"/>
                      <w:szCs w:val="21"/>
                    </w:rPr>
                    <w:t>工程内容</w:t>
                  </w:r>
                </w:p>
              </w:tc>
              <w:tc>
                <w:tcPr>
                  <w:tcW w:w="1534" w:type="dxa"/>
                  <w:gridSpan w:val="2"/>
                  <w:vAlign w:val="center"/>
                </w:tcPr>
                <w:p w14:paraId="373F998F">
                  <w:pPr>
                    <w:contextualSpacing/>
                    <w:jc w:val="center"/>
                    <w:rPr>
                      <w:rFonts w:hint="eastAsia" w:ascii="Times New Roman" w:hAnsi="Times New Roman" w:eastAsia="宋体" w:cs="宋体"/>
                      <w:b/>
                      <w:color w:val="auto"/>
                      <w:spacing w:val="-10"/>
                      <w:sz w:val="21"/>
                      <w:szCs w:val="21"/>
                    </w:rPr>
                  </w:pPr>
                  <w:r>
                    <w:rPr>
                      <w:rFonts w:hint="eastAsia" w:ascii="Times New Roman" w:hAnsi="Times New Roman" w:eastAsia="宋体" w:cs="宋体"/>
                      <w:b/>
                      <w:color w:val="auto"/>
                      <w:spacing w:val="-10"/>
                      <w:sz w:val="21"/>
                      <w:szCs w:val="21"/>
                    </w:rPr>
                    <w:t>工程名称</w:t>
                  </w:r>
                </w:p>
              </w:tc>
              <w:tc>
                <w:tcPr>
                  <w:tcW w:w="5029" w:type="dxa"/>
                  <w:vAlign w:val="center"/>
                </w:tcPr>
                <w:p w14:paraId="36F05E99">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b/>
                      <w:color w:val="auto"/>
                      <w:sz w:val="21"/>
                      <w:szCs w:val="21"/>
                    </w:rPr>
                    <w:t>建设内容及功能</w:t>
                  </w:r>
                </w:p>
              </w:tc>
              <w:tc>
                <w:tcPr>
                  <w:tcW w:w="971" w:type="dxa"/>
                  <w:vAlign w:val="center"/>
                </w:tcPr>
                <w:p w14:paraId="32032D86">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b/>
                      <w:color w:val="auto"/>
                      <w:sz w:val="21"/>
                      <w:szCs w:val="21"/>
                    </w:rPr>
                    <w:t>备注</w:t>
                  </w:r>
                </w:p>
              </w:tc>
            </w:tr>
            <w:tr w14:paraId="25D8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38" w:type="dxa"/>
                  <w:vMerge w:val="restart"/>
                  <w:vAlign w:val="center"/>
                </w:tcPr>
                <w:p w14:paraId="2A4F9394">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color w:val="auto"/>
                      <w:sz w:val="21"/>
                      <w:szCs w:val="21"/>
                    </w:rPr>
                    <w:t>主体工程</w:t>
                  </w:r>
                </w:p>
              </w:tc>
              <w:tc>
                <w:tcPr>
                  <w:tcW w:w="1534" w:type="dxa"/>
                  <w:gridSpan w:val="2"/>
                  <w:shd w:val="clear" w:color="auto" w:fill="auto"/>
                  <w:vAlign w:val="center"/>
                </w:tcPr>
                <w:p w14:paraId="7D3C125B">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1</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rPr>
                    <w:t>洗涤</w:t>
                  </w:r>
                  <w:r>
                    <w:rPr>
                      <w:rFonts w:hint="eastAsia" w:ascii="Times New Roman" w:hAnsi="Times New Roman" w:eastAsia="宋体" w:cs="宋体"/>
                      <w:bCs/>
                      <w:color w:val="auto"/>
                      <w:sz w:val="21"/>
                      <w:szCs w:val="21"/>
                      <w:lang w:val="en-US" w:eastAsia="zh-CN"/>
                    </w:rPr>
                    <w:t>生产线</w:t>
                  </w:r>
                </w:p>
              </w:tc>
              <w:tc>
                <w:tcPr>
                  <w:tcW w:w="5029" w:type="dxa"/>
                  <w:shd w:val="clear" w:color="auto" w:fill="auto"/>
                  <w:vAlign w:val="center"/>
                </w:tcPr>
                <w:p w14:paraId="7B02C353">
                  <w:pPr>
                    <w:contextualSpacing/>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sz w:val="21"/>
                      <w:szCs w:val="21"/>
                      <w:lang w:val="en-US" w:eastAsia="zh-CN"/>
                    </w:rPr>
                    <w:t>建筑</w:t>
                  </w:r>
                  <w:r>
                    <w:rPr>
                      <w:rFonts w:hint="eastAsia" w:ascii="Times New Roman" w:hAnsi="Times New Roman" w:eastAsia="宋体" w:cs="宋体"/>
                      <w:bCs/>
                      <w:color w:val="auto"/>
                      <w:sz w:val="21"/>
                      <w:szCs w:val="21"/>
                    </w:rPr>
                    <w:t>面积约</w:t>
                  </w:r>
                  <w:r>
                    <w:rPr>
                      <w:rFonts w:hint="eastAsia" w:ascii="Times New Roman" w:hAnsi="Times New Roman" w:eastAsia="宋体" w:cs="宋体"/>
                      <w:bCs/>
                      <w:color w:val="auto"/>
                      <w:sz w:val="21"/>
                      <w:szCs w:val="21"/>
                      <w:lang w:val="en-US" w:eastAsia="zh-CN"/>
                    </w:rPr>
                    <w:t>500</w:t>
                  </w:r>
                  <w:r>
                    <w:rPr>
                      <w:rFonts w:hint="eastAsia" w:ascii="Times New Roman" w:hAnsi="Times New Roman" w:eastAsia="宋体" w:cs="宋体"/>
                      <w:bCs/>
                      <w:color w:val="auto"/>
                      <w:sz w:val="21"/>
                      <w:szCs w:val="21"/>
                    </w:rPr>
                    <w:t>m</w:t>
                  </w:r>
                  <w:r>
                    <w:rPr>
                      <w:rFonts w:hint="eastAsia" w:ascii="Times New Roman" w:hAnsi="Times New Roman" w:eastAsia="宋体" w:cs="宋体"/>
                      <w:bCs/>
                      <w:color w:val="auto"/>
                      <w:sz w:val="21"/>
                      <w:szCs w:val="21"/>
                      <w:vertAlign w:val="superscript"/>
                    </w:rPr>
                    <w:t>2</w:t>
                  </w:r>
                  <w:r>
                    <w:rPr>
                      <w:rFonts w:hint="eastAsia" w:ascii="Times New Roman" w:hAnsi="Times New Roman" w:eastAsia="宋体" w:cs="宋体"/>
                      <w:bCs/>
                      <w:color w:val="auto"/>
                      <w:sz w:val="21"/>
                      <w:szCs w:val="21"/>
                    </w:rPr>
                    <w:t>，位于项目</w:t>
                  </w:r>
                  <w:r>
                    <w:rPr>
                      <w:rFonts w:hint="eastAsia" w:ascii="Times New Roman" w:hAnsi="Times New Roman" w:cs="宋体"/>
                      <w:bCs/>
                      <w:color w:val="auto"/>
                      <w:sz w:val="21"/>
                      <w:szCs w:val="21"/>
                      <w:lang w:val="en-US" w:eastAsia="zh-CN"/>
                    </w:rPr>
                    <w:t>东</w:t>
                  </w:r>
                  <w:r>
                    <w:rPr>
                      <w:rFonts w:hint="eastAsia" w:ascii="Times New Roman" w:hAnsi="Times New Roman" w:eastAsia="宋体" w:cs="宋体"/>
                      <w:bCs/>
                      <w:color w:val="auto"/>
                      <w:sz w:val="21"/>
                      <w:szCs w:val="21"/>
                      <w:lang w:val="en-US" w:eastAsia="zh-CN"/>
                    </w:rPr>
                    <w:t>侧</w:t>
                  </w:r>
                  <w:r>
                    <w:rPr>
                      <w:rFonts w:hint="eastAsia" w:ascii="Times New Roman" w:hAnsi="Times New Roman" w:eastAsia="宋体" w:cs="宋体"/>
                      <w:bCs/>
                      <w:color w:val="auto"/>
                      <w:sz w:val="21"/>
                      <w:szCs w:val="21"/>
                    </w:rPr>
                    <w:t>，配置</w:t>
                  </w:r>
                  <w:r>
                    <w:rPr>
                      <w:rFonts w:hint="eastAsia" w:ascii="Times New Roman" w:hAnsi="Times New Roman" w:eastAsia="宋体" w:cs="宋体"/>
                      <w:bCs/>
                      <w:color w:val="auto"/>
                      <w:sz w:val="21"/>
                      <w:szCs w:val="21"/>
                      <w:lang w:val="en-US" w:eastAsia="zh-CN"/>
                    </w:rPr>
                    <w:t>4</w:t>
                  </w:r>
                  <w:r>
                    <w:rPr>
                      <w:rFonts w:hint="eastAsia" w:ascii="Times New Roman" w:hAnsi="Times New Roman" w:eastAsia="宋体" w:cs="宋体"/>
                      <w:bCs/>
                      <w:color w:val="auto"/>
                      <w:sz w:val="21"/>
                      <w:szCs w:val="21"/>
                    </w:rPr>
                    <w:t>台</w:t>
                  </w:r>
                  <w:r>
                    <w:rPr>
                      <w:rFonts w:hint="eastAsia" w:ascii="Times New Roman" w:hAnsi="Times New Roman" w:eastAsia="宋体" w:cs="宋体"/>
                      <w:bCs/>
                      <w:color w:val="auto"/>
                      <w:sz w:val="21"/>
                      <w:szCs w:val="21"/>
                      <w:lang w:val="en-US" w:eastAsia="zh-CN"/>
                    </w:rPr>
                    <w:t>洗脱机（3用1备）</w:t>
                  </w:r>
                  <w:r>
                    <w:rPr>
                      <w:rFonts w:hint="eastAsia" w:ascii="Times New Roman" w:hAnsi="Times New Roman" w:eastAsia="宋体" w:cs="宋体"/>
                      <w:bCs/>
                      <w:color w:val="auto"/>
                      <w:sz w:val="21"/>
                      <w:szCs w:val="21"/>
                    </w:rPr>
                    <w:t>、3台烘干机、1台烫平机、1台折叠机、1台送布机。</w:t>
                  </w:r>
                  <w:r>
                    <w:rPr>
                      <w:rFonts w:hint="eastAsia" w:ascii="Times New Roman" w:hAnsi="Times New Roman" w:eastAsia="宋体" w:cs="宋体"/>
                      <w:bCs/>
                      <w:color w:val="auto"/>
                      <w:sz w:val="21"/>
                      <w:szCs w:val="21"/>
                      <w:lang w:val="en-US" w:eastAsia="zh-CN"/>
                    </w:rPr>
                    <w:t>内部</w:t>
                  </w:r>
                  <w:r>
                    <w:rPr>
                      <w:rFonts w:hint="eastAsia" w:ascii="Times New Roman" w:hAnsi="Times New Roman" w:eastAsia="宋体" w:cs="宋体"/>
                      <w:bCs/>
                      <w:color w:val="auto"/>
                      <w:sz w:val="21"/>
                      <w:szCs w:val="21"/>
                    </w:rPr>
                    <w:t>设置</w:t>
                  </w:r>
                  <w:r>
                    <w:rPr>
                      <w:rFonts w:hint="eastAsia" w:ascii="Times New Roman" w:hAnsi="Times New Roman" w:eastAsia="宋体" w:cs="宋体"/>
                      <w:bCs/>
                      <w:color w:val="auto"/>
                      <w:sz w:val="21"/>
                      <w:szCs w:val="21"/>
                      <w:lang w:val="en-US" w:eastAsia="zh-CN"/>
                    </w:rPr>
                    <w:t>为</w:t>
                  </w:r>
                  <w:r>
                    <w:rPr>
                      <w:rFonts w:hint="eastAsia" w:ascii="Times New Roman" w:hAnsi="Times New Roman" w:cs="宋体"/>
                      <w:bCs/>
                      <w:color w:val="auto"/>
                      <w:sz w:val="21"/>
                      <w:szCs w:val="21"/>
                      <w:lang w:val="en-US" w:eastAsia="zh-CN"/>
                    </w:rPr>
                    <w:t>分拣区、</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脱区、</w:t>
                  </w:r>
                  <w:r>
                    <w:rPr>
                      <w:rFonts w:hint="eastAsia" w:ascii="Times New Roman" w:hAnsi="Times New Roman" w:eastAsia="宋体" w:cs="宋体"/>
                      <w:bCs/>
                      <w:color w:val="auto"/>
                      <w:sz w:val="21"/>
                      <w:szCs w:val="21"/>
                    </w:rPr>
                    <w:t>烘干区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熨烫区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折叠</w:t>
                  </w:r>
                  <w:r>
                    <w:rPr>
                      <w:rFonts w:hint="eastAsia" w:ascii="Times New Roman" w:hAnsi="Times New Roman" w:cs="宋体"/>
                      <w:bCs/>
                      <w:color w:val="auto"/>
                      <w:sz w:val="21"/>
                      <w:szCs w:val="21"/>
                      <w:lang w:val="en-US" w:eastAsia="zh-CN"/>
                    </w:rPr>
                    <w:t>区</w:t>
                  </w:r>
                  <w:r>
                    <w:rPr>
                      <w:rFonts w:hint="eastAsia" w:ascii="Times New Roman" w:hAnsi="Times New Roman" w:eastAsia="宋体" w:cs="宋体"/>
                      <w:bCs/>
                      <w:color w:val="auto"/>
                      <w:sz w:val="21"/>
                      <w:szCs w:val="21"/>
                    </w:rPr>
                    <w:t>。</w:t>
                  </w:r>
                </w:p>
              </w:tc>
              <w:tc>
                <w:tcPr>
                  <w:tcW w:w="971" w:type="dxa"/>
                  <w:vMerge w:val="restart"/>
                  <w:vAlign w:val="center"/>
                </w:tcPr>
                <w:p w14:paraId="27D61478">
                  <w:pPr>
                    <w:jc w:val="center"/>
                    <w:rPr>
                      <w:rFonts w:hint="default" w:ascii="Times New Roman" w:hAnsi="Times New Roman" w:eastAsia="宋体" w:cs="宋体"/>
                      <w:bCs/>
                      <w:color w:val="auto"/>
                      <w:sz w:val="21"/>
                      <w:szCs w:val="21"/>
                      <w:lang w:val="en-US"/>
                    </w:rPr>
                  </w:pPr>
                  <w:r>
                    <w:rPr>
                      <w:rFonts w:hint="eastAsia" w:ascii="Times New Roman" w:hAnsi="Times New Roman" w:eastAsia="宋体" w:cs="宋体"/>
                      <w:color w:val="auto"/>
                      <w:sz w:val="21"/>
                      <w:szCs w:val="21"/>
                    </w:rPr>
                    <w:t>租赁已建厂房</w:t>
                  </w:r>
                  <w:r>
                    <w:rPr>
                      <w:rFonts w:hint="eastAsia" w:ascii="Times New Roman" w:hAnsi="Times New Roman" w:cs="宋体"/>
                      <w:color w:val="auto"/>
                      <w:sz w:val="21"/>
                      <w:szCs w:val="21"/>
                      <w:lang w:val="en-US" w:eastAsia="zh-CN"/>
                    </w:rPr>
                    <w:t>进行建设，厂房高度3m</w:t>
                  </w:r>
                </w:p>
              </w:tc>
            </w:tr>
            <w:tr w14:paraId="7716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38" w:type="dxa"/>
                  <w:vMerge w:val="continue"/>
                  <w:vAlign w:val="center"/>
                </w:tcPr>
                <w:p w14:paraId="08722FFD">
                  <w:pPr>
                    <w:contextualSpacing/>
                    <w:jc w:val="center"/>
                    <w:rPr>
                      <w:rFonts w:hint="eastAsia" w:ascii="Times New Roman" w:hAnsi="Times New Roman" w:eastAsia="宋体" w:cs="宋体"/>
                      <w:color w:val="auto"/>
                      <w:sz w:val="21"/>
                      <w:szCs w:val="21"/>
                    </w:rPr>
                  </w:pPr>
                </w:p>
              </w:tc>
              <w:tc>
                <w:tcPr>
                  <w:tcW w:w="1534" w:type="dxa"/>
                  <w:gridSpan w:val="2"/>
                  <w:vAlign w:val="center"/>
                </w:tcPr>
                <w:p w14:paraId="2438DF97">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2</w:t>
                  </w:r>
                  <w:r>
                    <w:rPr>
                      <w:rFonts w:hint="eastAsia" w:ascii="Times New Roman" w:hAnsi="Times New Roman" w:cs="宋体"/>
                      <w:bCs/>
                      <w:color w:val="auto"/>
                      <w:sz w:val="21"/>
                      <w:szCs w:val="21"/>
                      <w:lang w:val="en-US" w:eastAsia="zh-CN"/>
                    </w:rPr>
                    <w:t>#洗涤</w:t>
                  </w:r>
                  <w:r>
                    <w:rPr>
                      <w:rFonts w:hint="eastAsia" w:ascii="Times New Roman" w:hAnsi="Times New Roman" w:eastAsia="宋体" w:cs="宋体"/>
                      <w:bCs/>
                      <w:color w:val="auto"/>
                      <w:sz w:val="21"/>
                      <w:szCs w:val="21"/>
                      <w:lang w:val="en-US" w:eastAsia="zh-CN"/>
                    </w:rPr>
                    <w:t>生产线</w:t>
                  </w:r>
                </w:p>
              </w:tc>
              <w:tc>
                <w:tcPr>
                  <w:tcW w:w="5029" w:type="dxa"/>
                  <w:shd w:val="clear" w:color="auto" w:fill="auto"/>
                  <w:vAlign w:val="center"/>
                </w:tcPr>
                <w:p w14:paraId="2E47B089">
                  <w:pPr>
                    <w:contextualSpacing/>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sz w:val="21"/>
                      <w:szCs w:val="21"/>
                      <w:lang w:val="en-US" w:eastAsia="zh-CN"/>
                    </w:rPr>
                    <w:t>建筑</w:t>
                  </w:r>
                  <w:r>
                    <w:rPr>
                      <w:rFonts w:hint="eastAsia" w:ascii="Times New Roman" w:hAnsi="Times New Roman" w:eastAsia="宋体" w:cs="宋体"/>
                      <w:bCs/>
                      <w:color w:val="auto"/>
                      <w:sz w:val="21"/>
                      <w:szCs w:val="21"/>
                    </w:rPr>
                    <w:t>面积约</w:t>
                  </w:r>
                  <w:r>
                    <w:rPr>
                      <w:rFonts w:hint="eastAsia" w:ascii="Times New Roman" w:hAnsi="Times New Roman" w:cs="宋体"/>
                      <w:bCs/>
                      <w:color w:val="auto"/>
                      <w:sz w:val="21"/>
                      <w:szCs w:val="21"/>
                      <w:lang w:val="en-US" w:eastAsia="zh-CN"/>
                    </w:rPr>
                    <w:t>3</w:t>
                  </w:r>
                  <w:r>
                    <w:rPr>
                      <w:rFonts w:hint="eastAsia" w:ascii="Times New Roman" w:hAnsi="Times New Roman" w:eastAsia="宋体" w:cs="宋体"/>
                      <w:bCs/>
                      <w:color w:val="auto"/>
                      <w:sz w:val="21"/>
                      <w:szCs w:val="21"/>
                      <w:lang w:val="en-US" w:eastAsia="zh-CN"/>
                    </w:rPr>
                    <w:t>00</w:t>
                  </w:r>
                  <w:r>
                    <w:rPr>
                      <w:rFonts w:hint="eastAsia" w:ascii="Times New Roman" w:hAnsi="Times New Roman" w:eastAsia="宋体" w:cs="宋体"/>
                      <w:bCs/>
                      <w:color w:val="auto"/>
                      <w:sz w:val="21"/>
                      <w:szCs w:val="21"/>
                    </w:rPr>
                    <w:t>m</w:t>
                  </w:r>
                  <w:r>
                    <w:rPr>
                      <w:rFonts w:hint="eastAsia" w:ascii="Times New Roman" w:hAnsi="Times New Roman" w:eastAsia="宋体" w:cs="宋体"/>
                      <w:bCs/>
                      <w:color w:val="auto"/>
                      <w:sz w:val="21"/>
                      <w:szCs w:val="21"/>
                      <w:vertAlign w:val="superscript"/>
                    </w:rPr>
                    <w:t>2</w:t>
                  </w:r>
                  <w:r>
                    <w:rPr>
                      <w:rFonts w:hint="eastAsia" w:ascii="Times New Roman" w:hAnsi="Times New Roman" w:eastAsia="宋体" w:cs="宋体"/>
                      <w:bCs/>
                      <w:color w:val="auto"/>
                      <w:sz w:val="21"/>
                      <w:szCs w:val="21"/>
                    </w:rPr>
                    <w:t>，位于项目</w:t>
                  </w:r>
                  <w:r>
                    <w:rPr>
                      <w:rFonts w:hint="eastAsia" w:ascii="Times New Roman" w:hAnsi="Times New Roman" w:eastAsia="宋体" w:cs="宋体"/>
                      <w:bCs/>
                      <w:color w:val="auto"/>
                      <w:sz w:val="21"/>
                      <w:szCs w:val="21"/>
                      <w:lang w:val="en-US" w:eastAsia="zh-CN"/>
                    </w:rPr>
                    <w:t>西</w:t>
                  </w:r>
                  <w:r>
                    <w:rPr>
                      <w:rFonts w:hint="eastAsia" w:ascii="Times New Roman" w:hAnsi="Times New Roman" w:cs="宋体"/>
                      <w:bCs/>
                      <w:color w:val="auto"/>
                      <w:sz w:val="21"/>
                      <w:szCs w:val="21"/>
                      <w:lang w:val="en-US" w:eastAsia="zh-CN"/>
                    </w:rPr>
                    <w:t>南</w:t>
                  </w:r>
                  <w:r>
                    <w:rPr>
                      <w:rFonts w:hint="eastAsia" w:ascii="Times New Roman" w:hAnsi="Times New Roman" w:eastAsia="宋体" w:cs="宋体"/>
                      <w:bCs/>
                      <w:color w:val="auto"/>
                      <w:sz w:val="21"/>
                      <w:szCs w:val="21"/>
                      <w:lang w:val="en-US" w:eastAsia="zh-CN"/>
                    </w:rPr>
                    <w:t>侧</w:t>
                  </w:r>
                  <w:r>
                    <w:rPr>
                      <w:rFonts w:hint="eastAsia" w:ascii="Times New Roman" w:hAnsi="Times New Roman" w:eastAsia="宋体" w:cs="宋体"/>
                      <w:bCs/>
                      <w:color w:val="auto"/>
                      <w:sz w:val="21"/>
                      <w:szCs w:val="21"/>
                    </w:rPr>
                    <w:t>，配置</w:t>
                  </w:r>
                  <w:r>
                    <w:rPr>
                      <w:rFonts w:hint="eastAsia" w:ascii="Times New Roman" w:hAnsi="Times New Roman" w:cs="宋体"/>
                      <w:bCs/>
                      <w:color w:val="auto"/>
                      <w:sz w:val="21"/>
                      <w:szCs w:val="21"/>
                      <w:lang w:val="en-US" w:eastAsia="zh-CN"/>
                    </w:rPr>
                    <w:t>2</w:t>
                  </w:r>
                  <w:r>
                    <w:rPr>
                      <w:rFonts w:hint="eastAsia" w:ascii="Times New Roman" w:hAnsi="Times New Roman" w:eastAsia="宋体" w:cs="宋体"/>
                      <w:bCs/>
                      <w:color w:val="auto"/>
                      <w:sz w:val="21"/>
                      <w:szCs w:val="21"/>
                    </w:rPr>
                    <w:t>台</w:t>
                  </w:r>
                  <w:r>
                    <w:rPr>
                      <w:rFonts w:hint="eastAsia" w:ascii="Times New Roman" w:hAnsi="Times New Roman" w:eastAsia="宋体" w:cs="宋体"/>
                      <w:bCs/>
                      <w:color w:val="auto"/>
                      <w:sz w:val="21"/>
                      <w:szCs w:val="21"/>
                      <w:lang w:val="en-US" w:eastAsia="zh-CN"/>
                    </w:rPr>
                    <w:t>洗脱机</w:t>
                  </w:r>
                  <w:r>
                    <w:rPr>
                      <w:rFonts w:hint="eastAsia" w:ascii="Times New Roman" w:hAnsi="Times New Roman" w:eastAsia="宋体" w:cs="宋体"/>
                      <w:bCs/>
                      <w:color w:val="auto"/>
                      <w:sz w:val="21"/>
                      <w:szCs w:val="21"/>
                    </w:rPr>
                    <w:t>、</w:t>
                  </w:r>
                  <w:r>
                    <w:rPr>
                      <w:rFonts w:hint="eastAsia" w:ascii="Times New Roman" w:hAnsi="Times New Roman" w:cs="宋体"/>
                      <w:bCs/>
                      <w:color w:val="auto"/>
                      <w:sz w:val="21"/>
                      <w:szCs w:val="21"/>
                      <w:lang w:val="en-US" w:eastAsia="zh-CN"/>
                    </w:rPr>
                    <w:t>1</w:t>
                  </w:r>
                  <w:r>
                    <w:rPr>
                      <w:rFonts w:hint="eastAsia" w:ascii="Times New Roman" w:hAnsi="Times New Roman" w:eastAsia="宋体" w:cs="宋体"/>
                      <w:bCs/>
                      <w:color w:val="auto"/>
                      <w:sz w:val="21"/>
                      <w:szCs w:val="21"/>
                    </w:rPr>
                    <w:t>台烘干机、1台烫平机、1台折叠机、1台送布机。</w:t>
                  </w:r>
                  <w:r>
                    <w:rPr>
                      <w:rFonts w:hint="eastAsia" w:ascii="Times New Roman" w:hAnsi="Times New Roman" w:eastAsia="宋体" w:cs="宋体"/>
                      <w:bCs/>
                      <w:color w:val="auto"/>
                      <w:sz w:val="21"/>
                      <w:szCs w:val="21"/>
                      <w:lang w:val="en-US" w:eastAsia="zh-CN"/>
                    </w:rPr>
                    <w:t>内部</w:t>
                  </w:r>
                  <w:r>
                    <w:rPr>
                      <w:rFonts w:hint="eastAsia" w:ascii="Times New Roman" w:hAnsi="Times New Roman" w:eastAsia="宋体" w:cs="宋体"/>
                      <w:bCs/>
                      <w:color w:val="auto"/>
                      <w:sz w:val="21"/>
                      <w:szCs w:val="21"/>
                    </w:rPr>
                    <w:t>设置</w:t>
                  </w:r>
                  <w:r>
                    <w:rPr>
                      <w:rFonts w:hint="eastAsia" w:ascii="Times New Roman" w:hAnsi="Times New Roman" w:eastAsia="宋体" w:cs="宋体"/>
                      <w:bCs/>
                      <w:color w:val="auto"/>
                      <w:sz w:val="21"/>
                      <w:szCs w:val="21"/>
                      <w:lang w:val="en-US" w:eastAsia="zh-CN"/>
                    </w:rPr>
                    <w:t>为</w:t>
                  </w:r>
                  <w:r>
                    <w:rPr>
                      <w:rFonts w:hint="eastAsia" w:ascii="Times New Roman" w:hAnsi="Times New Roman" w:cs="宋体"/>
                      <w:bCs/>
                      <w:color w:val="auto"/>
                      <w:sz w:val="21"/>
                      <w:szCs w:val="21"/>
                      <w:lang w:val="en-US" w:eastAsia="zh-CN"/>
                    </w:rPr>
                    <w:t>分拣区、</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脱区、</w:t>
                  </w:r>
                  <w:r>
                    <w:rPr>
                      <w:rFonts w:hint="eastAsia" w:ascii="Times New Roman" w:hAnsi="Times New Roman" w:eastAsia="宋体" w:cs="宋体"/>
                      <w:bCs/>
                      <w:color w:val="auto"/>
                      <w:sz w:val="21"/>
                      <w:szCs w:val="21"/>
                    </w:rPr>
                    <w:t>烘干区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熨烫区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折叠</w:t>
                  </w:r>
                  <w:r>
                    <w:rPr>
                      <w:rFonts w:hint="eastAsia" w:ascii="Times New Roman" w:hAnsi="Times New Roman" w:cs="宋体"/>
                      <w:bCs/>
                      <w:color w:val="auto"/>
                      <w:sz w:val="21"/>
                      <w:szCs w:val="21"/>
                      <w:lang w:val="en-US" w:eastAsia="zh-CN"/>
                    </w:rPr>
                    <w:t>区</w:t>
                  </w:r>
                  <w:r>
                    <w:rPr>
                      <w:rFonts w:hint="eastAsia" w:ascii="Times New Roman" w:hAnsi="Times New Roman" w:eastAsia="宋体" w:cs="宋体"/>
                      <w:bCs/>
                      <w:color w:val="auto"/>
                      <w:sz w:val="21"/>
                      <w:szCs w:val="21"/>
                    </w:rPr>
                    <w:t>。</w:t>
                  </w:r>
                </w:p>
              </w:tc>
              <w:tc>
                <w:tcPr>
                  <w:tcW w:w="971" w:type="dxa"/>
                  <w:vMerge w:val="continue"/>
                  <w:vAlign w:val="center"/>
                </w:tcPr>
                <w:p w14:paraId="121FC304">
                  <w:pPr>
                    <w:contextualSpacing/>
                    <w:jc w:val="center"/>
                    <w:rPr>
                      <w:rFonts w:hint="eastAsia" w:ascii="Times New Roman" w:hAnsi="Times New Roman" w:eastAsia="宋体" w:cs="宋体"/>
                      <w:bCs/>
                      <w:color w:val="auto"/>
                      <w:sz w:val="21"/>
                      <w:szCs w:val="21"/>
                    </w:rPr>
                  </w:pPr>
                </w:p>
              </w:tc>
            </w:tr>
            <w:tr w14:paraId="65A2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38" w:type="dxa"/>
                  <w:vMerge w:val="restart"/>
                  <w:vAlign w:val="center"/>
                </w:tcPr>
                <w:p w14:paraId="18DEC0DD">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辅助工程</w:t>
                  </w:r>
                </w:p>
              </w:tc>
              <w:tc>
                <w:tcPr>
                  <w:tcW w:w="1534" w:type="dxa"/>
                  <w:gridSpan w:val="2"/>
                  <w:vAlign w:val="center"/>
                </w:tcPr>
                <w:p w14:paraId="2347ADD7">
                  <w:pPr>
                    <w:pStyle w:val="6"/>
                    <w:adjustRightInd w:val="0"/>
                    <w:snapToGrid w:val="0"/>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锅炉房</w:t>
                  </w:r>
                </w:p>
              </w:tc>
              <w:tc>
                <w:tcPr>
                  <w:tcW w:w="5029" w:type="dxa"/>
                  <w:shd w:val="clear" w:color="auto" w:fill="auto"/>
                  <w:vAlign w:val="center"/>
                </w:tcPr>
                <w:p w14:paraId="5EBAF9BE">
                  <w:pPr>
                    <w:pStyle w:val="6"/>
                    <w:adjustRightInd w:val="0"/>
                    <w:snapToGrid w:val="0"/>
                    <w:ind w:firstLine="0" w:firstLine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建筑面积为30m</w:t>
                  </w:r>
                  <w:r>
                    <w:rPr>
                      <w:rFonts w:hint="eastAsia" w:ascii="Times New Roman" w:hAnsi="Times New Roman" w:eastAsia="宋体" w:cs="宋体"/>
                      <w:bCs/>
                      <w:color w:val="auto"/>
                      <w:kern w:val="2"/>
                      <w:sz w:val="21"/>
                      <w:szCs w:val="21"/>
                      <w:vertAlign w:val="superscript"/>
                      <w:lang w:val="en-US" w:eastAsia="zh-CN" w:bidi="ar-SA"/>
                    </w:rPr>
                    <w:t xml:space="preserve">2 </w:t>
                  </w:r>
                  <w:r>
                    <w:rPr>
                      <w:rFonts w:hint="eastAsia" w:ascii="Times New Roman" w:hAnsi="Times New Roman" w:eastAsia="宋体" w:cs="宋体"/>
                      <w:bCs/>
                      <w:color w:val="auto"/>
                      <w:kern w:val="2"/>
                      <w:sz w:val="21"/>
                      <w:szCs w:val="21"/>
                      <w:lang w:val="en-US" w:eastAsia="zh-CN" w:bidi="ar-SA"/>
                    </w:rPr>
                    <w:t>，位于</w:t>
                  </w:r>
                  <w:r>
                    <w:rPr>
                      <w:rFonts w:hint="eastAsia" w:ascii="Times New Roman" w:hAnsi="Times New Roman" w:eastAsia="宋体" w:cs="宋体"/>
                      <w:bCs/>
                      <w:color w:val="auto"/>
                      <w:sz w:val="21"/>
                      <w:szCs w:val="21"/>
                      <w:lang w:val="en-US" w:eastAsia="zh-CN"/>
                    </w:rPr>
                    <w:t>1</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rPr>
                    <w:t>洗涤</w:t>
                  </w:r>
                  <w:r>
                    <w:rPr>
                      <w:rFonts w:hint="eastAsia" w:ascii="Times New Roman" w:hAnsi="Times New Roman" w:eastAsia="宋体" w:cs="宋体"/>
                      <w:bCs/>
                      <w:color w:val="auto"/>
                      <w:sz w:val="21"/>
                      <w:szCs w:val="21"/>
                      <w:lang w:val="en-US" w:eastAsia="zh-CN"/>
                    </w:rPr>
                    <w:t>生产线</w:t>
                  </w:r>
                  <w:r>
                    <w:rPr>
                      <w:rFonts w:hint="eastAsia" w:ascii="Times New Roman" w:hAnsi="Times New Roman" w:cs="宋体"/>
                      <w:bCs/>
                      <w:color w:val="auto"/>
                      <w:sz w:val="21"/>
                      <w:szCs w:val="21"/>
                      <w:lang w:val="en-US" w:eastAsia="zh-CN"/>
                    </w:rPr>
                    <w:t>西</w:t>
                  </w:r>
                  <w:r>
                    <w:rPr>
                      <w:rFonts w:hint="eastAsia" w:ascii="Times New Roman" w:hAnsi="Times New Roman" w:eastAsia="宋体" w:cs="宋体"/>
                      <w:bCs/>
                      <w:color w:val="auto"/>
                      <w:kern w:val="2"/>
                      <w:sz w:val="21"/>
                      <w:szCs w:val="21"/>
                      <w:lang w:val="en-US" w:eastAsia="zh-CN" w:bidi="ar-SA"/>
                    </w:rPr>
                    <w:t>侧，设置 1台 3t/h 生物质蒸汽发生器。</w:t>
                  </w:r>
                </w:p>
              </w:tc>
              <w:tc>
                <w:tcPr>
                  <w:tcW w:w="971" w:type="dxa"/>
                  <w:vMerge w:val="continue"/>
                  <w:vAlign w:val="center"/>
                </w:tcPr>
                <w:p w14:paraId="4C9CE6AF">
                  <w:pPr>
                    <w:contextualSpacing/>
                    <w:jc w:val="center"/>
                    <w:rPr>
                      <w:rFonts w:hint="eastAsia" w:ascii="Times New Roman" w:hAnsi="Times New Roman" w:eastAsia="宋体" w:cs="宋体"/>
                      <w:bCs/>
                      <w:color w:val="auto"/>
                      <w:sz w:val="21"/>
                      <w:szCs w:val="21"/>
                    </w:rPr>
                  </w:pPr>
                </w:p>
              </w:tc>
            </w:tr>
            <w:tr w14:paraId="7AB7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38" w:type="dxa"/>
                  <w:vMerge w:val="continue"/>
                  <w:vAlign w:val="center"/>
                </w:tcPr>
                <w:p w14:paraId="72F5DCA8">
                  <w:pPr>
                    <w:contextualSpacing/>
                    <w:jc w:val="center"/>
                    <w:rPr>
                      <w:rFonts w:hint="eastAsia" w:ascii="Times New Roman" w:hAnsi="Times New Roman" w:eastAsia="宋体" w:cs="宋体"/>
                      <w:color w:val="auto"/>
                      <w:sz w:val="21"/>
                      <w:szCs w:val="21"/>
                    </w:rPr>
                  </w:pPr>
                </w:p>
              </w:tc>
              <w:tc>
                <w:tcPr>
                  <w:tcW w:w="1534" w:type="dxa"/>
                  <w:gridSpan w:val="2"/>
                  <w:vAlign w:val="center"/>
                </w:tcPr>
                <w:p w14:paraId="6371CA1B">
                  <w:pPr>
                    <w:pStyle w:val="6"/>
                    <w:adjustRightInd w:val="0"/>
                    <w:snapToGrid w:val="0"/>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原辅料仓库</w:t>
                  </w:r>
                </w:p>
              </w:tc>
              <w:tc>
                <w:tcPr>
                  <w:tcW w:w="5029" w:type="dxa"/>
                  <w:shd w:val="clear" w:color="auto" w:fill="auto"/>
                  <w:vAlign w:val="center"/>
                </w:tcPr>
                <w:p w14:paraId="0DC758CB">
                  <w:pPr>
                    <w:pStyle w:val="6"/>
                    <w:adjustRightInd w:val="0"/>
                    <w:snapToGrid w:val="0"/>
                    <w:spacing w:line="240" w:lineRule="auto"/>
                    <w:ind w:firstLine="0" w:firstLine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建筑面积约200m</w:t>
                  </w:r>
                  <w:r>
                    <w:rPr>
                      <w:rFonts w:hint="eastAsia" w:ascii="Times New Roman" w:hAnsi="Times New Roman" w:eastAsia="宋体" w:cs="宋体"/>
                      <w:bCs/>
                      <w:color w:val="auto"/>
                      <w:kern w:val="2"/>
                      <w:sz w:val="21"/>
                      <w:szCs w:val="21"/>
                      <w:vertAlign w:val="superscript"/>
                      <w:lang w:val="en-US" w:eastAsia="zh-CN" w:bidi="ar-SA"/>
                    </w:rPr>
                    <w:t>2</w:t>
                  </w:r>
                  <w:r>
                    <w:rPr>
                      <w:rFonts w:hint="eastAsia" w:ascii="Times New Roman" w:hAnsi="Times New Roman" w:eastAsia="宋体" w:cs="宋体"/>
                      <w:bCs/>
                      <w:color w:val="auto"/>
                      <w:kern w:val="2"/>
                      <w:sz w:val="21"/>
                      <w:szCs w:val="21"/>
                      <w:lang w:val="en-US" w:eastAsia="zh-CN" w:bidi="ar-SA"/>
                    </w:rPr>
                    <w:t>，位于项目西北侧，用于存放洗衣粉、柔顺剂、纯碱、中和酸、彩漂粉、生物质</w:t>
                  </w:r>
                  <w:r>
                    <w:rPr>
                      <w:rFonts w:hint="eastAsia" w:ascii="Times New Roman" w:hAnsi="Times New Roman" w:cs="宋体"/>
                      <w:bCs/>
                      <w:color w:val="auto"/>
                      <w:kern w:val="2"/>
                      <w:sz w:val="21"/>
                      <w:szCs w:val="21"/>
                      <w:lang w:val="en-US" w:eastAsia="zh-CN" w:bidi="ar-SA"/>
                    </w:rPr>
                    <w:t>燃料</w:t>
                  </w:r>
                  <w:r>
                    <w:rPr>
                      <w:rFonts w:hint="eastAsia" w:ascii="Times New Roman" w:hAnsi="Times New Roman" w:eastAsia="宋体" w:cs="宋体"/>
                      <w:bCs/>
                      <w:color w:val="auto"/>
                      <w:kern w:val="2"/>
                      <w:sz w:val="21"/>
                      <w:szCs w:val="21"/>
                      <w:lang w:val="en-US" w:eastAsia="zh-CN" w:bidi="ar-SA"/>
                    </w:rPr>
                    <w:t>等原辅料。</w:t>
                  </w:r>
                </w:p>
              </w:tc>
              <w:tc>
                <w:tcPr>
                  <w:tcW w:w="971" w:type="dxa"/>
                  <w:vMerge w:val="continue"/>
                  <w:vAlign w:val="center"/>
                </w:tcPr>
                <w:p w14:paraId="3ED487A1">
                  <w:pPr>
                    <w:contextualSpacing/>
                    <w:jc w:val="center"/>
                    <w:rPr>
                      <w:rFonts w:hint="eastAsia" w:ascii="Times New Roman" w:hAnsi="Times New Roman" w:eastAsia="宋体" w:cs="宋体"/>
                      <w:bCs/>
                      <w:color w:val="auto"/>
                      <w:sz w:val="21"/>
                      <w:szCs w:val="21"/>
                    </w:rPr>
                  </w:pPr>
                </w:p>
              </w:tc>
            </w:tr>
            <w:tr w14:paraId="4007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38" w:type="dxa"/>
                  <w:vMerge w:val="continue"/>
                  <w:vAlign w:val="center"/>
                </w:tcPr>
                <w:p w14:paraId="233A6524">
                  <w:pPr>
                    <w:contextualSpacing/>
                    <w:jc w:val="center"/>
                    <w:rPr>
                      <w:rFonts w:hint="eastAsia" w:ascii="Times New Roman" w:hAnsi="Times New Roman" w:eastAsia="宋体" w:cs="宋体"/>
                      <w:color w:val="auto"/>
                      <w:sz w:val="21"/>
                      <w:szCs w:val="21"/>
                    </w:rPr>
                  </w:pPr>
                </w:p>
              </w:tc>
              <w:tc>
                <w:tcPr>
                  <w:tcW w:w="1534" w:type="dxa"/>
                  <w:gridSpan w:val="2"/>
                  <w:shd w:val="clear" w:color="auto" w:fill="auto"/>
                  <w:vAlign w:val="center"/>
                </w:tcPr>
                <w:p w14:paraId="03CEF8D0">
                  <w:pPr>
                    <w:contextualSpacing/>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sz w:val="21"/>
                      <w:szCs w:val="21"/>
                    </w:rPr>
                    <w:t>办公区</w:t>
                  </w:r>
                </w:p>
              </w:tc>
              <w:tc>
                <w:tcPr>
                  <w:tcW w:w="5029" w:type="dxa"/>
                  <w:shd w:val="clear" w:color="auto" w:fill="auto"/>
                  <w:vAlign w:val="center"/>
                </w:tcPr>
                <w:p w14:paraId="60BB7DA7">
                  <w:pPr>
                    <w:pStyle w:val="98"/>
                    <w:spacing w:before="53" w:line="219" w:lineRule="auto"/>
                    <w:ind w:left="45" w:left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color w:val="auto"/>
                      <w:spacing w:val="6"/>
                      <w:sz w:val="21"/>
                      <w:szCs w:val="21"/>
                    </w:rPr>
                    <w:t>在厂房内</w:t>
                  </w:r>
                  <w:r>
                    <w:rPr>
                      <w:rFonts w:hint="eastAsia" w:ascii="Times New Roman" w:hAnsi="Times New Roman" w:cs="宋体"/>
                      <w:color w:val="auto"/>
                      <w:spacing w:val="6"/>
                      <w:sz w:val="21"/>
                      <w:szCs w:val="21"/>
                      <w:lang w:val="en-US" w:eastAsia="zh-CN"/>
                    </w:rPr>
                    <w:t>东北角</w:t>
                  </w:r>
                  <w:r>
                    <w:rPr>
                      <w:rFonts w:hint="eastAsia" w:ascii="Times New Roman" w:hAnsi="Times New Roman" w:eastAsia="宋体" w:cs="宋体"/>
                      <w:color w:val="auto"/>
                      <w:spacing w:val="6"/>
                      <w:sz w:val="21"/>
                      <w:szCs w:val="21"/>
                    </w:rPr>
                    <w:t>设置</w:t>
                  </w:r>
                  <w:r>
                    <w:rPr>
                      <w:rFonts w:hint="eastAsia" w:ascii="Times New Roman" w:hAnsi="Times New Roman" w:cs="宋体"/>
                      <w:color w:val="auto"/>
                      <w:spacing w:val="6"/>
                      <w:sz w:val="21"/>
                      <w:szCs w:val="21"/>
                      <w:lang w:val="en-US" w:eastAsia="zh-CN"/>
                    </w:rPr>
                    <w:t>办公区，面积50</w:t>
                  </w:r>
                  <w:r>
                    <w:rPr>
                      <w:rFonts w:hint="eastAsia" w:ascii="Times New Roman" w:hAnsi="Times New Roman" w:eastAsia="宋体" w:cs="宋体"/>
                      <w:color w:val="auto"/>
                      <w:spacing w:val="6"/>
                      <w:sz w:val="21"/>
                      <w:szCs w:val="21"/>
                    </w:rPr>
                    <w:t>m²</w:t>
                  </w:r>
                  <w:r>
                    <w:rPr>
                      <w:rFonts w:hint="eastAsia" w:ascii="Times New Roman" w:hAnsi="Times New Roman" w:cs="宋体"/>
                      <w:color w:val="auto"/>
                      <w:spacing w:val="6"/>
                      <w:sz w:val="21"/>
                      <w:szCs w:val="21"/>
                      <w:lang w:eastAsia="zh-CN"/>
                    </w:rPr>
                    <w:t>，</w:t>
                  </w:r>
                  <w:r>
                    <w:rPr>
                      <w:rFonts w:hint="eastAsia" w:ascii="Times New Roman" w:hAnsi="Times New Roman" w:eastAsia="宋体" w:cs="宋体"/>
                      <w:color w:val="auto"/>
                      <w:sz w:val="21"/>
                      <w:szCs w:val="21"/>
                      <w:lang w:val="en-US" w:eastAsia="zh-CN"/>
                    </w:rPr>
                    <w:t>用于日常办公</w:t>
                  </w:r>
                </w:p>
              </w:tc>
              <w:tc>
                <w:tcPr>
                  <w:tcW w:w="971" w:type="dxa"/>
                  <w:vMerge w:val="continue"/>
                  <w:vAlign w:val="center"/>
                </w:tcPr>
                <w:p w14:paraId="1C395A9D">
                  <w:pPr>
                    <w:contextualSpacing/>
                    <w:jc w:val="center"/>
                    <w:rPr>
                      <w:rFonts w:hint="eastAsia" w:ascii="Times New Roman" w:hAnsi="Times New Roman" w:eastAsia="宋体" w:cs="宋体"/>
                      <w:bCs/>
                      <w:color w:val="auto"/>
                      <w:sz w:val="21"/>
                      <w:szCs w:val="21"/>
                    </w:rPr>
                  </w:pPr>
                </w:p>
              </w:tc>
            </w:tr>
            <w:tr w14:paraId="496C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38" w:type="dxa"/>
                  <w:vMerge w:val="restart"/>
                  <w:vAlign w:val="center"/>
                </w:tcPr>
                <w:p w14:paraId="3CF1ABAE">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公用工程</w:t>
                  </w:r>
                </w:p>
              </w:tc>
              <w:tc>
                <w:tcPr>
                  <w:tcW w:w="1534" w:type="dxa"/>
                  <w:gridSpan w:val="2"/>
                  <w:vAlign w:val="center"/>
                </w:tcPr>
                <w:p w14:paraId="5BE099EC">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给水系统</w:t>
                  </w:r>
                </w:p>
              </w:tc>
              <w:tc>
                <w:tcPr>
                  <w:tcW w:w="5029" w:type="dxa"/>
                  <w:vAlign w:val="center"/>
                </w:tcPr>
                <w:p w14:paraId="1BB9E739">
                  <w:pPr>
                    <w:contextualSpacing/>
                    <w:jc w:val="center"/>
                    <w:rPr>
                      <w:rFonts w:hint="eastAsia" w:ascii="Times New Roman" w:hAnsi="Times New Roman" w:eastAsia="宋体" w:cs="宋体"/>
                      <w:bCs/>
                      <w:color w:val="auto"/>
                      <w:sz w:val="21"/>
                      <w:szCs w:val="21"/>
                    </w:rPr>
                  </w:pPr>
                  <w:r>
                    <w:rPr>
                      <w:rFonts w:hint="eastAsia" w:ascii="Times New Roman" w:hAnsi="Times New Roman"/>
                      <w:color w:val="auto"/>
                      <w:sz w:val="21"/>
                      <w:szCs w:val="21"/>
                    </w:rPr>
                    <w:t>由自来水管网引入</w:t>
                  </w:r>
                  <w:r>
                    <w:rPr>
                      <w:rFonts w:hint="eastAsia" w:ascii="Times New Roman" w:hAnsi="Times New Roman" w:eastAsia="宋体" w:cs="宋体"/>
                      <w:bCs/>
                      <w:color w:val="auto"/>
                      <w:sz w:val="21"/>
                      <w:szCs w:val="21"/>
                    </w:rPr>
                    <w:t>供给</w:t>
                  </w:r>
                </w:p>
              </w:tc>
              <w:tc>
                <w:tcPr>
                  <w:tcW w:w="971" w:type="dxa"/>
                  <w:vAlign w:val="center"/>
                </w:tcPr>
                <w:p w14:paraId="5326E8E0">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eastAsia="宋体" w:cs="宋体"/>
                      <w:bCs/>
                      <w:color w:val="auto"/>
                      <w:sz w:val="21"/>
                      <w:szCs w:val="21"/>
                      <w:lang w:eastAsia="zh-CN"/>
                    </w:rPr>
                    <w:t>依托</w:t>
                  </w:r>
                </w:p>
              </w:tc>
            </w:tr>
            <w:tr w14:paraId="2790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38" w:type="dxa"/>
                  <w:vMerge w:val="continue"/>
                  <w:vAlign w:val="center"/>
                </w:tcPr>
                <w:p w14:paraId="41F01D0B">
                  <w:pPr>
                    <w:contextualSpacing/>
                    <w:jc w:val="center"/>
                    <w:rPr>
                      <w:rFonts w:hint="eastAsia" w:ascii="Times New Roman" w:hAnsi="Times New Roman" w:eastAsia="宋体" w:cs="宋体"/>
                      <w:color w:val="auto"/>
                      <w:sz w:val="21"/>
                      <w:szCs w:val="21"/>
                    </w:rPr>
                  </w:pPr>
                </w:p>
              </w:tc>
              <w:tc>
                <w:tcPr>
                  <w:tcW w:w="1534" w:type="dxa"/>
                  <w:gridSpan w:val="2"/>
                  <w:vAlign w:val="center"/>
                </w:tcPr>
                <w:p w14:paraId="57260A5C">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排水系统</w:t>
                  </w:r>
                </w:p>
              </w:tc>
              <w:tc>
                <w:tcPr>
                  <w:tcW w:w="5029" w:type="dxa"/>
                  <w:vAlign w:val="center"/>
                </w:tcPr>
                <w:p w14:paraId="37A70CB3">
                  <w:pPr>
                    <w:pStyle w:val="98"/>
                    <w:spacing w:before="63" w:line="221" w:lineRule="auto"/>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厂区实行雨污分流制，雨水经</w:t>
                  </w:r>
                  <w:r>
                    <w:rPr>
                      <w:rFonts w:hint="eastAsia" w:ascii="Times New Roman" w:hAnsi="Times New Roman" w:cs="宋体"/>
                      <w:color w:val="auto"/>
                      <w:spacing w:val="6"/>
                      <w:kern w:val="2"/>
                      <w:sz w:val="21"/>
                      <w:szCs w:val="21"/>
                      <w:lang w:val="en-US" w:eastAsia="zh-CN" w:bidi="ar-SA"/>
                    </w:rPr>
                    <w:t>厂区雨水沟</w:t>
                  </w:r>
                  <w:r>
                    <w:rPr>
                      <w:rFonts w:hint="eastAsia" w:ascii="Times New Roman" w:hAnsi="Times New Roman" w:eastAsia="宋体" w:cs="宋体"/>
                      <w:color w:val="auto"/>
                      <w:spacing w:val="6"/>
                      <w:kern w:val="2"/>
                      <w:sz w:val="21"/>
                      <w:szCs w:val="21"/>
                      <w:lang w:val="en-US" w:eastAsia="zh-CN" w:bidi="ar-SA"/>
                    </w:rPr>
                    <w:t>收集后排入厂外东南</w:t>
                  </w:r>
                  <w:r>
                    <w:rPr>
                      <w:rFonts w:hint="eastAsia" w:ascii="Times New Roman" w:hAnsi="Times New Roman" w:cs="宋体"/>
                      <w:color w:val="auto"/>
                      <w:spacing w:val="6"/>
                      <w:kern w:val="2"/>
                      <w:sz w:val="21"/>
                      <w:szCs w:val="21"/>
                      <w:lang w:val="en-US" w:eastAsia="zh-CN" w:bidi="ar-SA"/>
                    </w:rPr>
                    <w:t>侧易天线</w:t>
                  </w:r>
                  <w:r>
                    <w:rPr>
                      <w:rFonts w:hint="eastAsia" w:ascii="Times New Roman" w:hAnsi="Times New Roman" w:eastAsia="宋体" w:cs="宋体"/>
                      <w:color w:val="auto"/>
                      <w:spacing w:val="6"/>
                      <w:kern w:val="2"/>
                      <w:sz w:val="21"/>
                      <w:szCs w:val="21"/>
                      <w:lang w:val="en-US" w:eastAsia="zh-CN" w:bidi="ar-SA"/>
                    </w:rPr>
                    <w:t>雨水沟；生产废水（洗涤废水、纯水制备废水、锅炉排污水）经三级沉淀处理达标后排入易天线市政污水管网，最终进入寻甸县污水处理厂统一处理。生活废水经化粪池处理达标后排入易天线市政污水管网，最终进入寻甸县污水处理厂统一处理。</w:t>
                  </w:r>
                </w:p>
              </w:tc>
              <w:tc>
                <w:tcPr>
                  <w:tcW w:w="971" w:type="dxa"/>
                  <w:vAlign w:val="center"/>
                </w:tcPr>
                <w:p w14:paraId="6067DC27">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bCs/>
                      <w:color w:val="auto"/>
                      <w:sz w:val="21"/>
                      <w:szCs w:val="21"/>
                      <w:lang w:val="en-US" w:eastAsia="zh-CN"/>
                    </w:rPr>
                    <w:t>新建</w:t>
                  </w:r>
                </w:p>
              </w:tc>
            </w:tr>
            <w:tr w14:paraId="0EDA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38" w:type="dxa"/>
                  <w:vMerge w:val="continue"/>
                  <w:vAlign w:val="center"/>
                </w:tcPr>
                <w:p w14:paraId="2A272F7F">
                  <w:pPr>
                    <w:contextualSpacing/>
                    <w:jc w:val="center"/>
                    <w:rPr>
                      <w:rFonts w:hint="eastAsia" w:ascii="Times New Roman" w:hAnsi="Times New Roman" w:eastAsia="宋体" w:cs="宋体"/>
                      <w:color w:val="auto"/>
                      <w:sz w:val="21"/>
                      <w:szCs w:val="21"/>
                    </w:rPr>
                  </w:pPr>
                </w:p>
              </w:tc>
              <w:tc>
                <w:tcPr>
                  <w:tcW w:w="1534" w:type="dxa"/>
                  <w:gridSpan w:val="2"/>
                  <w:vAlign w:val="center"/>
                </w:tcPr>
                <w:p w14:paraId="5314F2D1">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供热系统</w:t>
                  </w:r>
                </w:p>
              </w:tc>
              <w:tc>
                <w:tcPr>
                  <w:tcW w:w="5029" w:type="dxa"/>
                  <w:vAlign w:val="center"/>
                </w:tcPr>
                <w:p w14:paraId="4353AA70">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项目设置1台 3t/h 生物质蒸汽发生器供热，作为洗涤</w:t>
                  </w:r>
                  <w:r>
                    <w:rPr>
                      <w:rFonts w:hint="eastAsia" w:ascii="Times New Roman" w:hAnsi="Times New Roman" w:cs="宋体"/>
                      <w:color w:val="auto"/>
                      <w:spacing w:val="6"/>
                      <w:kern w:val="2"/>
                      <w:sz w:val="21"/>
                      <w:szCs w:val="21"/>
                      <w:lang w:val="en-US" w:eastAsia="zh-CN" w:bidi="ar-SA"/>
                    </w:rPr>
                    <w:t>、</w:t>
                  </w:r>
                  <w:r>
                    <w:rPr>
                      <w:rFonts w:hint="eastAsia" w:ascii="Times New Roman" w:hAnsi="Times New Roman" w:eastAsia="宋体" w:cs="宋体"/>
                      <w:color w:val="auto"/>
                      <w:spacing w:val="6"/>
                      <w:kern w:val="2"/>
                      <w:sz w:val="21"/>
                      <w:szCs w:val="21"/>
                      <w:lang w:val="en-US" w:eastAsia="zh-CN" w:bidi="ar-SA"/>
                    </w:rPr>
                    <w:t>烘干和烫平工序</w:t>
                  </w:r>
                  <w:r>
                    <w:rPr>
                      <w:rFonts w:hint="eastAsia" w:ascii="Times New Roman" w:hAnsi="Times New Roman" w:cs="宋体"/>
                      <w:color w:val="auto"/>
                      <w:spacing w:val="6"/>
                      <w:kern w:val="2"/>
                      <w:sz w:val="21"/>
                      <w:szCs w:val="21"/>
                      <w:lang w:val="en-US" w:eastAsia="zh-CN" w:bidi="ar-SA"/>
                    </w:rPr>
                    <w:t>热源提供</w:t>
                  </w:r>
                  <w:r>
                    <w:rPr>
                      <w:rFonts w:hint="eastAsia" w:ascii="Times New Roman" w:hAnsi="Times New Roman" w:eastAsia="宋体" w:cs="宋体"/>
                      <w:color w:val="auto"/>
                      <w:spacing w:val="6"/>
                      <w:kern w:val="2"/>
                      <w:sz w:val="21"/>
                      <w:szCs w:val="21"/>
                      <w:lang w:val="en-US" w:eastAsia="zh-CN" w:bidi="ar-SA"/>
                    </w:rPr>
                    <w:t>。</w:t>
                  </w:r>
                </w:p>
              </w:tc>
              <w:tc>
                <w:tcPr>
                  <w:tcW w:w="971" w:type="dxa"/>
                  <w:vAlign w:val="center"/>
                </w:tcPr>
                <w:p w14:paraId="6F09530C">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bCs/>
                      <w:color w:val="auto"/>
                      <w:sz w:val="21"/>
                      <w:szCs w:val="21"/>
                      <w:lang w:val="en-US" w:eastAsia="zh-CN"/>
                    </w:rPr>
                    <w:t>新建</w:t>
                  </w:r>
                </w:p>
              </w:tc>
            </w:tr>
            <w:tr w14:paraId="6165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38" w:type="dxa"/>
                  <w:vMerge w:val="continue"/>
                  <w:vAlign w:val="center"/>
                </w:tcPr>
                <w:p w14:paraId="23971EF3">
                  <w:pPr>
                    <w:contextualSpacing/>
                    <w:jc w:val="center"/>
                    <w:rPr>
                      <w:rFonts w:hint="eastAsia" w:ascii="Times New Roman" w:hAnsi="Times New Roman" w:eastAsia="宋体" w:cs="宋体"/>
                      <w:color w:val="auto"/>
                      <w:sz w:val="21"/>
                      <w:szCs w:val="21"/>
                    </w:rPr>
                  </w:pPr>
                </w:p>
              </w:tc>
              <w:tc>
                <w:tcPr>
                  <w:tcW w:w="1534" w:type="dxa"/>
                  <w:gridSpan w:val="2"/>
                  <w:vAlign w:val="center"/>
                </w:tcPr>
                <w:p w14:paraId="5B480F26">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供电系统</w:t>
                  </w:r>
                </w:p>
              </w:tc>
              <w:tc>
                <w:tcPr>
                  <w:tcW w:w="5029" w:type="dxa"/>
                  <w:vAlign w:val="center"/>
                </w:tcPr>
                <w:p w14:paraId="50F0AAAF">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由市政供电管网接入</w:t>
                  </w:r>
                </w:p>
              </w:tc>
              <w:tc>
                <w:tcPr>
                  <w:tcW w:w="971" w:type="dxa"/>
                  <w:vAlign w:val="center"/>
                </w:tcPr>
                <w:p w14:paraId="6147D576">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eastAsia="宋体" w:cs="宋体"/>
                      <w:bCs/>
                      <w:color w:val="auto"/>
                      <w:sz w:val="21"/>
                      <w:szCs w:val="21"/>
                      <w:lang w:eastAsia="zh-CN"/>
                    </w:rPr>
                    <w:t>依托</w:t>
                  </w:r>
                </w:p>
              </w:tc>
            </w:tr>
            <w:tr w14:paraId="4D32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38" w:type="dxa"/>
                  <w:vMerge w:val="restart"/>
                  <w:vAlign w:val="center"/>
                </w:tcPr>
                <w:p w14:paraId="0525EC44">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环保工程</w:t>
                  </w:r>
                </w:p>
              </w:tc>
              <w:tc>
                <w:tcPr>
                  <w:tcW w:w="426" w:type="dxa"/>
                  <w:vMerge w:val="restart"/>
                  <w:vAlign w:val="center"/>
                </w:tcPr>
                <w:p w14:paraId="5F64FCEA">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w:t>
                  </w:r>
                </w:p>
              </w:tc>
              <w:tc>
                <w:tcPr>
                  <w:tcW w:w="1108" w:type="dxa"/>
                  <w:vAlign w:val="center"/>
                </w:tcPr>
                <w:p w14:paraId="76FCD7EE">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生活废水</w:t>
                  </w:r>
                </w:p>
              </w:tc>
              <w:tc>
                <w:tcPr>
                  <w:tcW w:w="5029" w:type="dxa"/>
                  <w:vAlign w:val="center"/>
                </w:tcPr>
                <w:p w14:paraId="74DA2A79">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color w:val="auto"/>
                      <w:spacing w:val="6"/>
                      <w:kern w:val="2"/>
                      <w:sz w:val="21"/>
                      <w:szCs w:val="21"/>
                      <w:lang w:val="en-US" w:eastAsia="zh-CN" w:bidi="ar-SA"/>
                    </w:rPr>
                    <w:t>项目区不设食宿，生活废水经化粪池</w:t>
                  </w:r>
                  <w:r>
                    <w:rPr>
                      <w:rFonts w:hint="eastAsia" w:ascii="Times New Roman" w:hAnsi="Times New Roman" w:cs="宋体"/>
                      <w:color w:val="auto"/>
                      <w:spacing w:val="6"/>
                      <w:kern w:val="2"/>
                      <w:sz w:val="21"/>
                      <w:szCs w:val="21"/>
                      <w:lang w:val="en-US" w:eastAsia="zh-CN" w:bidi="ar-SA"/>
                    </w:rPr>
                    <w:t>（容积2m³）</w:t>
                  </w:r>
                  <w:r>
                    <w:rPr>
                      <w:rFonts w:hint="eastAsia" w:ascii="Times New Roman" w:hAnsi="Times New Roman" w:eastAsia="宋体" w:cs="宋体"/>
                      <w:color w:val="auto"/>
                      <w:spacing w:val="6"/>
                      <w:kern w:val="2"/>
                      <w:sz w:val="21"/>
                      <w:szCs w:val="21"/>
                      <w:lang w:val="en-US" w:eastAsia="zh-CN" w:bidi="ar-SA"/>
                    </w:rPr>
                    <w:t>处理达标后排入易天线市政污水管网，最终进入寻甸县污水处理厂统一处理。</w:t>
                  </w:r>
                </w:p>
              </w:tc>
              <w:tc>
                <w:tcPr>
                  <w:tcW w:w="971" w:type="dxa"/>
                  <w:vAlign w:val="center"/>
                </w:tcPr>
                <w:p w14:paraId="58A57F07">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cs="宋体"/>
                      <w:bCs/>
                      <w:color w:val="auto"/>
                      <w:sz w:val="21"/>
                      <w:szCs w:val="21"/>
                      <w:lang w:val="en-US" w:eastAsia="zh-CN"/>
                    </w:rPr>
                    <w:t>新建</w:t>
                  </w:r>
                </w:p>
              </w:tc>
            </w:tr>
            <w:tr w14:paraId="4426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38" w:type="dxa"/>
                  <w:vMerge w:val="continue"/>
                  <w:vAlign w:val="center"/>
                </w:tcPr>
                <w:p w14:paraId="597330C8">
                  <w:pPr>
                    <w:autoSpaceDE w:val="0"/>
                    <w:autoSpaceDN w:val="0"/>
                    <w:adjustRightInd w:val="0"/>
                    <w:jc w:val="center"/>
                    <w:rPr>
                      <w:rFonts w:ascii="Times New Roman" w:hAnsi="Times New Roman"/>
                      <w:color w:val="auto"/>
                    </w:rPr>
                  </w:pPr>
                </w:p>
              </w:tc>
              <w:tc>
                <w:tcPr>
                  <w:tcW w:w="426" w:type="dxa"/>
                  <w:vMerge w:val="continue"/>
                  <w:vAlign w:val="center"/>
                </w:tcPr>
                <w:p w14:paraId="77544A96">
                  <w:pPr>
                    <w:autoSpaceDE w:val="0"/>
                    <w:autoSpaceDN w:val="0"/>
                    <w:adjustRightInd w:val="0"/>
                    <w:jc w:val="center"/>
                    <w:rPr>
                      <w:rFonts w:ascii="Times New Roman" w:hAnsi="Times New Roman"/>
                      <w:color w:val="auto"/>
                    </w:rPr>
                  </w:pPr>
                </w:p>
              </w:tc>
              <w:tc>
                <w:tcPr>
                  <w:tcW w:w="1108" w:type="dxa"/>
                  <w:vAlign w:val="center"/>
                </w:tcPr>
                <w:p w14:paraId="1F76D9F9">
                  <w:pPr>
                    <w:autoSpaceDE w:val="0"/>
                    <w:autoSpaceDN w:val="0"/>
                    <w:adjustRightInd w:val="0"/>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生产废水</w:t>
                  </w:r>
                </w:p>
              </w:tc>
              <w:tc>
                <w:tcPr>
                  <w:tcW w:w="5029" w:type="dxa"/>
                  <w:vAlign w:val="center"/>
                </w:tcPr>
                <w:p w14:paraId="13DD353B">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pacing w:val="6"/>
                      <w:kern w:val="2"/>
                      <w:sz w:val="21"/>
                      <w:szCs w:val="21"/>
                      <w:lang w:val="en-US" w:eastAsia="zh-CN" w:bidi="ar-SA"/>
                    </w:rPr>
                    <w:t>生产废水（洗涤废水、纯水制备废水、锅炉排污水）经三级沉淀</w:t>
                  </w:r>
                  <w:r>
                    <w:rPr>
                      <w:rFonts w:hint="eastAsia" w:ascii="Times New Roman" w:hAnsi="Times New Roman" w:cs="宋体"/>
                      <w:color w:val="auto"/>
                      <w:spacing w:val="6"/>
                      <w:kern w:val="2"/>
                      <w:sz w:val="21"/>
                      <w:szCs w:val="21"/>
                      <w:lang w:val="en-US" w:eastAsia="zh-CN" w:bidi="ar-SA"/>
                    </w:rPr>
                    <w:t>池（容积40m³）</w:t>
                  </w:r>
                  <w:r>
                    <w:rPr>
                      <w:rFonts w:hint="eastAsia" w:ascii="Times New Roman" w:hAnsi="Times New Roman" w:eastAsia="宋体" w:cs="宋体"/>
                      <w:color w:val="auto"/>
                      <w:spacing w:val="6"/>
                      <w:kern w:val="2"/>
                      <w:sz w:val="21"/>
                      <w:szCs w:val="21"/>
                      <w:lang w:val="en-US" w:eastAsia="zh-CN" w:bidi="ar-SA"/>
                    </w:rPr>
                    <w:t>处理达标后排入易天线市政污水管网，最终进入寻甸县污水处理厂统一处理。</w:t>
                  </w:r>
                </w:p>
              </w:tc>
              <w:tc>
                <w:tcPr>
                  <w:tcW w:w="971" w:type="dxa"/>
                  <w:vAlign w:val="center"/>
                </w:tcPr>
                <w:p w14:paraId="2FF0B02A">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新建</w:t>
                  </w:r>
                </w:p>
              </w:tc>
            </w:tr>
            <w:tr w14:paraId="04E8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38" w:type="dxa"/>
                  <w:vMerge w:val="continue"/>
                  <w:vAlign w:val="center"/>
                </w:tcPr>
                <w:p w14:paraId="433FB714">
                  <w:pPr>
                    <w:contextualSpacing/>
                    <w:jc w:val="center"/>
                    <w:rPr>
                      <w:rFonts w:hint="eastAsia" w:ascii="Times New Roman" w:hAnsi="Times New Roman" w:eastAsia="宋体" w:cs="宋体"/>
                      <w:color w:val="auto"/>
                      <w:sz w:val="21"/>
                      <w:szCs w:val="21"/>
                    </w:rPr>
                  </w:pPr>
                </w:p>
              </w:tc>
              <w:tc>
                <w:tcPr>
                  <w:tcW w:w="426" w:type="dxa"/>
                  <w:vMerge w:val="restart"/>
                  <w:vAlign w:val="center"/>
                </w:tcPr>
                <w:p w14:paraId="499E1F2B">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废气治理</w:t>
                  </w:r>
                </w:p>
              </w:tc>
              <w:tc>
                <w:tcPr>
                  <w:tcW w:w="1108" w:type="dxa"/>
                  <w:vAlign w:val="center"/>
                </w:tcPr>
                <w:p w14:paraId="0E726B5C">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生物质锅炉燃烧废气</w:t>
                  </w:r>
                </w:p>
              </w:tc>
              <w:tc>
                <w:tcPr>
                  <w:tcW w:w="5029" w:type="dxa"/>
                  <w:vAlign w:val="center"/>
                </w:tcPr>
                <w:p w14:paraId="32381558">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pacing w:val="6"/>
                      <w:kern w:val="2"/>
                      <w:sz w:val="21"/>
                      <w:szCs w:val="21"/>
                      <w:lang w:val="en-US" w:eastAsia="zh-CN" w:bidi="ar-SA"/>
                    </w:rPr>
                    <w:t>生物质</w:t>
                  </w:r>
                  <w:r>
                    <w:rPr>
                      <w:rFonts w:hint="eastAsia" w:ascii="Times New Roman" w:hAnsi="Times New Roman" w:cs="宋体"/>
                      <w:color w:val="auto"/>
                      <w:spacing w:val="6"/>
                      <w:kern w:val="2"/>
                      <w:sz w:val="21"/>
                      <w:szCs w:val="21"/>
                      <w:lang w:val="en-US" w:eastAsia="zh-CN" w:bidi="ar-SA"/>
                    </w:rPr>
                    <w:t>锅炉燃烧</w:t>
                  </w:r>
                  <w:r>
                    <w:rPr>
                      <w:rFonts w:hint="eastAsia" w:ascii="Times New Roman" w:hAnsi="Times New Roman" w:eastAsia="宋体" w:cs="宋体"/>
                      <w:color w:val="auto"/>
                      <w:spacing w:val="6"/>
                      <w:kern w:val="2"/>
                      <w:sz w:val="21"/>
                      <w:szCs w:val="21"/>
                      <w:lang w:val="en-US" w:eastAsia="zh-CN" w:bidi="ar-SA"/>
                    </w:rPr>
                    <w:t>废气经布袋除尘器处理达标后由一</w:t>
                  </w:r>
                  <w:r>
                    <w:rPr>
                      <w:rFonts w:hint="eastAsia" w:ascii="Times New Roman" w:hAnsi="Times New Roman" w:cs="宋体"/>
                      <w:color w:val="auto"/>
                      <w:spacing w:val="6"/>
                      <w:kern w:val="2"/>
                      <w:sz w:val="21"/>
                      <w:szCs w:val="21"/>
                      <w:lang w:val="en-US" w:eastAsia="zh-CN" w:bidi="ar-SA"/>
                    </w:rPr>
                    <w:t>根</w:t>
                  </w:r>
                  <w:r>
                    <w:rPr>
                      <w:rFonts w:hint="eastAsia" w:ascii="Times New Roman" w:hAnsi="Times New Roman" w:eastAsia="宋体" w:cs="宋体"/>
                      <w:color w:val="auto"/>
                      <w:spacing w:val="6"/>
                      <w:kern w:val="2"/>
                      <w:sz w:val="21"/>
                      <w:szCs w:val="21"/>
                      <w:lang w:val="en-US" w:eastAsia="zh-CN" w:bidi="ar-SA"/>
                    </w:rPr>
                    <w:t>30m 高的排气筒（DA001）排放。</w:t>
                  </w:r>
                </w:p>
              </w:tc>
              <w:tc>
                <w:tcPr>
                  <w:tcW w:w="971" w:type="dxa"/>
                  <w:vMerge w:val="restart"/>
                  <w:vAlign w:val="center"/>
                </w:tcPr>
                <w:p w14:paraId="6FE77D6B">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color w:val="auto"/>
                      <w:sz w:val="21"/>
                      <w:szCs w:val="21"/>
                      <w:lang w:val="en-US" w:eastAsia="zh-CN"/>
                    </w:rPr>
                    <w:t>新建</w:t>
                  </w:r>
                </w:p>
              </w:tc>
            </w:tr>
            <w:tr w14:paraId="14B3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14:paraId="10ADF956">
                  <w:pPr>
                    <w:contextualSpacing/>
                    <w:jc w:val="center"/>
                    <w:rPr>
                      <w:rFonts w:hint="eastAsia" w:ascii="Times New Roman" w:hAnsi="Times New Roman" w:eastAsia="宋体" w:cs="宋体"/>
                      <w:color w:val="auto"/>
                      <w:sz w:val="21"/>
                      <w:szCs w:val="21"/>
                    </w:rPr>
                  </w:pPr>
                </w:p>
              </w:tc>
              <w:tc>
                <w:tcPr>
                  <w:tcW w:w="426" w:type="dxa"/>
                  <w:vMerge w:val="restart"/>
                  <w:vAlign w:val="center"/>
                </w:tcPr>
                <w:p w14:paraId="57086DF6">
                  <w:pPr>
                    <w:ind w:left="-105" w:leftChars="-50" w:right="-105" w:rightChars="-50"/>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color w:val="auto"/>
                      <w:sz w:val="21"/>
                      <w:szCs w:val="21"/>
                    </w:rPr>
                    <w:t>固废收集</w:t>
                  </w:r>
                </w:p>
              </w:tc>
              <w:tc>
                <w:tcPr>
                  <w:tcW w:w="1108" w:type="dxa"/>
                  <w:vAlign w:val="center"/>
                </w:tcPr>
                <w:p w14:paraId="38A4E78C">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一般固废</w:t>
                  </w:r>
                </w:p>
              </w:tc>
              <w:tc>
                <w:tcPr>
                  <w:tcW w:w="5029" w:type="dxa"/>
                  <w:vAlign w:val="center"/>
                </w:tcPr>
                <w:p w14:paraId="73BF3AF8">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color w:val="auto"/>
                      <w:sz w:val="21"/>
                      <w:szCs w:val="21"/>
                    </w:rPr>
                    <w:t>设置1个一般固废间</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面积10㎡</w:t>
                  </w:r>
                  <w:r>
                    <w:rPr>
                      <w:rFonts w:hint="eastAsia" w:ascii="Times New Roman" w:hAnsi="Times New Roman" w:cs="宋体"/>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用于堆放项目产生的一般工业固废。</w:t>
                  </w:r>
                  <w:r>
                    <w:rPr>
                      <w:rFonts w:hint="eastAsia" w:ascii="Times New Roman" w:hAnsi="Times New Roman" w:eastAsia="宋体" w:cs="宋体"/>
                      <w:color w:val="auto"/>
                      <w:sz w:val="21"/>
                      <w:szCs w:val="21"/>
                    </w:rPr>
                    <w:t>一般固废间</w:t>
                  </w:r>
                  <w:r>
                    <w:rPr>
                      <w:rFonts w:hint="default" w:ascii="Times New Roman" w:hAnsi="Times New Roman" w:eastAsia="宋体" w:cs="Times New Roman"/>
                      <w:b w:val="0"/>
                      <w:bCs/>
                      <w:color w:val="auto"/>
                      <w:sz w:val="21"/>
                      <w:szCs w:val="21"/>
                      <w:lang w:val="en-US" w:eastAsia="zh-CN"/>
                    </w:rPr>
                    <w:t>按照《一般工业固体废物贮存和填埋污染控制标准》（GB18599-2020）相关标准要求建设，</w:t>
                  </w:r>
                  <w:r>
                    <w:rPr>
                      <w:rFonts w:hint="eastAsia" w:ascii="Times New Roman" w:hAnsi="Times New Roman" w:eastAsia="宋体" w:cs="Times New Roman"/>
                      <w:b w:val="0"/>
                      <w:bCs/>
                      <w:color w:val="auto"/>
                      <w:sz w:val="21"/>
                      <w:szCs w:val="21"/>
                      <w:highlight w:val="none"/>
                      <w:vertAlign w:val="baseline"/>
                    </w:rPr>
                    <w:t>等效黏土防渗层 Mb≥1.5m，K≤1.0×10</w:t>
                  </w:r>
                  <w:r>
                    <w:rPr>
                      <w:rFonts w:hint="eastAsia" w:ascii="Times New Roman" w:hAnsi="Times New Roman" w:eastAsia="宋体" w:cs="Times New Roman"/>
                      <w:b w:val="0"/>
                      <w:bCs/>
                      <w:color w:val="auto"/>
                      <w:sz w:val="21"/>
                      <w:szCs w:val="21"/>
                      <w:highlight w:val="none"/>
                      <w:vertAlign w:val="superscript"/>
                    </w:rPr>
                    <w:t>-7</w:t>
                  </w:r>
                  <w:r>
                    <w:rPr>
                      <w:rFonts w:hint="eastAsia" w:ascii="Times New Roman" w:hAnsi="Times New Roman" w:eastAsia="宋体" w:cs="Times New Roman"/>
                      <w:b w:val="0"/>
                      <w:bCs/>
                      <w:color w:val="auto"/>
                      <w:sz w:val="21"/>
                      <w:szCs w:val="21"/>
                      <w:highlight w:val="none"/>
                      <w:vertAlign w:val="baseline"/>
                    </w:rPr>
                    <w:t>cm/s</w:t>
                  </w:r>
                  <w:r>
                    <w:rPr>
                      <w:rFonts w:hint="eastAsia" w:ascii="Times New Roman" w:hAnsi="Times New Roman" w:eastAsia="宋体" w:cs="Times New Roman"/>
                      <w:b w:val="0"/>
                      <w:bCs/>
                      <w:color w:val="auto"/>
                      <w:sz w:val="21"/>
                      <w:szCs w:val="21"/>
                      <w:highlight w:val="none"/>
                      <w:vertAlign w:val="baseline"/>
                      <w:lang w:eastAsia="zh-CN"/>
                    </w:rPr>
                    <w:t>，</w:t>
                  </w:r>
                  <w:r>
                    <w:rPr>
                      <w:rFonts w:hint="default" w:ascii="Times New Roman" w:hAnsi="Times New Roman" w:eastAsia="宋体" w:cs="Times New Roman"/>
                      <w:b w:val="0"/>
                      <w:bCs/>
                      <w:color w:val="auto"/>
                      <w:sz w:val="21"/>
                      <w:szCs w:val="21"/>
                      <w:lang w:val="en-US" w:eastAsia="zh-CN"/>
                    </w:rPr>
                    <w:t>一般工业固废应当分类存放；按GB15562.2设置环境保护图形标志；贮存设置需防风、防雨、防晒、防渗漏等措施</w:t>
                  </w:r>
                  <w:r>
                    <w:rPr>
                      <w:rFonts w:hint="eastAsia" w:ascii="Times New Roman" w:hAnsi="Times New Roman" w:cs="Times New Roman"/>
                      <w:b w:val="0"/>
                      <w:bCs/>
                      <w:color w:val="auto"/>
                      <w:sz w:val="21"/>
                      <w:szCs w:val="21"/>
                      <w:lang w:val="en-US" w:eastAsia="zh-CN"/>
                    </w:rPr>
                    <w:t>。</w:t>
                  </w:r>
                </w:p>
              </w:tc>
              <w:tc>
                <w:tcPr>
                  <w:tcW w:w="971" w:type="dxa"/>
                  <w:vMerge w:val="restart"/>
                  <w:vAlign w:val="center"/>
                </w:tcPr>
                <w:p w14:paraId="2D847A60">
                  <w:pPr>
                    <w:contextualSpacing/>
                    <w:jc w:val="center"/>
                    <w:rPr>
                      <w:rFonts w:hint="eastAsia" w:ascii="Times New Roman" w:hAnsi="Times New Roman" w:eastAsia="宋体" w:cs="宋体"/>
                      <w:bCs/>
                      <w:color w:val="auto"/>
                      <w:sz w:val="21"/>
                      <w:szCs w:val="21"/>
                    </w:rPr>
                  </w:pPr>
                  <w:r>
                    <w:rPr>
                      <w:rFonts w:hint="eastAsia" w:ascii="Times New Roman" w:hAnsi="Times New Roman" w:cs="宋体"/>
                      <w:bCs/>
                      <w:color w:val="auto"/>
                      <w:sz w:val="21"/>
                      <w:szCs w:val="21"/>
                      <w:lang w:val="en-US" w:eastAsia="zh-CN"/>
                    </w:rPr>
                    <w:t>新建</w:t>
                  </w:r>
                </w:p>
              </w:tc>
            </w:tr>
            <w:tr w14:paraId="162F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738" w:type="dxa"/>
                  <w:vMerge w:val="continue"/>
                  <w:vAlign w:val="center"/>
                </w:tcPr>
                <w:p w14:paraId="00C2EDA2">
                  <w:pPr>
                    <w:ind w:left="-105" w:leftChars="-50" w:right="-105" w:rightChars="-50"/>
                    <w:contextualSpacing/>
                    <w:jc w:val="center"/>
                    <w:rPr>
                      <w:rFonts w:hint="eastAsia" w:ascii="Times New Roman" w:hAnsi="Times New Roman" w:eastAsia="宋体" w:cs="宋体"/>
                      <w:color w:val="auto"/>
                      <w:sz w:val="21"/>
                      <w:szCs w:val="21"/>
                    </w:rPr>
                  </w:pPr>
                </w:p>
              </w:tc>
              <w:tc>
                <w:tcPr>
                  <w:tcW w:w="426" w:type="dxa"/>
                  <w:vMerge w:val="continue"/>
                  <w:vAlign w:val="center"/>
                </w:tcPr>
                <w:p w14:paraId="67E098FA">
                  <w:pPr>
                    <w:ind w:left="-105" w:leftChars="-50" w:right="-105" w:rightChars="-50"/>
                    <w:contextualSpacing/>
                    <w:jc w:val="center"/>
                    <w:rPr>
                      <w:rFonts w:hint="eastAsia" w:ascii="Times New Roman" w:hAnsi="Times New Roman" w:eastAsia="宋体" w:cs="宋体"/>
                      <w:color w:val="auto"/>
                      <w:sz w:val="21"/>
                      <w:szCs w:val="21"/>
                    </w:rPr>
                  </w:pPr>
                </w:p>
              </w:tc>
              <w:tc>
                <w:tcPr>
                  <w:tcW w:w="1108" w:type="dxa"/>
                  <w:vAlign w:val="center"/>
                </w:tcPr>
                <w:p w14:paraId="7ADDABBA">
                  <w:pPr>
                    <w:ind w:left="-105" w:leftChars="-50" w:right="-105" w:rightChars="-50"/>
                    <w:contextualSpacing/>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危险废物</w:t>
                  </w:r>
                </w:p>
              </w:tc>
              <w:tc>
                <w:tcPr>
                  <w:tcW w:w="5029" w:type="dxa"/>
                  <w:vAlign w:val="center"/>
                </w:tcPr>
                <w:p w14:paraId="286F8C5A">
                  <w:pPr>
                    <w:pStyle w:val="98"/>
                    <w:spacing w:before="32" w:line="247" w:lineRule="auto"/>
                    <w:ind w:right="8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 w:val="21"/>
                      <w:szCs w:val="21"/>
                    </w:rPr>
                    <w:t>设置1个</w:t>
                  </w:r>
                  <w:r>
                    <w:rPr>
                      <w:rFonts w:hint="eastAsia" w:ascii="Times New Roman" w:hAnsi="Times New Roman" w:eastAsia="宋体" w:cs="宋体"/>
                      <w:color w:val="auto"/>
                      <w:sz w:val="21"/>
                      <w:szCs w:val="21"/>
                      <w:lang w:val="en-US" w:eastAsia="zh-CN"/>
                    </w:rPr>
                    <w:t>危废暂存间</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面积5</w:t>
                  </w:r>
                  <w:r>
                    <w:rPr>
                      <w:rFonts w:hint="eastAsia" w:ascii="Times New Roman" w:hAnsi="Times New Roman" w:cs="宋体"/>
                      <w:color w:val="auto"/>
                      <w:sz w:val="21"/>
                      <w:szCs w:val="21"/>
                      <w:lang w:val="en-US" w:eastAsia="zh-CN"/>
                    </w:rPr>
                    <w:t>㎡，用于收集暂存危险废物</w:t>
                  </w:r>
                  <w:r>
                    <w:rPr>
                      <w:rFonts w:hint="eastAsia" w:ascii="Times New Roman" w:hAnsi="Times New Roman" w:eastAsia="宋体" w:cs="宋体"/>
                      <w:color w:val="auto"/>
                      <w:sz w:val="21"/>
                      <w:szCs w:val="21"/>
                      <w:lang w:val="en-US" w:eastAsia="zh-CN"/>
                    </w:rPr>
                    <w:t>。</w:t>
                  </w:r>
                  <w:r>
                    <w:rPr>
                      <w:rFonts w:ascii="Times New Roman" w:hAnsi="Times New Roman"/>
                      <w:color w:val="auto"/>
                      <w:spacing w:val="28"/>
                      <w:sz w:val="20"/>
                      <w:szCs w:val="20"/>
                    </w:rPr>
                    <w:t>危险废物暂存间按《危险废物贮存污染控制标准》</w:t>
                  </w:r>
                  <w:r>
                    <w:rPr>
                      <w:rFonts w:ascii="Times New Roman" w:hAnsi="Times New Roman"/>
                      <w:color w:val="auto"/>
                      <w:sz w:val="20"/>
                      <w:szCs w:val="20"/>
                    </w:rPr>
                    <w:t xml:space="preserve"> </w:t>
                  </w:r>
                  <w:r>
                    <w:rPr>
                      <w:rFonts w:ascii="Times New Roman" w:hAnsi="Times New Roman" w:eastAsia="Times New Roman" w:cs="Times New Roman"/>
                      <w:color w:val="auto"/>
                      <w:spacing w:val="8"/>
                      <w:sz w:val="20"/>
                      <w:szCs w:val="20"/>
                    </w:rPr>
                    <w:t>((</w:t>
                  </w:r>
                  <w:r>
                    <w:rPr>
                      <w:rFonts w:ascii="Times New Roman" w:hAnsi="Times New Roman" w:eastAsia="Times New Roman" w:cs="Times New Roman"/>
                      <w:color w:val="auto"/>
                      <w:sz w:val="20"/>
                      <w:szCs w:val="20"/>
                    </w:rPr>
                    <w:t>GB</w:t>
                  </w:r>
                  <w:r>
                    <w:rPr>
                      <w:rFonts w:ascii="Times New Roman" w:hAnsi="Times New Roman" w:eastAsia="Times New Roman" w:cs="Times New Roman"/>
                      <w:color w:val="auto"/>
                      <w:spacing w:val="8"/>
                      <w:sz w:val="20"/>
                      <w:szCs w:val="20"/>
                    </w:rPr>
                    <w:t>18597-2023</w:t>
                  </w:r>
                  <w:r>
                    <w:rPr>
                      <w:rFonts w:ascii="Times New Roman" w:hAnsi="Times New Roman"/>
                      <w:color w:val="auto"/>
                      <w:spacing w:val="8"/>
                      <w:sz w:val="20"/>
                      <w:szCs w:val="20"/>
                    </w:rPr>
                    <w:t>）要求建设，</w:t>
                  </w:r>
                  <w:r>
                    <w:rPr>
                      <w:rFonts w:hint="eastAsia" w:ascii="Times New Roman" w:hAnsi="Times New Roman" w:eastAsia="宋体" w:cs="宋体"/>
                      <w:color w:val="auto"/>
                      <w:kern w:val="2"/>
                      <w:sz w:val="21"/>
                      <w:szCs w:val="21"/>
                      <w:lang w:val="en-US" w:eastAsia="zh-CN" w:bidi="ar-SA"/>
                    </w:rPr>
                    <w:t>地面和四周墙裙脚进行重点防渗处理，渗透系数≤10</w:t>
                  </w:r>
                  <w:r>
                    <w:rPr>
                      <w:rFonts w:hint="eastAsia" w:ascii="Times New Roman" w:hAnsi="Times New Roman" w:eastAsia="宋体" w:cs="宋体"/>
                      <w:color w:val="auto"/>
                      <w:kern w:val="2"/>
                      <w:sz w:val="21"/>
                      <w:szCs w:val="21"/>
                      <w:vertAlign w:val="superscript"/>
                      <w:lang w:val="en-US" w:eastAsia="zh-CN" w:bidi="ar-SA"/>
                    </w:rPr>
                    <w:t>-10</w:t>
                  </w:r>
                  <w:r>
                    <w:rPr>
                      <w:rFonts w:hint="eastAsia" w:ascii="Times New Roman" w:hAnsi="Times New Roman" w:eastAsia="宋体" w:cs="宋体"/>
                      <w:color w:val="auto"/>
                      <w:kern w:val="2"/>
                      <w:sz w:val="21"/>
                      <w:szCs w:val="21"/>
                      <w:lang w:val="en-US" w:eastAsia="zh-CN" w:bidi="ar-SA"/>
                    </w:rPr>
                    <w:t>cm/s，并按照</w:t>
                  </w:r>
                  <w:r>
                    <w:rPr>
                      <w:rFonts w:hint="default" w:ascii="Times New Roman" w:hAnsi="Times New Roman" w:eastAsia="宋体" w:cs="Times New Roman"/>
                      <w:color w:val="auto"/>
                      <w:sz w:val="21"/>
                      <w:szCs w:val="21"/>
                      <w:highlight w:val="none"/>
                    </w:rPr>
                    <w:t>《危险废物识别标志设置技术规范》（HJ1276-2022）</w:t>
                  </w:r>
                  <w:r>
                    <w:rPr>
                      <w:rFonts w:hint="eastAsia" w:ascii="Times New Roman" w:hAnsi="Times New Roman" w:eastAsia="宋体" w:cs="宋体"/>
                      <w:color w:val="auto"/>
                      <w:kern w:val="2"/>
                      <w:sz w:val="21"/>
                      <w:szCs w:val="21"/>
                      <w:lang w:val="en-US" w:eastAsia="zh-CN" w:bidi="ar-SA"/>
                    </w:rPr>
                    <w:t>要求设置规范的标识标牌</w:t>
                  </w:r>
                  <w:r>
                    <w:rPr>
                      <w:rFonts w:hint="eastAsia" w:ascii="Times New Roman" w:hAnsi="Times New Roman" w:cs="宋体"/>
                      <w:color w:val="auto"/>
                      <w:kern w:val="2"/>
                      <w:sz w:val="21"/>
                      <w:szCs w:val="21"/>
                      <w:lang w:val="en-US" w:eastAsia="zh-CN" w:bidi="ar-SA"/>
                    </w:rPr>
                    <w:t>。</w:t>
                  </w:r>
                </w:p>
              </w:tc>
              <w:tc>
                <w:tcPr>
                  <w:tcW w:w="971" w:type="dxa"/>
                  <w:vMerge w:val="continue"/>
                  <w:vAlign w:val="center"/>
                </w:tcPr>
                <w:p w14:paraId="4D2F5A60">
                  <w:pPr>
                    <w:ind w:left="-105" w:leftChars="-50" w:right="-105" w:rightChars="-50"/>
                    <w:contextualSpacing/>
                    <w:jc w:val="center"/>
                    <w:rPr>
                      <w:rFonts w:hint="eastAsia" w:ascii="Times New Roman" w:hAnsi="Times New Roman" w:eastAsia="宋体" w:cs="宋体"/>
                      <w:color w:val="auto"/>
                      <w:sz w:val="21"/>
                      <w:szCs w:val="21"/>
                    </w:rPr>
                  </w:pPr>
                </w:p>
              </w:tc>
            </w:tr>
            <w:tr w14:paraId="1EA9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14:paraId="1FF1C505">
                  <w:pPr>
                    <w:ind w:left="-105" w:leftChars="-50" w:right="-105" w:rightChars="-50"/>
                    <w:contextualSpacing/>
                    <w:jc w:val="center"/>
                    <w:rPr>
                      <w:rFonts w:hint="eastAsia" w:ascii="Times New Roman" w:hAnsi="Times New Roman" w:eastAsia="宋体" w:cs="宋体"/>
                      <w:color w:val="auto"/>
                      <w:sz w:val="21"/>
                      <w:szCs w:val="21"/>
                    </w:rPr>
                  </w:pPr>
                </w:p>
              </w:tc>
              <w:tc>
                <w:tcPr>
                  <w:tcW w:w="426" w:type="dxa"/>
                  <w:vMerge w:val="continue"/>
                  <w:vAlign w:val="center"/>
                </w:tcPr>
                <w:p w14:paraId="113C108B">
                  <w:pPr>
                    <w:ind w:left="-105" w:leftChars="-50" w:right="-105" w:rightChars="-50"/>
                    <w:contextualSpacing/>
                    <w:jc w:val="center"/>
                    <w:rPr>
                      <w:rFonts w:hint="eastAsia" w:ascii="Times New Roman" w:hAnsi="Times New Roman" w:eastAsia="宋体" w:cs="宋体"/>
                      <w:color w:val="auto"/>
                      <w:sz w:val="21"/>
                      <w:szCs w:val="21"/>
                    </w:rPr>
                  </w:pPr>
                </w:p>
              </w:tc>
              <w:tc>
                <w:tcPr>
                  <w:tcW w:w="1108" w:type="dxa"/>
                  <w:vAlign w:val="center"/>
                </w:tcPr>
                <w:p w14:paraId="402D961B">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生活垃圾</w:t>
                  </w:r>
                </w:p>
              </w:tc>
              <w:tc>
                <w:tcPr>
                  <w:tcW w:w="5029" w:type="dxa"/>
                  <w:vAlign w:val="center"/>
                </w:tcPr>
                <w:p w14:paraId="6F1DB3D6">
                  <w:pPr>
                    <w:ind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color w:val="auto"/>
                      <w:lang w:val="en-US" w:eastAsia="zh-CN"/>
                    </w:rPr>
                    <w:t>生活垃</w:t>
                  </w:r>
                  <w:r>
                    <w:rPr>
                      <w:rFonts w:hint="eastAsia" w:ascii="Times New Roman" w:hAnsi="Times New Roman" w:eastAsia="宋体" w:cs="Times New Roman"/>
                      <w:color w:val="auto"/>
                      <w:lang w:val="en-US" w:eastAsia="zh-CN"/>
                    </w:rPr>
                    <w:t>圾经垃圾桶统一收集后</w:t>
                  </w:r>
                  <w:r>
                    <w:rPr>
                      <w:rFonts w:hint="eastAsia" w:ascii="Times New Roman" w:hAnsi="Times New Roman"/>
                      <w:color w:val="auto"/>
                      <w:lang w:val="en-US" w:eastAsia="zh-CN"/>
                    </w:rPr>
                    <w:t>，</w:t>
                  </w:r>
                  <w:r>
                    <w:rPr>
                      <w:rFonts w:hint="default" w:ascii="Times New Roman" w:hAnsi="Times New Roman"/>
                      <w:color w:val="auto"/>
                      <w:lang w:val="en-US" w:eastAsia="zh-CN"/>
                    </w:rPr>
                    <w:t>清运至最近的生活垃圾收集点</w:t>
                  </w:r>
                  <w:r>
                    <w:rPr>
                      <w:rFonts w:hint="eastAsia" w:ascii="Times New Roman" w:hAnsi="Times New Roman"/>
                      <w:color w:val="auto"/>
                      <w:lang w:val="en-US" w:eastAsia="zh-CN"/>
                    </w:rPr>
                    <w:t>由</w:t>
                  </w:r>
                  <w:r>
                    <w:rPr>
                      <w:rFonts w:hint="default" w:ascii="Times New Roman" w:hAnsi="Times New Roman"/>
                      <w:color w:val="auto"/>
                      <w:lang w:val="en-US" w:eastAsia="zh-CN"/>
                    </w:rPr>
                    <w:t>环卫部门清运处置</w:t>
                  </w:r>
                </w:p>
              </w:tc>
              <w:tc>
                <w:tcPr>
                  <w:tcW w:w="971" w:type="dxa"/>
                  <w:vMerge w:val="continue"/>
                  <w:vAlign w:val="center"/>
                </w:tcPr>
                <w:p w14:paraId="790CEDE8">
                  <w:pPr>
                    <w:ind w:left="-105" w:leftChars="-50" w:right="-105" w:rightChars="-50"/>
                    <w:contextualSpacing/>
                    <w:jc w:val="center"/>
                    <w:rPr>
                      <w:rFonts w:hint="eastAsia" w:ascii="Times New Roman" w:hAnsi="Times New Roman" w:eastAsia="宋体" w:cs="宋体"/>
                      <w:color w:val="auto"/>
                      <w:sz w:val="21"/>
                      <w:szCs w:val="21"/>
                    </w:rPr>
                  </w:pPr>
                </w:p>
              </w:tc>
            </w:tr>
            <w:tr w14:paraId="152C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14:paraId="6A22AF63">
                  <w:pPr>
                    <w:ind w:left="-105" w:leftChars="-50" w:right="-105" w:rightChars="-50"/>
                    <w:contextualSpacing/>
                    <w:jc w:val="center"/>
                    <w:rPr>
                      <w:rFonts w:hint="eastAsia" w:ascii="Times New Roman" w:hAnsi="Times New Roman" w:eastAsia="宋体" w:cs="宋体"/>
                      <w:color w:val="auto"/>
                      <w:sz w:val="21"/>
                      <w:szCs w:val="21"/>
                    </w:rPr>
                  </w:pPr>
                </w:p>
              </w:tc>
              <w:tc>
                <w:tcPr>
                  <w:tcW w:w="1534" w:type="dxa"/>
                  <w:gridSpan w:val="2"/>
                  <w:vAlign w:val="center"/>
                </w:tcPr>
                <w:p w14:paraId="4136FB31">
                  <w:pPr>
                    <w:ind w:right="-105" w:rightChars="-50"/>
                    <w:contextualSpacing/>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噪声</w:t>
                  </w:r>
                </w:p>
              </w:tc>
              <w:tc>
                <w:tcPr>
                  <w:tcW w:w="5029" w:type="dxa"/>
                  <w:vAlign w:val="center"/>
                </w:tcPr>
                <w:p w14:paraId="433809F6">
                  <w:pPr>
                    <w:ind w:right="-105" w:rightChars="-50"/>
                    <w:contextualSpacing/>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bCs/>
                      <w:color w:val="auto"/>
                      <w:sz w:val="21"/>
                      <w:szCs w:val="21"/>
                    </w:rPr>
                    <w:t>厂房隔声、距离衰减、安装减震垫</w:t>
                  </w:r>
                </w:p>
              </w:tc>
              <w:tc>
                <w:tcPr>
                  <w:tcW w:w="971" w:type="dxa"/>
                  <w:vAlign w:val="center"/>
                </w:tcPr>
                <w:p w14:paraId="642D5CCD">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cs="宋体"/>
                      <w:bCs/>
                      <w:color w:val="auto"/>
                      <w:sz w:val="21"/>
                      <w:szCs w:val="21"/>
                      <w:lang w:val="en-US" w:eastAsia="zh-CN"/>
                    </w:rPr>
                    <w:t>新建</w:t>
                  </w:r>
                </w:p>
              </w:tc>
            </w:tr>
          </w:tbl>
          <w:p w14:paraId="2479B46E">
            <w:pPr>
              <w:pStyle w:val="99"/>
              <w:numPr>
                <w:ilvl w:val="1"/>
                <w:numId w:val="0"/>
              </w:numPr>
              <w:spacing w:before="312" w:beforeLines="100" w:line="360" w:lineRule="auto"/>
              <w:ind w:left="567" w:leftChars="0"/>
              <w:rPr>
                <w:rFonts w:hint="eastAsia" w:ascii="Times New Roman" w:hAnsi="Times New Roman" w:eastAsia="宋体" w:cs="Times New Roman"/>
                <w:b/>
                <w:color w:val="auto"/>
                <w:kern w:val="0"/>
                <w:sz w:val="24"/>
                <w:szCs w:val="24"/>
                <w:lang w:val="en-US" w:eastAsia="zh-CN" w:bidi="ar-SA"/>
              </w:rPr>
            </w:pPr>
            <w:r>
              <w:rPr>
                <w:rFonts w:hint="eastAsia" w:ascii="Times New Roman" w:hAnsi="Times New Roman" w:eastAsia="宋体" w:cs="Times New Roman"/>
                <w:b/>
                <w:color w:val="auto"/>
                <w:kern w:val="0"/>
                <w:sz w:val="24"/>
                <w:szCs w:val="24"/>
                <w:lang w:val="en-US" w:eastAsia="zh-CN" w:bidi="ar-SA"/>
              </w:rPr>
              <w:t>4、项目</w:t>
            </w:r>
            <w:r>
              <w:rPr>
                <w:rFonts w:hint="eastAsia" w:ascii="Times New Roman" w:hAnsi="Times New Roman" w:cs="Times New Roman"/>
                <w:b/>
                <w:color w:val="auto"/>
                <w:kern w:val="0"/>
                <w:sz w:val="24"/>
                <w:szCs w:val="24"/>
                <w:lang w:val="en-US" w:eastAsia="zh-CN" w:bidi="ar-SA"/>
              </w:rPr>
              <w:t>产品方案</w:t>
            </w:r>
          </w:p>
          <w:p w14:paraId="6C0BA784">
            <w:pPr>
              <w:pStyle w:val="73"/>
              <w:spacing w:line="360" w:lineRule="auto"/>
              <w:ind w:firstLine="48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rPr>
              <w:t>根据建设单位提供的资料，项目产品方案及规模详见下表</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-2：</w:t>
            </w:r>
            <w:r>
              <w:rPr>
                <w:rFonts w:hint="eastAsia" w:ascii="Times New Roman" w:hAnsi="Times New Roman" w:eastAsia="宋体"/>
                <w:color w:val="auto"/>
                <w:sz w:val="24"/>
                <w:szCs w:val="24"/>
                <w:lang w:val="en-US" w:eastAsia="zh-CN"/>
              </w:rPr>
              <w:t xml:space="preserve"> </w:t>
            </w:r>
          </w:p>
          <w:p w14:paraId="16265EB4">
            <w:pPr>
              <w:pStyle w:val="73"/>
              <w:spacing w:line="360" w:lineRule="auto"/>
              <w:ind w:firstLine="422"/>
              <w:jc w:val="center"/>
              <w:rPr>
                <w:rFonts w:hint="default" w:ascii="Times New Roman" w:hAnsi="Times New Roman" w:eastAsia="宋体"/>
                <w:color w:val="auto"/>
                <w:sz w:val="24"/>
                <w:szCs w:val="24"/>
                <w:lang w:val="en-US" w:eastAsia="zh-CN"/>
              </w:rPr>
            </w:pPr>
            <w:r>
              <w:rPr>
                <w:rFonts w:hint="eastAsia" w:ascii="Times New Roman" w:hAnsi="Times New Roman"/>
                <w:b/>
                <w:color w:val="auto"/>
                <w:szCs w:val="21"/>
                <w:lang w:val="en-US" w:eastAsia="zh-CN"/>
              </w:rPr>
              <w:t>表2</w:t>
            </w:r>
            <w:r>
              <w:rPr>
                <w:rFonts w:ascii="Times New Roman" w:hAnsi="Times New Roman" w:eastAsia="宋体"/>
                <w:b/>
                <w:color w:val="auto"/>
                <w:szCs w:val="21"/>
              </w:rPr>
              <w:t xml:space="preserve">-2 </w:t>
            </w:r>
            <w:r>
              <w:rPr>
                <w:rFonts w:hint="eastAsia" w:ascii="Times New Roman" w:hAnsi="Times New Roman" w:eastAsia="宋体"/>
                <w:b/>
                <w:color w:val="auto"/>
                <w:szCs w:val="21"/>
              </w:rPr>
              <w:t>项目产品</w:t>
            </w:r>
            <w:r>
              <w:rPr>
                <w:rFonts w:hint="eastAsia" w:ascii="Times New Roman" w:hAnsi="Times New Roman"/>
                <w:b/>
                <w:color w:val="auto"/>
                <w:szCs w:val="21"/>
                <w:lang w:val="en-US" w:eastAsia="zh-CN"/>
              </w:rPr>
              <w:t>方案一览表</w:t>
            </w:r>
          </w:p>
          <w:tbl>
            <w:tblPr>
              <w:tblStyle w:val="80"/>
              <w:tblW w:w="80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750"/>
              <w:gridCol w:w="1172"/>
              <w:gridCol w:w="1306"/>
              <w:gridCol w:w="3034"/>
            </w:tblGrid>
            <w:tr w14:paraId="1752B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756" w:type="dxa"/>
                  <w:vAlign w:val="center"/>
                </w:tcPr>
                <w:p w14:paraId="6F4593F0">
                  <w:pPr>
                    <w:pStyle w:val="98"/>
                    <w:spacing w:before="79" w:line="221"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序号</w:t>
                  </w:r>
                </w:p>
              </w:tc>
              <w:tc>
                <w:tcPr>
                  <w:tcW w:w="1750" w:type="dxa"/>
                  <w:vAlign w:val="center"/>
                </w:tcPr>
                <w:p w14:paraId="024D79C0">
                  <w:pPr>
                    <w:pStyle w:val="98"/>
                    <w:spacing w:before="79" w:line="219"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产品名称</w:t>
                  </w:r>
                </w:p>
              </w:tc>
              <w:tc>
                <w:tcPr>
                  <w:tcW w:w="2478" w:type="dxa"/>
                  <w:gridSpan w:val="2"/>
                  <w:vAlign w:val="center"/>
                </w:tcPr>
                <w:p w14:paraId="2A74B74D">
                  <w:pPr>
                    <w:pStyle w:val="98"/>
                    <w:spacing w:before="79" w:line="219"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生产规模</w:t>
                  </w:r>
                </w:p>
              </w:tc>
              <w:tc>
                <w:tcPr>
                  <w:tcW w:w="3034" w:type="dxa"/>
                  <w:vAlign w:val="center"/>
                </w:tcPr>
                <w:p w14:paraId="44A30745">
                  <w:pPr>
                    <w:pStyle w:val="98"/>
                    <w:spacing w:before="79" w:line="221"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备注</w:t>
                  </w:r>
                </w:p>
              </w:tc>
            </w:tr>
            <w:tr w14:paraId="212A2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jc w:val="center"/>
              </w:trPr>
              <w:tc>
                <w:tcPr>
                  <w:tcW w:w="756" w:type="dxa"/>
                  <w:vAlign w:val="center"/>
                </w:tcPr>
                <w:p w14:paraId="5AFB9663">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1</w:t>
                  </w:r>
                </w:p>
              </w:tc>
              <w:tc>
                <w:tcPr>
                  <w:tcW w:w="1750" w:type="dxa"/>
                  <w:vAlign w:val="center"/>
                </w:tcPr>
                <w:p w14:paraId="7F09406B">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lang w:eastAsia="zh-CN"/>
                    </w:rPr>
                    <w:t>酒店布草、理发店毛巾</w:t>
                  </w:r>
                  <w:r>
                    <w:rPr>
                      <w:rFonts w:hint="eastAsia" w:ascii="Times New Roman" w:hAnsi="Times New Roman" w:eastAsia="宋体" w:cs="宋体"/>
                      <w:color w:val="auto"/>
                      <w:kern w:val="0"/>
                      <w:sz w:val="21"/>
                      <w:szCs w:val="21"/>
                      <w:lang w:val="en-US" w:eastAsia="zh-CN"/>
                    </w:rPr>
                    <w:t>洗涤</w:t>
                  </w:r>
                </w:p>
              </w:tc>
              <w:tc>
                <w:tcPr>
                  <w:tcW w:w="1172" w:type="dxa"/>
                  <w:vAlign w:val="center"/>
                </w:tcPr>
                <w:p w14:paraId="46191DC4">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lang w:val="en-US" w:eastAsia="zh-CN"/>
                    </w:rPr>
                    <w:t>70</w:t>
                  </w:r>
                  <w:r>
                    <w:rPr>
                      <w:rFonts w:hint="eastAsia" w:ascii="Times New Roman" w:hAnsi="Times New Roman" w:eastAsia="宋体" w:cs="宋体"/>
                      <w:color w:val="auto"/>
                      <w:kern w:val="0"/>
                      <w:sz w:val="21"/>
                      <w:szCs w:val="21"/>
                    </w:rPr>
                    <w:t>万套/a</w:t>
                  </w:r>
                </w:p>
              </w:tc>
              <w:tc>
                <w:tcPr>
                  <w:tcW w:w="1306" w:type="dxa"/>
                  <w:vAlign w:val="center"/>
                </w:tcPr>
                <w:p w14:paraId="312AFBA0">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约</w:t>
                  </w:r>
                  <w:r>
                    <w:rPr>
                      <w:rFonts w:hint="eastAsia" w:ascii="Times New Roman" w:hAnsi="Times New Roman" w:eastAsia="宋体" w:cs="宋体"/>
                      <w:color w:val="auto"/>
                      <w:kern w:val="0"/>
                      <w:sz w:val="21"/>
                      <w:szCs w:val="21"/>
                      <w:lang w:val="en-US" w:eastAsia="zh-CN"/>
                    </w:rPr>
                    <w:t>2334</w:t>
                  </w:r>
                  <w:r>
                    <w:rPr>
                      <w:rFonts w:hint="eastAsia" w:ascii="Times New Roman" w:hAnsi="Times New Roman" w:eastAsia="宋体" w:cs="宋体"/>
                      <w:color w:val="auto"/>
                      <w:kern w:val="0"/>
                      <w:sz w:val="21"/>
                      <w:szCs w:val="21"/>
                    </w:rPr>
                    <w:t>套/d</w:t>
                  </w:r>
                </w:p>
              </w:tc>
              <w:tc>
                <w:tcPr>
                  <w:tcW w:w="3034" w:type="dxa"/>
                  <w:vAlign w:val="center"/>
                </w:tcPr>
                <w:p w14:paraId="1D60171A">
                  <w:pPr>
                    <w:widowControl/>
                    <w:jc w:val="center"/>
                    <w:rPr>
                      <w:rFonts w:hint="eastAsia"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洗涤</w:t>
                  </w:r>
                  <w:r>
                    <w:rPr>
                      <w:rFonts w:hint="eastAsia" w:ascii="Times New Roman" w:hAnsi="Times New Roman" w:eastAsia="宋体" w:cs="宋体"/>
                      <w:color w:val="auto"/>
                      <w:kern w:val="0"/>
                      <w:sz w:val="21"/>
                      <w:szCs w:val="21"/>
                      <w:lang w:eastAsia="zh-CN"/>
                    </w:rPr>
                    <w:t>酒店布草</w:t>
                  </w:r>
                  <w:r>
                    <w:rPr>
                      <w:rFonts w:hint="eastAsia" w:ascii="Times New Roman" w:hAnsi="Times New Roman" w:cs="宋体"/>
                      <w:color w:val="auto"/>
                      <w:kern w:val="0"/>
                      <w:sz w:val="21"/>
                      <w:szCs w:val="21"/>
                      <w:lang w:val="en-US" w:eastAsia="zh-CN"/>
                    </w:rPr>
                    <w:t>40万套</w:t>
                  </w:r>
                  <w:r>
                    <w:rPr>
                      <w:rFonts w:hint="eastAsia" w:ascii="Times New Roman" w:hAnsi="Times New Roman" w:eastAsia="宋体" w:cs="宋体"/>
                      <w:color w:val="auto"/>
                      <w:kern w:val="0"/>
                      <w:sz w:val="21"/>
                      <w:szCs w:val="21"/>
                    </w:rPr>
                    <w:t>/a</w:t>
                  </w:r>
                  <w:r>
                    <w:rPr>
                      <w:rFonts w:hint="eastAsia" w:ascii="Times New Roman" w:hAnsi="Times New Roman" w:eastAsia="宋体" w:cs="宋体"/>
                      <w:color w:val="auto"/>
                      <w:kern w:val="0"/>
                      <w:sz w:val="21"/>
                      <w:szCs w:val="21"/>
                      <w:lang w:eastAsia="zh-CN"/>
                    </w:rPr>
                    <w:t>、理发店毛巾</w:t>
                  </w:r>
                  <w:r>
                    <w:rPr>
                      <w:rFonts w:hint="eastAsia" w:ascii="Times New Roman" w:hAnsi="Times New Roman" w:cs="宋体"/>
                      <w:color w:val="auto"/>
                      <w:kern w:val="0"/>
                      <w:sz w:val="21"/>
                      <w:szCs w:val="21"/>
                      <w:lang w:val="en-US" w:eastAsia="zh-CN"/>
                    </w:rPr>
                    <w:t>30万套</w:t>
                  </w:r>
                  <w:r>
                    <w:rPr>
                      <w:rFonts w:hint="eastAsia" w:ascii="Times New Roman" w:hAnsi="Times New Roman" w:eastAsia="宋体" w:cs="宋体"/>
                      <w:color w:val="auto"/>
                      <w:kern w:val="0"/>
                      <w:sz w:val="21"/>
                      <w:szCs w:val="21"/>
                    </w:rPr>
                    <w:t>/a，不</w:t>
                  </w:r>
                  <w:r>
                    <w:rPr>
                      <w:rFonts w:hint="eastAsia" w:ascii="Times New Roman" w:hAnsi="Times New Roman" w:eastAsia="宋体" w:cs="宋体"/>
                      <w:color w:val="auto"/>
                      <w:kern w:val="0"/>
                      <w:sz w:val="21"/>
                      <w:szCs w:val="21"/>
                      <w:lang w:val="en-US" w:eastAsia="zh-CN"/>
                    </w:rPr>
                    <w:t>涉及干洗</w:t>
                  </w:r>
                </w:p>
              </w:tc>
            </w:tr>
          </w:tbl>
          <w:p w14:paraId="1211B450">
            <w:pPr>
              <w:autoSpaceDE w:val="0"/>
              <w:autoSpaceDN w:val="0"/>
              <w:adjustRightInd w:val="0"/>
              <w:ind w:firstLine="482"/>
              <w:outlineLvl w:val="0"/>
              <w:rPr>
                <w:rFonts w:hint="eastAsia" w:ascii="Times New Roman" w:hAnsi="Times New Roman"/>
                <w:b/>
                <w:color w:val="auto"/>
                <w:kern w:val="0"/>
                <w:sz w:val="24"/>
              </w:rPr>
            </w:pPr>
          </w:p>
          <w:p w14:paraId="1BCFB556">
            <w:pPr>
              <w:autoSpaceDE w:val="0"/>
              <w:autoSpaceDN w:val="0"/>
              <w:adjustRightInd w:val="0"/>
              <w:spacing w:line="360" w:lineRule="auto"/>
              <w:ind w:firstLine="482"/>
              <w:outlineLvl w:val="0"/>
              <w:rPr>
                <w:rFonts w:ascii="Times New Roman" w:hAnsi="Times New Roman"/>
                <w:b/>
                <w:color w:val="auto"/>
                <w:kern w:val="0"/>
                <w:sz w:val="24"/>
              </w:rPr>
            </w:pPr>
            <w:r>
              <w:rPr>
                <w:rFonts w:hint="eastAsia" w:ascii="Times New Roman" w:hAnsi="Times New Roman"/>
                <w:b/>
                <w:color w:val="auto"/>
                <w:kern w:val="0"/>
                <w:sz w:val="24"/>
              </w:rPr>
              <w:t>5、主要设备设施一览表</w:t>
            </w:r>
          </w:p>
          <w:p w14:paraId="090E95E8">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项目主要</w:t>
            </w:r>
            <w:r>
              <w:rPr>
                <w:rFonts w:hint="eastAsia" w:ascii="Times New Roman" w:hAnsi="Times New Roman"/>
                <w:bCs/>
                <w:color w:val="auto"/>
                <w:sz w:val="24"/>
                <w:lang w:val="en-US" w:eastAsia="zh-CN"/>
              </w:rPr>
              <w:t>生产</w:t>
            </w:r>
            <w:r>
              <w:rPr>
                <w:rFonts w:hint="eastAsia" w:ascii="Times New Roman" w:hAnsi="Times New Roman"/>
                <w:bCs/>
                <w:color w:val="auto"/>
                <w:sz w:val="24"/>
              </w:rPr>
              <w:t>设备设施详见表2-</w:t>
            </w:r>
            <w:r>
              <w:rPr>
                <w:rFonts w:hint="eastAsia" w:ascii="Times New Roman" w:hAnsi="Times New Roman"/>
                <w:bCs/>
                <w:color w:val="auto"/>
                <w:sz w:val="24"/>
                <w:lang w:val="en-US" w:eastAsia="zh-CN"/>
              </w:rPr>
              <w:t>3</w:t>
            </w:r>
            <w:r>
              <w:rPr>
                <w:rFonts w:hint="eastAsia" w:ascii="Times New Roman" w:hAnsi="Times New Roman"/>
                <w:bCs/>
                <w:color w:val="auto"/>
                <w:sz w:val="24"/>
              </w:rPr>
              <w:t>所示。</w:t>
            </w:r>
          </w:p>
          <w:p w14:paraId="71D4E682">
            <w:pPr>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3</w:t>
            </w:r>
            <w:r>
              <w:rPr>
                <w:rFonts w:hint="eastAsia" w:ascii="Times New Roman" w:hAnsi="Times New Roman"/>
                <w:b/>
                <w:color w:val="auto"/>
                <w:szCs w:val="21"/>
              </w:rPr>
              <w:t>项目</w:t>
            </w:r>
            <w:r>
              <w:rPr>
                <w:rFonts w:ascii="Times New Roman" w:hAnsi="Times New Roman"/>
                <w:b/>
                <w:color w:val="auto"/>
                <w:szCs w:val="21"/>
              </w:rPr>
              <w:t>主要</w:t>
            </w:r>
            <w:r>
              <w:rPr>
                <w:rFonts w:hint="eastAsia" w:ascii="Times New Roman" w:hAnsi="Times New Roman"/>
                <w:b/>
                <w:color w:val="auto"/>
                <w:szCs w:val="21"/>
                <w:lang w:val="en-US" w:eastAsia="zh-CN"/>
              </w:rPr>
              <w:t>生产</w:t>
            </w:r>
            <w:r>
              <w:rPr>
                <w:rFonts w:ascii="Times New Roman" w:hAnsi="Times New Roman"/>
                <w:b/>
                <w:color w:val="auto"/>
                <w:szCs w:val="21"/>
              </w:rPr>
              <w:t>设备设施表</w:t>
            </w:r>
          </w:p>
          <w:tbl>
            <w:tblPr>
              <w:tblStyle w:val="80"/>
              <w:tblW w:w="7146" w:type="dxa"/>
              <w:tblInd w:w="4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2215"/>
              <w:gridCol w:w="1841"/>
              <w:gridCol w:w="831"/>
              <w:gridCol w:w="1431"/>
            </w:tblGrid>
            <w:tr w14:paraId="54AA5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06BD3EFE">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2215" w:type="dxa"/>
                  <w:vAlign w:val="center"/>
                </w:tcPr>
                <w:p w14:paraId="5B045A63">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设备名称</w:t>
                  </w:r>
                </w:p>
              </w:tc>
              <w:tc>
                <w:tcPr>
                  <w:tcW w:w="1841" w:type="dxa"/>
                  <w:vAlign w:val="center"/>
                </w:tcPr>
                <w:p w14:paraId="1A7C912B">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规格或型号</w:t>
                  </w:r>
                </w:p>
              </w:tc>
              <w:tc>
                <w:tcPr>
                  <w:tcW w:w="831" w:type="dxa"/>
                  <w:vAlign w:val="center"/>
                </w:tcPr>
                <w:p w14:paraId="0CD5009A">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单位</w:t>
                  </w:r>
                </w:p>
              </w:tc>
              <w:tc>
                <w:tcPr>
                  <w:tcW w:w="1431" w:type="dxa"/>
                  <w:vAlign w:val="center"/>
                </w:tcPr>
                <w:p w14:paraId="5006AB08">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数量</w:t>
                  </w:r>
                </w:p>
              </w:tc>
            </w:tr>
            <w:tr w14:paraId="3B5FF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3338D93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2215" w:type="dxa"/>
                  <w:vAlign w:val="center"/>
                </w:tcPr>
                <w:p w14:paraId="40AD1CB7">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洗脱机</w:t>
                  </w:r>
                </w:p>
              </w:tc>
              <w:tc>
                <w:tcPr>
                  <w:tcW w:w="1841" w:type="dxa"/>
                  <w:vAlign w:val="center"/>
                </w:tcPr>
                <w:p w14:paraId="744231F0">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XGQ-1</w:t>
                  </w:r>
                  <w:r>
                    <w:rPr>
                      <w:rFonts w:hint="eastAsia" w:ascii="Times New Roman" w:hAnsi="Times New Roman" w:cs="宋体"/>
                      <w:color w:val="auto"/>
                      <w:sz w:val="21"/>
                      <w:szCs w:val="21"/>
                      <w:lang w:val="en-US" w:eastAsia="zh-CN"/>
                    </w:rPr>
                    <w:t>00</w:t>
                  </w:r>
                  <w:r>
                    <w:rPr>
                      <w:rFonts w:hint="eastAsia" w:ascii="Times New Roman" w:hAnsi="Times New Roman" w:eastAsia="宋体" w:cs="宋体"/>
                      <w:color w:val="auto"/>
                      <w:sz w:val="21"/>
                      <w:szCs w:val="21"/>
                      <w:lang w:val="en-US" w:eastAsia="zh-CN"/>
                    </w:rPr>
                    <w:t>FA</w:t>
                  </w:r>
                </w:p>
              </w:tc>
              <w:tc>
                <w:tcPr>
                  <w:tcW w:w="831" w:type="dxa"/>
                  <w:vAlign w:val="center"/>
                </w:tcPr>
                <w:p w14:paraId="6B0ABF9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25FDE583">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6</w:t>
                  </w:r>
                  <w:r>
                    <w:rPr>
                      <w:rFonts w:hint="eastAsia" w:ascii="Times New Roman" w:hAnsi="Times New Roman" w:eastAsia="宋体" w:cs="宋体"/>
                      <w:color w:val="auto"/>
                      <w:sz w:val="21"/>
                      <w:szCs w:val="21"/>
                    </w:rPr>
                    <w:t>（</w:t>
                  </w:r>
                  <w:r>
                    <w:rPr>
                      <w:rFonts w:hint="eastAsia" w:ascii="Times New Roman" w:hAnsi="Times New Roman" w:cs="宋体"/>
                      <w:color w:val="auto"/>
                      <w:sz w:val="21"/>
                      <w:szCs w:val="21"/>
                      <w:lang w:val="en-US" w:eastAsia="zh-CN"/>
                    </w:rPr>
                    <w:t>5</w:t>
                  </w:r>
                  <w:r>
                    <w:rPr>
                      <w:rFonts w:hint="eastAsia" w:ascii="Times New Roman" w:hAnsi="Times New Roman" w:eastAsia="宋体" w:cs="宋体"/>
                      <w:color w:val="auto"/>
                      <w:sz w:val="21"/>
                      <w:szCs w:val="21"/>
                    </w:rPr>
                    <w:t>用</w:t>
                  </w:r>
                  <w:r>
                    <w:rPr>
                      <w:rFonts w:hint="eastAsia" w:ascii="Times New Roman" w:hAnsi="Times New Roman" w:eastAsia="宋体" w:cs="宋体"/>
                      <w:color w:val="auto"/>
                      <w:sz w:val="21"/>
                      <w:szCs w:val="21"/>
                      <w:lang w:val="en-US" w:eastAsia="zh-CN"/>
                    </w:rPr>
                    <w:t>1</w:t>
                  </w:r>
                  <w:r>
                    <w:rPr>
                      <w:rFonts w:hint="eastAsia" w:ascii="Times New Roman" w:hAnsi="Times New Roman" w:eastAsia="宋体" w:cs="宋体"/>
                      <w:color w:val="auto"/>
                      <w:sz w:val="21"/>
                      <w:szCs w:val="21"/>
                    </w:rPr>
                    <w:t>备）</w:t>
                  </w:r>
                </w:p>
              </w:tc>
            </w:tr>
            <w:tr w14:paraId="74930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07DF10C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w:t>
                  </w:r>
                </w:p>
              </w:tc>
              <w:tc>
                <w:tcPr>
                  <w:tcW w:w="2215" w:type="dxa"/>
                  <w:vAlign w:val="center"/>
                </w:tcPr>
                <w:p w14:paraId="36D5888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烘干机</w:t>
                  </w:r>
                </w:p>
              </w:tc>
              <w:tc>
                <w:tcPr>
                  <w:tcW w:w="1841" w:type="dxa"/>
                  <w:vAlign w:val="center"/>
                </w:tcPr>
                <w:p w14:paraId="717513AA">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100kg</w:t>
                  </w:r>
                </w:p>
              </w:tc>
              <w:tc>
                <w:tcPr>
                  <w:tcW w:w="831" w:type="dxa"/>
                  <w:vAlign w:val="center"/>
                </w:tcPr>
                <w:p w14:paraId="0B8CD06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3590FB81">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4</w:t>
                  </w:r>
                </w:p>
              </w:tc>
            </w:tr>
            <w:tr w14:paraId="16B89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70D8FFD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w:t>
                  </w:r>
                </w:p>
              </w:tc>
              <w:tc>
                <w:tcPr>
                  <w:tcW w:w="2215" w:type="dxa"/>
                  <w:vAlign w:val="center"/>
                </w:tcPr>
                <w:p w14:paraId="43885C5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烫平机</w:t>
                  </w:r>
                </w:p>
              </w:tc>
              <w:tc>
                <w:tcPr>
                  <w:tcW w:w="1841" w:type="dxa"/>
                  <w:vAlign w:val="center"/>
                </w:tcPr>
                <w:p w14:paraId="7A5B6615">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w:t>
                  </w:r>
                </w:p>
              </w:tc>
              <w:tc>
                <w:tcPr>
                  <w:tcW w:w="831" w:type="dxa"/>
                  <w:vAlign w:val="center"/>
                </w:tcPr>
                <w:p w14:paraId="51873E7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43DFB86A">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2</w:t>
                  </w:r>
                </w:p>
              </w:tc>
            </w:tr>
            <w:tr w14:paraId="5608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3BA2C2B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4</w:t>
                  </w:r>
                </w:p>
              </w:tc>
              <w:tc>
                <w:tcPr>
                  <w:tcW w:w="2215" w:type="dxa"/>
                  <w:vAlign w:val="center"/>
                </w:tcPr>
                <w:p w14:paraId="7543D7D6">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折叠机</w:t>
                  </w:r>
                </w:p>
              </w:tc>
              <w:tc>
                <w:tcPr>
                  <w:tcW w:w="1841" w:type="dxa"/>
                  <w:vAlign w:val="center"/>
                </w:tcPr>
                <w:p w14:paraId="33792012">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w:t>
                  </w:r>
                </w:p>
              </w:tc>
              <w:tc>
                <w:tcPr>
                  <w:tcW w:w="831" w:type="dxa"/>
                  <w:vAlign w:val="center"/>
                </w:tcPr>
                <w:p w14:paraId="774EE8E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087E4DC1">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2</w:t>
                  </w:r>
                </w:p>
              </w:tc>
            </w:tr>
            <w:tr w14:paraId="705E0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7BAA9EF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w:t>
                  </w:r>
                </w:p>
              </w:tc>
              <w:tc>
                <w:tcPr>
                  <w:tcW w:w="2215" w:type="dxa"/>
                  <w:vAlign w:val="center"/>
                </w:tcPr>
                <w:p w14:paraId="44B8BD1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送布机</w:t>
                  </w:r>
                </w:p>
              </w:tc>
              <w:tc>
                <w:tcPr>
                  <w:tcW w:w="1841" w:type="dxa"/>
                  <w:vAlign w:val="center"/>
                </w:tcPr>
                <w:p w14:paraId="593CA970">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w:t>
                  </w:r>
                </w:p>
              </w:tc>
              <w:tc>
                <w:tcPr>
                  <w:tcW w:w="831" w:type="dxa"/>
                  <w:vAlign w:val="center"/>
                </w:tcPr>
                <w:p w14:paraId="116B4DB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0FC4C4F6">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2</w:t>
                  </w:r>
                </w:p>
              </w:tc>
            </w:tr>
            <w:tr w14:paraId="0A41F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3ED72DA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w:t>
                  </w:r>
                </w:p>
              </w:tc>
              <w:tc>
                <w:tcPr>
                  <w:tcW w:w="2215" w:type="dxa"/>
                  <w:vAlign w:val="center"/>
                </w:tcPr>
                <w:p w14:paraId="3D2E043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空压机</w:t>
                  </w:r>
                </w:p>
              </w:tc>
              <w:tc>
                <w:tcPr>
                  <w:tcW w:w="1841" w:type="dxa"/>
                  <w:vAlign w:val="center"/>
                </w:tcPr>
                <w:p w14:paraId="6B15EE0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831" w:type="dxa"/>
                  <w:vAlign w:val="center"/>
                </w:tcPr>
                <w:p w14:paraId="39F170C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648B094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r>
            <w:tr w14:paraId="74397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2FEEF9B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7</w:t>
                  </w:r>
                </w:p>
              </w:tc>
              <w:tc>
                <w:tcPr>
                  <w:tcW w:w="2215" w:type="dxa"/>
                  <w:vAlign w:val="center"/>
                </w:tcPr>
                <w:p w14:paraId="3AA921A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生物质蒸汽发生器</w:t>
                  </w:r>
                </w:p>
              </w:tc>
              <w:tc>
                <w:tcPr>
                  <w:tcW w:w="1841" w:type="dxa"/>
                  <w:vAlign w:val="center"/>
                </w:tcPr>
                <w:p w14:paraId="263D92B3">
                  <w:pPr>
                    <w:jc w:val="center"/>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3</w:t>
                  </w:r>
                  <w:r>
                    <w:rPr>
                      <w:rFonts w:hint="eastAsia" w:ascii="Times New Roman" w:hAnsi="Times New Roman" w:eastAsia="宋体" w:cs="宋体"/>
                      <w:color w:val="auto"/>
                      <w:sz w:val="21"/>
                      <w:szCs w:val="21"/>
                    </w:rPr>
                    <w:t>t/h</w:t>
                  </w:r>
                </w:p>
              </w:tc>
              <w:tc>
                <w:tcPr>
                  <w:tcW w:w="831" w:type="dxa"/>
                  <w:vAlign w:val="center"/>
                </w:tcPr>
                <w:p w14:paraId="24E9FCD6">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台</w:t>
                  </w:r>
                </w:p>
              </w:tc>
              <w:tc>
                <w:tcPr>
                  <w:tcW w:w="1431" w:type="dxa"/>
                  <w:vAlign w:val="center"/>
                </w:tcPr>
                <w:p w14:paraId="527987E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1</w:t>
                  </w:r>
                </w:p>
              </w:tc>
            </w:tr>
            <w:tr w14:paraId="41889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14:paraId="7522EED6">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8</w:t>
                  </w:r>
                </w:p>
              </w:tc>
              <w:tc>
                <w:tcPr>
                  <w:tcW w:w="2215" w:type="dxa"/>
                  <w:vAlign w:val="center"/>
                </w:tcPr>
                <w:p w14:paraId="24CA288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软水设备</w:t>
                  </w:r>
                </w:p>
              </w:tc>
              <w:tc>
                <w:tcPr>
                  <w:tcW w:w="1841" w:type="dxa"/>
                  <w:vAlign w:val="center"/>
                </w:tcPr>
                <w:p w14:paraId="268050E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831" w:type="dxa"/>
                  <w:vAlign w:val="center"/>
                </w:tcPr>
                <w:p w14:paraId="319661D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套</w:t>
                  </w:r>
                </w:p>
              </w:tc>
              <w:tc>
                <w:tcPr>
                  <w:tcW w:w="1431" w:type="dxa"/>
                  <w:vAlign w:val="center"/>
                </w:tcPr>
                <w:p w14:paraId="53A3371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r>
          </w:tbl>
          <w:p w14:paraId="32AA2B15">
            <w:pPr>
              <w:jc w:val="center"/>
              <w:rPr>
                <w:rFonts w:ascii="Times New Roman" w:hAnsi="Times New Roman"/>
                <w:b/>
                <w:color w:val="auto"/>
                <w:szCs w:val="21"/>
              </w:rPr>
            </w:pPr>
          </w:p>
          <w:bookmarkEnd w:id="4"/>
          <w:bookmarkEnd w:id="5"/>
          <w:bookmarkEnd w:id="6"/>
          <w:p w14:paraId="3C40B74D">
            <w:pPr>
              <w:tabs>
                <w:tab w:val="left" w:pos="2466"/>
              </w:tabs>
              <w:adjustRightInd w:val="0"/>
              <w:snapToGrid w:val="0"/>
              <w:spacing w:line="360" w:lineRule="auto"/>
              <w:ind w:firstLine="482" w:firstLineChars="200"/>
              <w:rPr>
                <w:rFonts w:hint="eastAsia" w:ascii="Times New Roman" w:hAnsi="Times New Roman" w:eastAsia="宋体"/>
                <w:b/>
                <w:color w:val="auto"/>
                <w:sz w:val="24"/>
                <w:lang w:eastAsia="zh-CN"/>
              </w:rPr>
            </w:pPr>
            <w:r>
              <w:rPr>
                <w:rFonts w:ascii="Times New Roman" w:hAnsi="Times New Roman"/>
                <w:b/>
                <w:color w:val="auto"/>
                <w:sz w:val="24"/>
              </w:rPr>
              <w:t>6、原辅材料</w:t>
            </w:r>
            <w:r>
              <w:rPr>
                <w:rFonts w:hint="eastAsia" w:ascii="Times New Roman" w:hAnsi="Times New Roman"/>
                <w:b/>
                <w:color w:val="auto"/>
                <w:sz w:val="24"/>
                <w:lang w:eastAsia="zh-CN"/>
              </w:rPr>
              <w:tab/>
            </w:r>
          </w:p>
          <w:p w14:paraId="5AA0D27D">
            <w:pPr>
              <w:pStyle w:val="98"/>
              <w:spacing w:before="182" w:line="345" w:lineRule="auto"/>
              <w:ind w:left="126" w:firstLine="471"/>
              <w:rPr>
                <w:rFonts w:ascii="Times New Roman" w:hAnsi="Times New Roman"/>
                <w:color w:val="auto"/>
              </w:rPr>
            </w:pPr>
            <w:r>
              <w:rPr>
                <w:rFonts w:ascii="Times New Roman" w:hAnsi="Times New Roman"/>
                <w:color w:val="auto"/>
                <w:spacing w:val="-4"/>
              </w:rPr>
              <w:t>本项目不使用含磷洗涤剂，根据建设单位提供的资料，主要原、辅材料及</w:t>
            </w:r>
            <w:r>
              <w:rPr>
                <w:rFonts w:ascii="Times New Roman" w:hAnsi="Times New Roman"/>
                <w:color w:val="auto"/>
                <w:spacing w:val="5"/>
              </w:rPr>
              <w:t xml:space="preserve"> </w:t>
            </w:r>
            <w:r>
              <w:rPr>
                <w:rFonts w:ascii="Times New Roman" w:hAnsi="Times New Roman"/>
                <w:color w:val="auto"/>
                <w:spacing w:val="-2"/>
              </w:rPr>
              <w:t>能源消耗情况见下表。</w:t>
            </w:r>
          </w:p>
          <w:p w14:paraId="1BB29898">
            <w:pPr>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 xml:space="preserve">4 </w:t>
            </w:r>
            <w:r>
              <w:rPr>
                <w:rFonts w:hint="eastAsia" w:ascii="Times New Roman" w:hAnsi="Times New Roman"/>
                <w:b/>
                <w:color w:val="auto"/>
                <w:szCs w:val="21"/>
              </w:rPr>
              <w:t>项目主要原辅材料消耗</w:t>
            </w:r>
          </w:p>
          <w:tbl>
            <w:tblPr>
              <w:tblStyle w:val="80"/>
              <w:tblW w:w="81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5"/>
              <w:gridCol w:w="1324"/>
              <w:gridCol w:w="1597"/>
              <w:gridCol w:w="1005"/>
              <w:gridCol w:w="2398"/>
            </w:tblGrid>
            <w:tr w14:paraId="469E5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7A958A67">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名称</w:t>
                  </w:r>
                </w:p>
              </w:tc>
              <w:tc>
                <w:tcPr>
                  <w:tcW w:w="1324" w:type="dxa"/>
                  <w:vAlign w:val="center"/>
                </w:tcPr>
                <w:p w14:paraId="39141F1E">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年用量（t/a）</w:t>
                  </w:r>
                </w:p>
              </w:tc>
              <w:tc>
                <w:tcPr>
                  <w:tcW w:w="1597" w:type="dxa"/>
                  <w:vAlign w:val="center"/>
                </w:tcPr>
                <w:p w14:paraId="4CCD0E7F">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项目区最大储存量（t）</w:t>
                  </w:r>
                </w:p>
              </w:tc>
              <w:tc>
                <w:tcPr>
                  <w:tcW w:w="1005" w:type="dxa"/>
                  <w:vAlign w:val="center"/>
                </w:tcPr>
                <w:p w14:paraId="35464535">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来源</w:t>
                  </w:r>
                </w:p>
              </w:tc>
              <w:tc>
                <w:tcPr>
                  <w:tcW w:w="2398" w:type="dxa"/>
                  <w:vAlign w:val="center"/>
                </w:tcPr>
                <w:p w14:paraId="6F559901">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用途</w:t>
                  </w:r>
                </w:p>
              </w:tc>
            </w:tr>
            <w:tr w14:paraId="7685C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4486EB6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无磷</w:t>
                  </w:r>
                  <w:r>
                    <w:rPr>
                      <w:rFonts w:hint="eastAsia" w:ascii="Times New Roman" w:hAnsi="Times New Roman" w:eastAsia="宋体" w:cs="宋体"/>
                      <w:color w:val="auto"/>
                      <w:sz w:val="21"/>
                      <w:szCs w:val="21"/>
                    </w:rPr>
                    <w:t>洗衣粉</w:t>
                  </w:r>
                </w:p>
              </w:tc>
              <w:tc>
                <w:tcPr>
                  <w:tcW w:w="1324" w:type="dxa"/>
                  <w:vAlign w:val="center"/>
                </w:tcPr>
                <w:p w14:paraId="258A05C3">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5</w:t>
                  </w:r>
                </w:p>
              </w:tc>
              <w:tc>
                <w:tcPr>
                  <w:tcW w:w="1597" w:type="dxa"/>
                  <w:vAlign w:val="center"/>
                </w:tcPr>
                <w:p w14:paraId="300FEAC0">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0.5</w:t>
                  </w:r>
                </w:p>
              </w:tc>
              <w:tc>
                <w:tcPr>
                  <w:tcW w:w="1005" w:type="dxa"/>
                  <w:vAlign w:val="center"/>
                </w:tcPr>
                <w:p w14:paraId="186AB8F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03E6AF68">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布草污渍洗涤</w:t>
                  </w:r>
                </w:p>
              </w:tc>
            </w:tr>
            <w:tr w14:paraId="6CBFB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737DACA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乳化剂</w:t>
                  </w:r>
                </w:p>
              </w:tc>
              <w:tc>
                <w:tcPr>
                  <w:tcW w:w="1324" w:type="dxa"/>
                  <w:vAlign w:val="center"/>
                </w:tcPr>
                <w:p w14:paraId="4C7D82F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1.0</w:t>
                  </w:r>
                </w:p>
              </w:tc>
              <w:tc>
                <w:tcPr>
                  <w:tcW w:w="1597" w:type="dxa"/>
                  <w:vAlign w:val="center"/>
                </w:tcPr>
                <w:p w14:paraId="321F642B">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0.2</w:t>
                  </w:r>
                </w:p>
              </w:tc>
              <w:tc>
                <w:tcPr>
                  <w:tcW w:w="1005" w:type="dxa"/>
                  <w:vAlign w:val="center"/>
                </w:tcPr>
                <w:p w14:paraId="0AFA20A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3ED3CAD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重污布草处理</w:t>
                  </w:r>
                </w:p>
              </w:tc>
            </w:tr>
            <w:tr w14:paraId="205E3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3F87EE9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彩漂粉</w:t>
                  </w:r>
                </w:p>
              </w:tc>
              <w:tc>
                <w:tcPr>
                  <w:tcW w:w="1324" w:type="dxa"/>
                  <w:vAlign w:val="center"/>
                </w:tcPr>
                <w:p w14:paraId="54DB6FBC">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5</w:t>
                  </w:r>
                </w:p>
              </w:tc>
              <w:tc>
                <w:tcPr>
                  <w:tcW w:w="1597" w:type="dxa"/>
                  <w:vAlign w:val="center"/>
                </w:tcPr>
                <w:p w14:paraId="2203711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0.5</w:t>
                  </w:r>
                </w:p>
              </w:tc>
              <w:tc>
                <w:tcPr>
                  <w:tcW w:w="1005" w:type="dxa"/>
                  <w:vAlign w:val="center"/>
                </w:tcPr>
                <w:p w14:paraId="3DDB78C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1594F84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布草洗涤消毒</w:t>
                  </w:r>
                </w:p>
              </w:tc>
            </w:tr>
            <w:tr w14:paraId="0F1D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3AD9A27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柔顺</w:t>
                  </w:r>
                  <w:r>
                    <w:rPr>
                      <w:rFonts w:hint="eastAsia" w:ascii="Times New Roman" w:hAnsi="Times New Roman" w:eastAsia="宋体" w:cs="宋体"/>
                      <w:color w:val="auto"/>
                      <w:sz w:val="21"/>
                      <w:szCs w:val="21"/>
                      <w:lang w:val="en-US" w:eastAsia="zh-CN"/>
                    </w:rPr>
                    <w:t>粉</w:t>
                  </w:r>
                </w:p>
              </w:tc>
              <w:tc>
                <w:tcPr>
                  <w:tcW w:w="1324" w:type="dxa"/>
                  <w:vAlign w:val="center"/>
                </w:tcPr>
                <w:p w14:paraId="0B313B3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1.5</w:t>
                  </w:r>
                </w:p>
              </w:tc>
              <w:tc>
                <w:tcPr>
                  <w:tcW w:w="1597" w:type="dxa"/>
                  <w:vAlign w:val="center"/>
                </w:tcPr>
                <w:p w14:paraId="5222473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0.3</w:t>
                  </w:r>
                </w:p>
              </w:tc>
              <w:tc>
                <w:tcPr>
                  <w:tcW w:w="1005" w:type="dxa"/>
                  <w:vAlign w:val="center"/>
                </w:tcPr>
                <w:p w14:paraId="4E84FB1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03396DA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巾类软化增柔</w:t>
                  </w:r>
                </w:p>
              </w:tc>
            </w:tr>
            <w:tr w14:paraId="485C2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233057B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中和酸</w:t>
                  </w:r>
                </w:p>
              </w:tc>
              <w:tc>
                <w:tcPr>
                  <w:tcW w:w="1324" w:type="dxa"/>
                  <w:vAlign w:val="center"/>
                </w:tcPr>
                <w:p w14:paraId="001AD8A9">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5</w:t>
                  </w:r>
                </w:p>
              </w:tc>
              <w:tc>
                <w:tcPr>
                  <w:tcW w:w="1597" w:type="dxa"/>
                  <w:vAlign w:val="center"/>
                </w:tcPr>
                <w:p w14:paraId="618AB295">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0.5</w:t>
                  </w:r>
                </w:p>
              </w:tc>
              <w:tc>
                <w:tcPr>
                  <w:tcW w:w="1005" w:type="dxa"/>
                  <w:vAlign w:val="center"/>
                </w:tcPr>
                <w:p w14:paraId="7B86706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2C488E66">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中和洗涤化料增白布草</w:t>
                  </w:r>
                </w:p>
              </w:tc>
            </w:tr>
            <w:tr w14:paraId="0807B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5E33E49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生物质燃料</w:t>
                  </w:r>
                </w:p>
              </w:tc>
              <w:tc>
                <w:tcPr>
                  <w:tcW w:w="1324" w:type="dxa"/>
                  <w:vAlign w:val="center"/>
                </w:tcPr>
                <w:p w14:paraId="2D17876A">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1107</w:t>
                  </w:r>
                </w:p>
              </w:tc>
              <w:tc>
                <w:tcPr>
                  <w:tcW w:w="1597" w:type="dxa"/>
                  <w:vAlign w:val="center"/>
                </w:tcPr>
                <w:p w14:paraId="4E942A6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w:t>
                  </w:r>
                </w:p>
              </w:tc>
              <w:tc>
                <w:tcPr>
                  <w:tcW w:w="1005" w:type="dxa"/>
                  <w:vAlign w:val="center"/>
                </w:tcPr>
                <w:p w14:paraId="37A2EF62">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外购</w:t>
                  </w:r>
                </w:p>
              </w:tc>
              <w:tc>
                <w:tcPr>
                  <w:tcW w:w="2398" w:type="dxa"/>
                  <w:vAlign w:val="center"/>
                </w:tcPr>
                <w:p w14:paraId="5F8E6738">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生物质蒸汽发生器燃料</w:t>
                  </w:r>
                </w:p>
              </w:tc>
            </w:tr>
            <w:tr w14:paraId="3E5A0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14:paraId="08CAFC1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新鲜水（m</w:t>
                  </w:r>
                  <w:r>
                    <w:rPr>
                      <w:rFonts w:hint="eastAsia" w:ascii="Times New Roman" w:hAnsi="Times New Roman" w:eastAsia="宋体" w:cs="宋体"/>
                      <w:color w:val="auto"/>
                      <w:sz w:val="21"/>
                      <w:szCs w:val="21"/>
                      <w:vertAlign w:val="superscript"/>
                    </w:rPr>
                    <w:t>3</w:t>
                  </w:r>
                  <w:r>
                    <w:rPr>
                      <w:rFonts w:hint="eastAsia" w:ascii="Times New Roman" w:hAnsi="Times New Roman" w:eastAsia="宋体" w:cs="宋体"/>
                      <w:color w:val="auto"/>
                      <w:sz w:val="21"/>
                      <w:szCs w:val="21"/>
                    </w:rPr>
                    <w:t>/a）</w:t>
                  </w:r>
                </w:p>
              </w:tc>
              <w:tc>
                <w:tcPr>
                  <w:tcW w:w="1324" w:type="dxa"/>
                  <w:vAlign w:val="center"/>
                </w:tcPr>
                <w:p w14:paraId="18B10EAF">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20424</w:t>
                  </w:r>
                </w:p>
              </w:tc>
              <w:tc>
                <w:tcPr>
                  <w:tcW w:w="1597" w:type="dxa"/>
                  <w:vAlign w:val="center"/>
                </w:tcPr>
                <w:p w14:paraId="1DE5004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005" w:type="dxa"/>
                  <w:vAlign w:val="center"/>
                </w:tcPr>
                <w:p w14:paraId="26D78AD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自来水</w:t>
                  </w:r>
                </w:p>
              </w:tc>
              <w:tc>
                <w:tcPr>
                  <w:tcW w:w="2398" w:type="dxa"/>
                  <w:vAlign w:val="center"/>
                </w:tcPr>
                <w:p w14:paraId="1625F0D7">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r>
            <w:tr w14:paraId="53D90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1835" w:type="dxa"/>
                  <w:vAlign w:val="center"/>
                </w:tcPr>
                <w:p w14:paraId="4631F9D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电（万kw·h/a）</w:t>
                  </w:r>
                </w:p>
              </w:tc>
              <w:tc>
                <w:tcPr>
                  <w:tcW w:w="1324" w:type="dxa"/>
                  <w:vAlign w:val="center"/>
                </w:tcPr>
                <w:p w14:paraId="00202C96">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5.2</w:t>
                  </w:r>
                </w:p>
              </w:tc>
              <w:tc>
                <w:tcPr>
                  <w:tcW w:w="1597" w:type="dxa"/>
                  <w:vAlign w:val="center"/>
                </w:tcPr>
                <w:p w14:paraId="791ABAE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005" w:type="dxa"/>
                  <w:vAlign w:val="center"/>
                </w:tcPr>
                <w:p w14:paraId="2A8D999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市政供电管网</w:t>
                  </w:r>
                </w:p>
              </w:tc>
              <w:tc>
                <w:tcPr>
                  <w:tcW w:w="2398" w:type="dxa"/>
                  <w:vAlign w:val="center"/>
                </w:tcPr>
                <w:p w14:paraId="6A8ABBEC">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r>
          </w:tbl>
          <w:p w14:paraId="7097901E">
            <w:pPr>
              <w:pStyle w:val="73"/>
              <w:spacing w:line="360" w:lineRule="auto"/>
              <w:ind w:left="0" w:leftChars="0" w:firstLine="0" w:firstLineChars="0"/>
              <w:jc w:val="center"/>
              <w:rPr>
                <w:rFonts w:ascii="Times New Roman" w:hAnsi="Times New Roman"/>
                <w:b/>
                <w:color w:val="auto"/>
                <w:szCs w:val="21"/>
              </w:rPr>
            </w:pPr>
          </w:p>
          <w:p w14:paraId="31E3F928">
            <w:pPr>
              <w:pStyle w:val="73"/>
              <w:spacing w:line="360" w:lineRule="auto"/>
              <w:ind w:left="0" w:leftChars="0" w:firstLine="0" w:firstLineChars="0"/>
              <w:jc w:val="center"/>
              <w:rPr>
                <w:rFonts w:hint="eastAsia" w:ascii="Times New Roman" w:hAnsi="Times New Roman"/>
                <w:b/>
                <w:color w:val="auto"/>
                <w:szCs w:val="21"/>
                <w:lang w:eastAsia="zh-CN"/>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 xml:space="preserve">5 </w:t>
            </w:r>
            <w:r>
              <w:rPr>
                <w:rFonts w:hint="eastAsia" w:ascii="Times New Roman" w:hAnsi="Times New Roman"/>
                <w:b/>
                <w:color w:val="auto"/>
                <w:szCs w:val="21"/>
              </w:rPr>
              <w:t>项</w:t>
            </w:r>
            <w:r>
              <w:rPr>
                <w:rFonts w:hint="eastAsia" w:ascii="Times New Roman" w:hAnsi="Times New Roman"/>
                <w:b/>
                <w:color w:val="auto"/>
                <w:szCs w:val="21"/>
                <w:lang w:eastAsia="zh-CN"/>
              </w:rPr>
              <w:t>目主要原材料性质一览表</w:t>
            </w:r>
          </w:p>
          <w:tbl>
            <w:tblPr>
              <w:tblStyle w:val="80"/>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6"/>
              <w:gridCol w:w="1128"/>
              <w:gridCol w:w="5935"/>
            </w:tblGrid>
            <w:tr w14:paraId="5840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736" w:type="dxa"/>
                  <w:vAlign w:val="center"/>
                </w:tcPr>
                <w:p w14:paraId="1F1B086A">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1128" w:type="dxa"/>
                  <w:vAlign w:val="center"/>
                </w:tcPr>
                <w:p w14:paraId="1AD893D1">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原辅料名称</w:t>
                  </w:r>
                </w:p>
              </w:tc>
              <w:tc>
                <w:tcPr>
                  <w:tcW w:w="5935" w:type="dxa"/>
                  <w:vAlign w:val="center"/>
                </w:tcPr>
                <w:p w14:paraId="568B4CFD">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性质特征</w:t>
                  </w:r>
                </w:p>
              </w:tc>
            </w:tr>
            <w:tr w14:paraId="5833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9" w:hRule="atLeast"/>
                <w:jc w:val="center"/>
              </w:trPr>
              <w:tc>
                <w:tcPr>
                  <w:tcW w:w="736" w:type="dxa"/>
                  <w:vAlign w:val="center"/>
                </w:tcPr>
                <w:p w14:paraId="25EF732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1128" w:type="dxa"/>
                  <w:vAlign w:val="center"/>
                </w:tcPr>
                <w:p w14:paraId="32C77A2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洗衣粉</w:t>
                  </w:r>
                </w:p>
              </w:tc>
              <w:tc>
                <w:tcPr>
                  <w:tcW w:w="5935" w:type="dxa"/>
                  <w:vAlign w:val="center"/>
                </w:tcPr>
                <w:p w14:paraId="1CB9448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主要成分有用离子表面活性剂、少量非离子表面活性剂，再加些助剂，硅酸 盐、元明粉、荧光剂、酌等，经混合、喷粉等工艺制成。洗涤过程添加洗衣 粉后将产生少量表面活性剂、悬浮颗粒，使水体 COD 、LAS 、SS 含量增高。</w:t>
                  </w:r>
                </w:p>
              </w:tc>
            </w:tr>
            <w:tr w14:paraId="323E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jc w:val="center"/>
              </w:trPr>
              <w:tc>
                <w:tcPr>
                  <w:tcW w:w="736" w:type="dxa"/>
                  <w:vAlign w:val="center"/>
                </w:tcPr>
                <w:p w14:paraId="186AF212">
                  <w:pPr>
                    <w:jc w:val="center"/>
                    <w:rPr>
                      <w:rFonts w:hint="eastAsia" w:ascii="Times New Roman" w:hAnsi="Times New Roman" w:eastAsia="宋体" w:cs="宋体"/>
                      <w:color w:val="auto"/>
                      <w:sz w:val="21"/>
                      <w:szCs w:val="21"/>
                    </w:rPr>
                  </w:pPr>
                </w:p>
                <w:p w14:paraId="7676A6E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w:t>
                  </w:r>
                </w:p>
              </w:tc>
              <w:tc>
                <w:tcPr>
                  <w:tcW w:w="1128" w:type="dxa"/>
                  <w:vAlign w:val="center"/>
                </w:tcPr>
                <w:p w14:paraId="5A3F4EBB">
                  <w:pPr>
                    <w:jc w:val="center"/>
                    <w:rPr>
                      <w:rFonts w:hint="eastAsia" w:ascii="Times New Roman" w:hAnsi="Times New Roman" w:eastAsia="宋体" w:cs="宋体"/>
                      <w:color w:val="auto"/>
                      <w:sz w:val="21"/>
                      <w:szCs w:val="21"/>
                    </w:rPr>
                  </w:pPr>
                </w:p>
                <w:p w14:paraId="1B9292E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乳化剂</w:t>
                  </w:r>
                </w:p>
              </w:tc>
              <w:tc>
                <w:tcPr>
                  <w:tcW w:w="5935" w:type="dxa"/>
                  <w:vAlign w:val="center"/>
                </w:tcPr>
                <w:p w14:paraId="691ECD9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乳化剂是乳浊液的稳定剂，是一类表面活性剂。乳化剂的作用是：当它分散 在分散质的表面时，形成薄膜或双电层，可使分散相带有电荷，这样就能阻 止分散相的小液滴互相凝结，使形成的乳浊液比较稳定。例如肥皂属于负离 子乳化剂，能溶于水，有洗涤去污作用。</w:t>
                  </w:r>
                </w:p>
              </w:tc>
            </w:tr>
            <w:tr w14:paraId="4108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4" w:hRule="atLeast"/>
                <w:jc w:val="center"/>
              </w:trPr>
              <w:tc>
                <w:tcPr>
                  <w:tcW w:w="736" w:type="dxa"/>
                  <w:vAlign w:val="center"/>
                </w:tcPr>
                <w:p w14:paraId="53A29DA8">
                  <w:pPr>
                    <w:jc w:val="center"/>
                    <w:rPr>
                      <w:rFonts w:hint="eastAsia" w:ascii="Times New Roman" w:hAnsi="Times New Roman" w:eastAsia="宋体" w:cs="宋体"/>
                      <w:color w:val="auto"/>
                      <w:sz w:val="21"/>
                      <w:szCs w:val="21"/>
                    </w:rPr>
                  </w:pPr>
                </w:p>
                <w:p w14:paraId="5A30F574">
                  <w:pPr>
                    <w:jc w:val="center"/>
                    <w:rPr>
                      <w:rFonts w:hint="eastAsia" w:ascii="Times New Roman" w:hAnsi="Times New Roman" w:eastAsia="宋体" w:cs="宋体"/>
                      <w:color w:val="auto"/>
                      <w:sz w:val="21"/>
                      <w:szCs w:val="21"/>
                    </w:rPr>
                  </w:pPr>
                </w:p>
                <w:p w14:paraId="12D0C63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w:t>
                  </w:r>
                </w:p>
              </w:tc>
              <w:tc>
                <w:tcPr>
                  <w:tcW w:w="1128" w:type="dxa"/>
                  <w:vAlign w:val="center"/>
                </w:tcPr>
                <w:p w14:paraId="54F3ED6F">
                  <w:pPr>
                    <w:jc w:val="center"/>
                    <w:rPr>
                      <w:rFonts w:hint="eastAsia" w:ascii="Times New Roman" w:hAnsi="Times New Roman" w:eastAsia="宋体" w:cs="宋体"/>
                      <w:color w:val="auto"/>
                      <w:sz w:val="21"/>
                      <w:szCs w:val="21"/>
                    </w:rPr>
                  </w:pPr>
                </w:p>
                <w:p w14:paraId="68607B2A">
                  <w:pPr>
                    <w:jc w:val="center"/>
                    <w:rPr>
                      <w:rFonts w:hint="eastAsia" w:ascii="Times New Roman" w:hAnsi="Times New Roman" w:eastAsia="宋体" w:cs="宋体"/>
                      <w:color w:val="auto"/>
                      <w:sz w:val="21"/>
                      <w:szCs w:val="21"/>
                    </w:rPr>
                  </w:pPr>
                </w:p>
                <w:p w14:paraId="02F5674C">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彩漂粉</w:t>
                  </w:r>
                </w:p>
              </w:tc>
              <w:tc>
                <w:tcPr>
                  <w:tcW w:w="5935" w:type="dxa"/>
                  <w:vAlign w:val="center"/>
                </w:tcPr>
                <w:p w14:paraId="4D74812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彩漂粉是释氧型漂白剂，溶于水后能生成过氧化氢，是氧漂的一种，它对织 物的漂白较温和，一般不会损伤织物，可令白色或有色织物漂白后色泽更亮 丽。常用的含氧漂白剂主要是双氧水和彩漂粉，有较好的漂白作用和杀菌作 用。氧漂是通过在水溶液中经过羟离子游离出活性氧而产生漂白作用，在常 温下，它的漂白速度比较缓慢，为了提高洗涤速率，一般在高温条件下进行 漂白，既提高了漂白速度，也增加了织物的去污力和白度。</w:t>
                  </w:r>
                </w:p>
              </w:tc>
            </w:tr>
            <w:tr w14:paraId="46C3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736" w:type="dxa"/>
                  <w:vAlign w:val="center"/>
                </w:tcPr>
                <w:p w14:paraId="7831D55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4</w:t>
                  </w:r>
                </w:p>
              </w:tc>
              <w:tc>
                <w:tcPr>
                  <w:tcW w:w="1128" w:type="dxa"/>
                  <w:vAlign w:val="center"/>
                </w:tcPr>
                <w:p w14:paraId="0D66632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柔顺粉</w:t>
                  </w:r>
                </w:p>
              </w:tc>
              <w:tc>
                <w:tcPr>
                  <w:tcW w:w="5935" w:type="dxa"/>
                  <w:vAlign w:val="center"/>
                </w:tcPr>
                <w:p w14:paraId="2D26D1B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柔顺粉为阴离子型悬浮液，活性物含量高，用量少，对各种织物柔软效果特 别好，并有防静电功能，适用于毛巾、浴巾、牛仔服等的柔顺处理。</w:t>
                  </w:r>
                </w:p>
              </w:tc>
            </w:tr>
            <w:tr w14:paraId="7149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jc w:val="center"/>
              </w:trPr>
              <w:tc>
                <w:tcPr>
                  <w:tcW w:w="736" w:type="dxa"/>
                  <w:vAlign w:val="center"/>
                </w:tcPr>
                <w:p w14:paraId="356C0DD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w:t>
                  </w:r>
                </w:p>
              </w:tc>
              <w:tc>
                <w:tcPr>
                  <w:tcW w:w="1128" w:type="dxa"/>
                  <w:vAlign w:val="center"/>
                </w:tcPr>
                <w:p w14:paraId="6D267F4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中和酸</w:t>
                  </w:r>
                </w:p>
              </w:tc>
              <w:tc>
                <w:tcPr>
                  <w:tcW w:w="5935" w:type="dxa"/>
                  <w:vAlign w:val="center"/>
                </w:tcPr>
                <w:p w14:paraId="0CCA7EE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主要成分为酸式钠盐和荧光成分，无毒性，能中和布草中残余的碱，有效除 去布草漂洗过程中的气味和吸附在布草上的沉积物等，调整织物 pH 值，防治 织物发黄发灰，有利于改善上浆和柔软效果，使布草更洁白、鲜艳、耐用。</w:t>
                  </w:r>
                </w:p>
              </w:tc>
            </w:tr>
            <w:tr w14:paraId="4652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1" w:hRule="atLeast"/>
                <w:jc w:val="center"/>
              </w:trPr>
              <w:tc>
                <w:tcPr>
                  <w:tcW w:w="736" w:type="dxa"/>
                  <w:vAlign w:val="center"/>
                </w:tcPr>
                <w:p w14:paraId="24574A72">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w:t>
                  </w:r>
                </w:p>
              </w:tc>
              <w:tc>
                <w:tcPr>
                  <w:tcW w:w="1128" w:type="dxa"/>
                  <w:vAlign w:val="center"/>
                </w:tcPr>
                <w:p w14:paraId="77BA45D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生物质燃料</w:t>
                  </w:r>
                </w:p>
              </w:tc>
              <w:tc>
                <w:tcPr>
                  <w:tcW w:w="5935" w:type="dxa"/>
                  <w:vAlign w:val="center"/>
                </w:tcPr>
                <w:p w14:paraId="7B01EAB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生物质燃料由秸秆、稻草、稻壳、花生壳 、玉米芯 、油茶壳 、棉籽壳等以及“三剩物”组成。经过磐维生物质机加工生产的块状环保新 能源 。生物质</w:t>
                  </w:r>
                  <w:r>
                    <w:rPr>
                      <w:rFonts w:hint="eastAsia" w:ascii="Times New Roman" w:hAnsi="Times New Roman" w:cs="宋体"/>
                      <w:color w:val="auto"/>
                      <w:sz w:val="21"/>
                      <w:szCs w:val="21"/>
                      <w:lang w:val="en-US" w:eastAsia="zh-CN"/>
                    </w:rPr>
                    <w:t>燃料</w:t>
                  </w:r>
                  <w:r>
                    <w:rPr>
                      <w:rFonts w:hint="eastAsia" w:ascii="Times New Roman" w:hAnsi="Times New Roman" w:eastAsia="宋体" w:cs="宋体"/>
                      <w:color w:val="auto"/>
                      <w:sz w:val="21"/>
                      <w:szCs w:val="21"/>
                    </w:rPr>
                    <w:t>的直径一般为 6~ 12 毫米。</w:t>
                  </w:r>
                </w:p>
              </w:tc>
            </w:tr>
          </w:tbl>
          <w:p w14:paraId="042D8087">
            <w:pPr>
              <w:pStyle w:val="15"/>
              <w:keepNext w:val="0"/>
              <w:keepLines w:val="0"/>
              <w:pageBreakBefore w:val="0"/>
              <w:widowControl w:val="0"/>
              <w:kinsoku/>
              <w:wordWrap/>
              <w:overflowPunct/>
              <w:topLinePunct w:val="0"/>
              <w:autoSpaceDE/>
              <w:autoSpaceDN/>
              <w:bidi w:val="0"/>
              <w:spacing w:beforeLines="0" w:after="0" w:afterLines="0" w:line="240"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p>
          <w:p w14:paraId="2839B283">
            <w:pPr>
              <w:pStyle w:val="15"/>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 w:val="0"/>
                <w:bCs/>
                <w:color w:val="auto"/>
                <w:spacing w:val="6"/>
                <w:sz w:val="24"/>
                <w:szCs w:val="24"/>
                <w:highlight w:val="none"/>
                <w:lang w:val="en-US" w:eastAsia="zh-CN"/>
              </w:rPr>
              <w:t>本项目使用的生物质燃料</w:t>
            </w:r>
            <w:r>
              <w:rPr>
                <w:rFonts w:hint="eastAsia" w:ascii="Times New Roman" w:hAnsi="Times New Roman" w:cs="Times New Roman"/>
                <w:b w:val="0"/>
                <w:bCs/>
                <w:color w:val="auto"/>
                <w:spacing w:val="6"/>
                <w:sz w:val="24"/>
                <w:szCs w:val="24"/>
                <w:highlight w:val="none"/>
                <w:lang w:val="en-US" w:eastAsia="zh-CN"/>
              </w:rPr>
              <w:t>向</w:t>
            </w:r>
            <w:r>
              <w:rPr>
                <w:rFonts w:hint="default" w:ascii="Times New Roman" w:hAnsi="Times New Roman" w:eastAsia="宋体" w:cs="Times New Roman"/>
                <w:b w:val="0"/>
                <w:bCs/>
                <w:color w:val="auto"/>
                <w:spacing w:val="6"/>
                <w:sz w:val="24"/>
                <w:szCs w:val="24"/>
                <w:highlight w:val="none"/>
                <w:lang w:val="en-US" w:eastAsia="zh-CN"/>
              </w:rPr>
              <w:t>云南飞春能源科技有限公司</w:t>
            </w:r>
            <w:r>
              <w:rPr>
                <w:rFonts w:hint="eastAsia" w:ascii="Times New Roman" w:hAnsi="Times New Roman" w:cs="Times New Roman"/>
                <w:b w:val="0"/>
                <w:bCs/>
                <w:color w:val="auto"/>
                <w:spacing w:val="6"/>
                <w:sz w:val="24"/>
                <w:szCs w:val="24"/>
                <w:highlight w:val="none"/>
                <w:lang w:val="en-US" w:eastAsia="zh-CN"/>
              </w:rPr>
              <w:t>采购</w:t>
            </w:r>
            <w:r>
              <w:rPr>
                <w:rFonts w:hint="default" w:ascii="Times New Roman" w:hAnsi="Times New Roman" w:eastAsia="宋体" w:cs="Times New Roman"/>
                <w:b w:val="0"/>
                <w:bCs/>
                <w:color w:val="auto"/>
                <w:spacing w:val="6"/>
                <w:sz w:val="24"/>
                <w:szCs w:val="24"/>
                <w:highlight w:val="none"/>
                <w:lang w:val="en-US" w:eastAsia="zh-CN"/>
              </w:rPr>
              <w:t>，根据生产厂家提供的生物质监测报告</w:t>
            </w:r>
            <w:r>
              <w:rPr>
                <w:rFonts w:hint="eastAsia" w:ascii="Times New Roman" w:hAnsi="Times New Roman"/>
                <w:color w:val="auto"/>
                <w:sz w:val="24"/>
              </w:rPr>
              <w:t>（附件</w:t>
            </w:r>
            <w:r>
              <w:rPr>
                <w:rFonts w:hint="eastAsia" w:ascii="Times New Roman" w:hAnsi="Times New Roman"/>
                <w:color w:val="auto"/>
                <w:sz w:val="24"/>
                <w:lang w:val="en-US" w:eastAsia="zh-CN"/>
              </w:rPr>
              <w:t>8</w:t>
            </w:r>
            <w:r>
              <w:rPr>
                <w:rFonts w:hint="eastAsia" w:ascii="Times New Roman" w:hAnsi="Times New Roman"/>
                <w:color w:val="auto"/>
                <w:sz w:val="24"/>
              </w:rPr>
              <w:t>）</w:t>
            </w:r>
            <w:r>
              <w:rPr>
                <w:rFonts w:hint="default" w:ascii="Times New Roman" w:hAnsi="Times New Roman" w:eastAsia="宋体" w:cs="Times New Roman"/>
                <w:b w:val="0"/>
                <w:bCs/>
                <w:color w:val="auto"/>
                <w:spacing w:val="6"/>
                <w:sz w:val="24"/>
                <w:szCs w:val="24"/>
                <w:highlight w:val="none"/>
                <w:lang w:val="en-US" w:eastAsia="zh-CN"/>
              </w:rPr>
              <w:t>可知</w:t>
            </w:r>
            <w:r>
              <w:rPr>
                <w:rFonts w:hint="eastAsia" w:ascii="Times New Roman" w:hAnsi="Times New Roman" w:cs="Times New Roman"/>
                <w:b w:val="0"/>
                <w:bCs/>
                <w:color w:val="auto"/>
                <w:spacing w:val="6"/>
                <w:sz w:val="24"/>
                <w:szCs w:val="24"/>
                <w:highlight w:val="none"/>
                <w:lang w:val="en-US" w:eastAsia="zh-CN"/>
              </w:rPr>
              <w:t>，项目</w:t>
            </w:r>
            <w:r>
              <w:rPr>
                <w:rFonts w:hint="default" w:ascii="Times New Roman" w:hAnsi="Times New Roman" w:eastAsia="宋体" w:cs="Times New Roman"/>
                <w:b w:val="0"/>
                <w:bCs/>
                <w:color w:val="auto"/>
                <w:spacing w:val="6"/>
                <w:sz w:val="24"/>
                <w:szCs w:val="24"/>
                <w:highlight w:val="none"/>
                <w:lang w:val="en-US" w:eastAsia="zh-CN"/>
              </w:rPr>
              <w:t>生物质燃料各成分见</w:t>
            </w:r>
            <w:r>
              <w:rPr>
                <w:rFonts w:hint="eastAsia" w:ascii="Times New Roman" w:hAnsi="Times New Roman" w:cs="Times New Roman"/>
                <w:b w:val="0"/>
                <w:bCs/>
                <w:color w:val="auto"/>
                <w:spacing w:val="6"/>
                <w:sz w:val="24"/>
                <w:szCs w:val="24"/>
                <w:highlight w:val="none"/>
                <w:lang w:val="en-US" w:eastAsia="zh-CN"/>
              </w:rPr>
              <w:t>如下表所</w:t>
            </w:r>
            <w:r>
              <w:rPr>
                <w:rFonts w:hint="default" w:ascii="Times New Roman" w:hAnsi="Times New Roman" w:eastAsia="宋体" w:cs="Times New Roman"/>
                <w:b w:val="0"/>
                <w:bCs/>
                <w:color w:val="auto"/>
                <w:spacing w:val="6"/>
                <w:sz w:val="24"/>
                <w:szCs w:val="24"/>
                <w:highlight w:val="none"/>
                <w:lang w:val="en-US" w:eastAsia="zh-CN"/>
              </w:rPr>
              <w:t>示。</w:t>
            </w:r>
          </w:p>
          <w:p w14:paraId="2FE527FC">
            <w:pPr>
              <w:adjustRightInd w:val="0"/>
              <w:snapToGrid w:val="0"/>
              <w:spacing w:line="360" w:lineRule="auto"/>
              <w:ind w:firstLine="422" w:firstLineChars="200"/>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表2-6 项目生物质燃料成分分析一览表</w:t>
            </w:r>
            <w:r>
              <w:rPr>
                <w:rFonts w:ascii="Times New Roman" w:hAnsi="Times New Roman"/>
                <w:color w:val="auto"/>
              </w:rPr>
              <w:drawing>
                <wp:inline distT="0" distB="0" distL="114300" distR="114300">
                  <wp:extent cx="5230495" cy="3068320"/>
                  <wp:effectExtent l="0" t="0" r="825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30495" cy="3068320"/>
                          </a:xfrm>
                          <a:prstGeom prst="rect">
                            <a:avLst/>
                          </a:prstGeom>
                          <a:noFill/>
                          <a:ln>
                            <a:noFill/>
                          </a:ln>
                        </pic:spPr>
                      </pic:pic>
                    </a:graphicData>
                  </a:graphic>
                </wp:inline>
              </w:drawing>
            </w:r>
          </w:p>
          <w:p w14:paraId="6F97ED3F">
            <w:pPr>
              <w:adjustRightInd w:val="0"/>
              <w:snapToGrid w:val="0"/>
              <w:spacing w:line="360" w:lineRule="auto"/>
              <w:ind w:firstLine="482" w:firstLineChars="200"/>
              <w:rPr>
                <w:rFonts w:ascii="Times New Roman" w:hAnsi="Times New Roman" w:cs="宋体"/>
                <w:b/>
                <w:color w:val="auto"/>
                <w:sz w:val="24"/>
              </w:rPr>
            </w:pPr>
            <w:r>
              <w:rPr>
                <w:rFonts w:hint="eastAsia" w:ascii="Times New Roman" w:hAnsi="Times New Roman"/>
                <w:b/>
                <w:color w:val="auto"/>
                <w:sz w:val="24"/>
              </w:rPr>
              <w:t>7、</w:t>
            </w:r>
            <w:r>
              <w:rPr>
                <w:rFonts w:hint="eastAsia" w:ascii="Times New Roman" w:hAnsi="Times New Roman" w:cs="宋体"/>
                <w:b/>
                <w:color w:val="auto"/>
                <w:sz w:val="24"/>
              </w:rPr>
              <w:t>工作制度及劳动定员</w:t>
            </w:r>
          </w:p>
          <w:p w14:paraId="3D6EC8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b/>
                <w:bCs/>
                <w:color w:val="auto"/>
                <w:kern w:val="0"/>
                <w:sz w:val="24"/>
                <w:szCs w:val="24"/>
                <w:lang w:val="en-US" w:eastAsia="zh-CN" w:bidi="ar-SA"/>
              </w:rPr>
              <w:t>劳动定员：</w:t>
            </w:r>
            <w:r>
              <w:rPr>
                <w:rFonts w:hint="eastAsia" w:ascii="Times New Roman" w:hAnsi="Times New Roman" w:eastAsia="宋体" w:cs="宋体"/>
                <w:color w:val="auto"/>
                <w:kern w:val="0"/>
                <w:sz w:val="24"/>
                <w:szCs w:val="24"/>
                <w:lang w:val="en-US" w:eastAsia="zh-CN" w:bidi="ar-SA"/>
              </w:rPr>
              <w:t>项目运营期劳动定员</w:t>
            </w:r>
            <w:r>
              <w:rPr>
                <w:rFonts w:hint="eastAsia" w:ascii="Times New Roman" w:hAnsi="Times New Roman" w:cs="宋体"/>
                <w:color w:val="auto"/>
                <w:kern w:val="0"/>
                <w:sz w:val="24"/>
                <w:szCs w:val="24"/>
                <w:lang w:val="en-US" w:eastAsia="zh-CN" w:bidi="ar-SA"/>
              </w:rPr>
              <w:t>6</w:t>
            </w:r>
            <w:r>
              <w:rPr>
                <w:rFonts w:hint="eastAsia" w:ascii="Times New Roman" w:hAnsi="Times New Roman" w:eastAsia="宋体" w:cs="宋体"/>
                <w:color w:val="auto"/>
                <w:kern w:val="0"/>
                <w:sz w:val="24"/>
                <w:szCs w:val="24"/>
                <w:lang w:val="en-US" w:eastAsia="zh-CN" w:bidi="ar-SA"/>
              </w:rPr>
              <w:t>人，</w:t>
            </w:r>
            <w:r>
              <w:rPr>
                <w:rFonts w:hint="eastAsia" w:ascii="Times New Roman" w:hAnsi="Times New Roman" w:cs="宋体"/>
                <w:color w:val="auto"/>
                <w:kern w:val="0"/>
                <w:sz w:val="24"/>
                <w:szCs w:val="24"/>
                <w:lang w:val="en-US" w:eastAsia="zh-CN" w:bidi="ar-SA"/>
              </w:rPr>
              <w:t>不在项目区食宿</w:t>
            </w:r>
            <w:r>
              <w:rPr>
                <w:rFonts w:hint="eastAsia" w:ascii="Times New Roman" w:hAnsi="Times New Roman" w:eastAsia="宋体" w:cs="宋体"/>
                <w:color w:val="auto"/>
                <w:kern w:val="0"/>
                <w:sz w:val="24"/>
                <w:szCs w:val="24"/>
                <w:lang w:val="en-US" w:eastAsia="zh-CN" w:bidi="ar-SA"/>
              </w:rPr>
              <w:t>。</w:t>
            </w:r>
          </w:p>
          <w:p w14:paraId="451AFCE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b/>
                <w:bCs/>
                <w:color w:val="auto"/>
                <w:kern w:val="0"/>
                <w:sz w:val="24"/>
                <w:szCs w:val="24"/>
                <w:lang w:val="en-US" w:eastAsia="zh-CN" w:bidi="ar-SA"/>
              </w:rPr>
              <w:t>工作制度：</w:t>
            </w:r>
            <w:r>
              <w:rPr>
                <w:rFonts w:hint="eastAsia" w:ascii="Times New Roman" w:hAnsi="Times New Roman" w:eastAsia="宋体" w:cs="宋体"/>
                <w:color w:val="auto"/>
                <w:kern w:val="0"/>
                <w:sz w:val="24"/>
                <w:szCs w:val="24"/>
                <w:lang w:val="en-US" w:eastAsia="zh-CN" w:bidi="ar-SA"/>
              </w:rPr>
              <w:t>年工作天数300天，实行一班制，每班工作8小时，夜间不生产。年总生产时间为2400小时。</w:t>
            </w:r>
          </w:p>
          <w:p w14:paraId="1647D5B9">
            <w:pPr>
              <w:adjustRightInd w:val="0"/>
              <w:snapToGrid w:val="0"/>
              <w:spacing w:line="360" w:lineRule="auto"/>
              <w:ind w:firstLine="482" w:firstLineChars="200"/>
              <w:rPr>
                <w:rFonts w:ascii="Times New Roman" w:hAnsi="Times New Roman" w:cs="宋体"/>
                <w:b/>
                <w:color w:val="auto"/>
                <w:sz w:val="24"/>
              </w:rPr>
            </w:pPr>
            <w:r>
              <w:rPr>
                <w:rFonts w:hint="eastAsia" w:ascii="Times New Roman" w:hAnsi="Times New Roman"/>
                <w:b/>
                <w:color w:val="auto"/>
                <w:sz w:val="24"/>
                <w:lang w:val="en-US" w:eastAsia="zh-CN"/>
              </w:rPr>
              <w:t>8</w:t>
            </w:r>
            <w:r>
              <w:rPr>
                <w:rFonts w:hint="eastAsia" w:ascii="Times New Roman" w:hAnsi="Times New Roman" w:cs="宋体"/>
                <w:b/>
                <w:color w:val="auto"/>
                <w:sz w:val="24"/>
              </w:rPr>
              <w:t>、项目总平面布置情况</w:t>
            </w:r>
          </w:p>
          <w:p w14:paraId="6FD479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根据项目区厂房特点及生产生活的需求，在项目区</w:t>
            </w:r>
            <w:r>
              <w:rPr>
                <w:rFonts w:hint="eastAsia" w:ascii="Times New Roman" w:hAnsi="Times New Roman" w:cs="宋体"/>
                <w:color w:val="auto"/>
                <w:kern w:val="0"/>
                <w:sz w:val="24"/>
                <w:szCs w:val="24"/>
                <w:lang w:val="en-US" w:eastAsia="zh-CN" w:bidi="ar-SA"/>
              </w:rPr>
              <w:t>东侧设置1#洗涤生产线，项目区西南侧设置2#洗涤生产线，根据项目工艺特点各洗涤生产线布置为分拣区、洗脱区、烘干区、熨烫区、折叠区等。项目西北侧设置为原辅料仓库，用于存放洗衣粉、柔顺剂、纯碱、中和酸、彩漂粉、生物质燃料等原辅料。锅炉房设置于项目区1#洗涤生产线西侧为洗涤车间提供热源。办公区位于项目区东北角，方便厂区管理又不影响工作人员的办公。项目区分别在东侧、东南侧设置2个出入口，项目</w:t>
            </w:r>
            <w:r>
              <w:rPr>
                <w:rFonts w:hint="eastAsia" w:ascii="Times New Roman" w:hAnsi="Times New Roman" w:eastAsia="宋体" w:cs="宋体"/>
                <w:color w:val="auto"/>
                <w:kern w:val="0"/>
                <w:sz w:val="24"/>
                <w:szCs w:val="24"/>
                <w:lang w:val="en-US" w:eastAsia="zh-CN" w:bidi="ar-SA"/>
              </w:rPr>
              <w:t>建、构筑物的布置紧凑合理，人货流通畅顺捷，减少交叉。可满足生产系统的加工和储、装、运等主要生产环节的要求。总体布置分区明确，布置合理。</w:t>
            </w:r>
          </w:p>
          <w:p w14:paraId="15F524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综上所述，从环保角度考虑，项目布局合理。</w:t>
            </w:r>
          </w:p>
          <w:p w14:paraId="15638414">
            <w:pPr>
              <w:adjustRightInd w:val="0"/>
              <w:snapToGrid w:val="0"/>
              <w:spacing w:line="360" w:lineRule="auto"/>
              <w:ind w:firstLine="482" w:firstLineChars="200"/>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9、项目施工</w:t>
            </w:r>
            <w:r>
              <w:rPr>
                <w:rFonts w:hint="eastAsia" w:ascii="Times New Roman" w:hAnsi="Times New Roman" w:cs="宋体"/>
                <w:b/>
                <w:color w:val="auto"/>
                <w:sz w:val="24"/>
                <w:lang w:val="en-US" w:eastAsia="zh-CN"/>
              </w:rPr>
              <w:t>进度</w:t>
            </w:r>
          </w:p>
          <w:p w14:paraId="69D45A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项目直接租用</w:t>
            </w:r>
            <w:r>
              <w:rPr>
                <w:rFonts w:hint="eastAsia" w:ascii="Times New Roman" w:hAnsi="Times New Roman" w:eastAsia="宋体"/>
                <w:bCs/>
                <w:color w:val="auto"/>
                <w:sz w:val="24"/>
                <w:lang w:val="en-US" w:eastAsia="zh-CN"/>
              </w:rPr>
              <w:t>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仁德子超养殖场内已建厂房上建设2条酒店布草、理发店毛巾洗涤生产线，</w:t>
            </w:r>
            <w:r>
              <w:rPr>
                <w:rFonts w:hint="eastAsia" w:ascii="Times New Roman" w:hAnsi="Times New Roman" w:eastAsia="宋体" w:cs="宋体"/>
                <w:color w:val="auto"/>
                <w:kern w:val="0"/>
                <w:sz w:val="24"/>
                <w:szCs w:val="24"/>
                <w:lang w:val="en-US" w:eastAsia="zh-CN" w:bidi="ar-SA"/>
              </w:rPr>
              <w:t>进行生产设备、环保设备的安装，</w:t>
            </w:r>
            <w:r>
              <w:rPr>
                <w:rFonts w:hint="eastAsia" w:ascii="Times New Roman" w:hAnsi="Times New Roman" w:eastAsia="Times New Roman" w:cs="宋体"/>
                <w:b w:val="0"/>
                <w:bCs/>
                <w:color w:val="auto"/>
                <w:sz w:val="24"/>
                <w:szCs w:val="24"/>
                <w:lang w:val="en-US" w:eastAsia="zh-CN"/>
              </w:rPr>
              <w:t>厂房内还遗留原有养殖厂的混凝土隔档及废弃饲料包装袋等，本次施工包括对隔档的拆</w:t>
            </w:r>
            <w:r>
              <w:rPr>
                <w:rFonts w:hint="eastAsia" w:ascii="Times New Roman" w:hAnsi="Times New Roman" w:eastAsia="Times New Roman" w:cs="宋体"/>
                <w:b w:val="0"/>
                <w:bCs/>
                <w:color w:val="auto"/>
                <w:kern w:val="2"/>
                <w:sz w:val="24"/>
                <w:szCs w:val="24"/>
                <w:lang w:val="en-US" w:eastAsia="zh-CN" w:bidi="ar-SA"/>
              </w:rPr>
              <w:t>除、废弃饲料包装袋等的清理。本项目施工阶段主要为原隔档的拆除、生产设备及环保设施的建设安装。</w:t>
            </w:r>
            <w:r>
              <w:rPr>
                <w:rFonts w:hint="eastAsia" w:ascii="Times New Roman" w:hAnsi="Times New Roman" w:eastAsia="宋体" w:cs="宋体"/>
                <w:color w:val="auto"/>
                <w:kern w:val="0"/>
                <w:sz w:val="24"/>
                <w:szCs w:val="24"/>
                <w:lang w:val="en-US" w:eastAsia="zh-CN" w:bidi="ar-SA"/>
              </w:rPr>
              <w:t>预计202</w:t>
            </w:r>
            <w:r>
              <w:rPr>
                <w:rFonts w:hint="eastAsia" w:ascii="Times New Roman" w:hAnsi="Times New Roman" w:cs="宋体"/>
                <w:color w:val="auto"/>
                <w:kern w:val="0"/>
                <w:sz w:val="24"/>
                <w:szCs w:val="24"/>
                <w:lang w:val="en-US" w:eastAsia="zh-CN" w:bidi="ar-SA"/>
              </w:rPr>
              <w:t>5</w:t>
            </w:r>
            <w:r>
              <w:rPr>
                <w:rFonts w:hint="eastAsia" w:ascii="Times New Roman" w:hAnsi="Times New Roman" w:eastAsia="宋体" w:cs="宋体"/>
                <w:color w:val="auto"/>
                <w:kern w:val="0"/>
                <w:sz w:val="24"/>
                <w:szCs w:val="24"/>
                <w:lang w:val="en-US" w:eastAsia="zh-CN" w:bidi="ar-SA"/>
              </w:rPr>
              <w:t>年1月开工建设，202</w:t>
            </w:r>
            <w:r>
              <w:rPr>
                <w:rFonts w:hint="eastAsia" w:ascii="Times New Roman" w:hAnsi="Times New Roman" w:cs="宋体"/>
                <w:color w:val="auto"/>
                <w:kern w:val="0"/>
                <w:sz w:val="24"/>
                <w:szCs w:val="24"/>
                <w:lang w:val="en-US" w:eastAsia="zh-CN" w:bidi="ar-SA"/>
              </w:rPr>
              <w:t>5</w:t>
            </w:r>
            <w:r>
              <w:rPr>
                <w:rFonts w:hint="eastAsia" w:ascii="Times New Roman" w:hAnsi="Times New Roman" w:eastAsia="宋体" w:cs="宋体"/>
                <w:color w:val="auto"/>
                <w:kern w:val="0"/>
                <w:sz w:val="24"/>
                <w:szCs w:val="24"/>
                <w:lang w:val="en-US" w:eastAsia="zh-CN" w:bidi="ar-SA"/>
              </w:rPr>
              <w:t>年2月完工。</w:t>
            </w:r>
          </w:p>
          <w:p w14:paraId="2474F5C7">
            <w:pPr>
              <w:adjustRightInd w:val="0"/>
              <w:snapToGrid w:val="0"/>
              <w:spacing w:line="360" w:lineRule="auto"/>
              <w:ind w:firstLine="482" w:firstLineChars="200"/>
              <w:rPr>
                <w:rFonts w:ascii="Times New Roman" w:hAnsi="Times New Roman" w:cs="宋体"/>
                <w:b/>
                <w:color w:val="auto"/>
                <w:sz w:val="24"/>
              </w:rPr>
            </w:pPr>
            <w:r>
              <w:rPr>
                <w:rFonts w:ascii="Times New Roman" w:hAnsi="Times New Roman"/>
                <w:b/>
                <w:color w:val="auto"/>
                <w:sz w:val="24"/>
              </w:rPr>
              <w:t>1</w:t>
            </w:r>
            <w:r>
              <w:rPr>
                <w:rFonts w:hint="eastAsia" w:ascii="Times New Roman" w:hAnsi="Times New Roman"/>
                <w:b/>
                <w:color w:val="auto"/>
                <w:sz w:val="24"/>
                <w:lang w:val="en-US" w:eastAsia="zh-CN"/>
              </w:rPr>
              <w:t>0</w:t>
            </w:r>
            <w:r>
              <w:rPr>
                <w:rFonts w:ascii="Times New Roman" w:hAnsi="Times New Roman"/>
                <w:b/>
                <w:color w:val="auto"/>
                <w:sz w:val="24"/>
              </w:rPr>
              <w:t>、</w:t>
            </w:r>
            <w:r>
              <w:rPr>
                <w:rFonts w:hint="eastAsia" w:ascii="Times New Roman" w:hAnsi="Times New Roman" w:cs="宋体"/>
                <w:b/>
                <w:color w:val="auto"/>
                <w:sz w:val="24"/>
              </w:rPr>
              <w:t>项目环保投资</w:t>
            </w:r>
          </w:p>
          <w:p w14:paraId="1FED9ADC">
            <w:pPr>
              <w:adjustRightInd w:val="0"/>
              <w:snapToGrid w:val="0"/>
              <w:spacing w:line="360" w:lineRule="auto"/>
              <w:ind w:firstLine="480" w:firstLineChars="200"/>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项目总投资200万元，其中环保投资15.42万元，占总投资的7.71%。项目环保投资明细表见表2-6。</w:t>
            </w:r>
          </w:p>
          <w:p w14:paraId="184E7B17">
            <w:pPr>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lang w:val="en-US" w:eastAsia="zh-CN"/>
              </w:rPr>
              <w:t>6</w:t>
            </w:r>
            <w:r>
              <w:rPr>
                <w:rFonts w:ascii="Times New Roman" w:hAnsi="Times New Roman"/>
                <w:b/>
                <w:color w:val="auto"/>
                <w:szCs w:val="21"/>
              </w:rPr>
              <w:t>环保投资一览表</w:t>
            </w:r>
          </w:p>
          <w:tbl>
            <w:tblPr>
              <w:tblStyle w:val="28"/>
              <w:tblW w:w="488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27"/>
              <w:gridCol w:w="863"/>
              <w:gridCol w:w="1411"/>
              <w:gridCol w:w="3009"/>
              <w:gridCol w:w="899"/>
              <w:gridCol w:w="1304"/>
            </w:tblGrid>
            <w:tr w14:paraId="1300DE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6" w:hRule="atLeast"/>
              </w:trPr>
              <w:tc>
                <w:tcPr>
                  <w:tcW w:w="328" w:type="pct"/>
                  <w:shd w:val="clear" w:color="auto" w:fill="auto"/>
                  <w:vAlign w:val="center"/>
                </w:tcPr>
                <w:p w14:paraId="250B4AEC">
                  <w:pPr>
                    <w:widowControl/>
                    <w:snapToGrid w:val="0"/>
                    <w:spacing w:line="240" w:lineRule="auto"/>
                    <w:jc w:val="center"/>
                    <w:rPr>
                      <w:rFonts w:hint="eastAsia" w:ascii="Times New Roman" w:hAnsi="Times New Roman" w:eastAsia="宋体" w:cs="宋体"/>
                      <w:b/>
                      <w:bCs/>
                      <w:color w:val="auto"/>
                      <w:kern w:val="0"/>
                      <w:szCs w:val="21"/>
                      <w:lang w:val="en-US" w:eastAsia="zh-CN"/>
                    </w:rPr>
                  </w:pPr>
                  <w:r>
                    <w:rPr>
                      <w:rFonts w:hint="eastAsia" w:ascii="Times New Roman" w:hAnsi="Times New Roman" w:cs="宋体"/>
                      <w:b/>
                      <w:bCs/>
                      <w:color w:val="auto"/>
                      <w:kern w:val="0"/>
                      <w:szCs w:val="21"/>
                      <w:lang w:val="en-US" w:eastAsia="zh-CN"/>
                    </w:rPr>
                    <w:t>时段</w:t>
                  </w:r>
                </w:p>
              </w:tc>
              <w:tc>
                <w:tcPr>
                  <w:tcW w:w="1419" w:type="pct"/>
                  <w:gridSpan w:val="2"/>
                  <w:shd w:val="clear" w:color="auto" w:fill="auto"/>
                  <w:vAlign w:val="center"/>
                </w:tcPr>
                <w:p w14:paraId="3CB6948D">
                  <w:pPr>
                    <w:widowControl/>
                    <w:snapToGrid w:val="0"/>
                    <w:spacing w:line="240" w:lineRule="auto"/>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项目</w:t>
                  </w:r>
                </w:p>
              </w:tc>
              <w:tc>
                <w:tcPr>
                  <w:tcW w:w="1877" w:type="pct"/>
                  <w:shd w:val="clear" w:color="auto" w:fill="auto"/>
                  <w:vAlign w:val="center"/>
                </w:tcPr>
                <w:p w14:paraId="436DB612">
                  <w:pPr>
                    <w:widowControl/>
                    <w:snapToGrid w:val="0"/>
                    <w:spacing w:line="240" w:lineRule="auto"/>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环保措施</w:t>
                  </w:r>
                </w:p>
              </w:tc>
              <w:tc>
                <w:tcPr>
                  <w:tcW w:w="560" w:type="pct"/>
                  <w:shd w:val="clear" w:color="auto" w:fill="auto"/>
                  <w:vAlign w:val="center"/>
                </w:tcPr>
                <w:p w14:paraId="62EEAA00">
                  <w:pPr>
                    <w:widowControl/>
                    <w:snapToGrid w:val="0"/>
                    <w:spacing w:line="240" w:lineRule="auto"/>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投资/万元</w:t>
                  </w:r>
                </w:p>
              </w:tc>
              <w:tc>
                <w:tcPr>
                  <w:tcW w:w="813" w:type="pct"/>
                  <w:shd w:val="clear" w:color="auto" w:fill="auto"/>
                  <w:vAlign w:val="center"/>
                </w:tcPr>
                <w:p w14:paraId="78FCBD8E">
                  <w:pPr>
                    <w:widowControl/>
                    <w:snapToGrid w:val="0"/>
                    <w:spacing w:line="240" w:lineRule="auto"/>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rPr>
                    <w:t>备注</w:t>
                  </w:r>
                </w:p>
              </w:tc>
            </w:tr>
            <w:tr w14:paraId="6A469E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restart"/>
                  <w:shd w:val="clear" w:color="auto" w:fill="auto"/>
                  <w:vAlign w:val="center"/>
                </w:tcPr>
                <w:p w14:paraId="07422BAB">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施工期</w:t>
                  </w:r>
                </w:p>
              </w:tc>
              <w:tc>
                <w:tcPr>
                  <w:tcW w:w="538" w:type="pct"/>
                  <w:shd w:val="clear" w:color="auto" w:fill="auto"/>
                  <w:vAlign w:val="center"/>
                </w:tcPr>
                <w:p w14:paraId="65E31CF7">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废气</w:t>
                  </w:r>
                </w:p>
              </w:tc>
              <w:tc>
                <w:tcPr>
                  <w:tcW w:w="880" w:type="pct"/>
                  <w:shd w:val="clear" w:color="auto" w:fill="auto"/>
                  <w:vAlign w:val="center"/>
                </w:tcPr>
                <w:p w14:paraId="0723BF18">
                  <w:pPr>
                    <w:jc w:val="center"/>
                    <w:rPr>
                      <w:rFonts w:hint="eastAsia" w:ascii="Times New Roman" w:hAnsi="Times New Roman"/>
                      <w:color w:val="auto"/>
                      <w:lang w:val="en-US" w:eastAsia="zh-CN"/>
                    </w:rPr>
                  </w:pPr>
                  <w:r>
                    <w:rPr>
                      <w:rFonts w:hint="eastAsia" w:ascii="Times New Roman" w:hAnsi="Times New Roman"/>
                      <w:color w:val="auto"/>
                      <w:lang w:val="en-US" w:eastAsia="zh-CN"/>
                    </w:rPr>
                    <w:t>扬尘</w:t>
                  </w:r>
                </w:p>
              </w:tc>
              <w:tc>
                <w:tcPr>
                  <w:tcW w:w="1877" w:type="pct"/>
                  <w:shd w:val="clear" w:color="auto" w:fill="auto"/>
                  <w:vAlign w:val="center"/>
                </w:tcPr>
                <w:p w14:paraId="3731ED21">
                  <w:pPr>
                    <w:jc w:val="center"/>
                    <w:rPr>
                      <w:rFonts w:hint="eastAsia" w:ascii="Times New Roman" w:hAnsi="Times New Roman"/>
                      <w:color w:val="auto"/>
                      <w:lang w:val="en-US" w:eastAsia="zh-CN"/>
                    </w:rPr>
                  </w:pPr>
                  <w:r>
                    <w:rPr>
                      <w:rFonts w:hint="eastAsia" w:ascii="Times New Roman" w:hAnsi="Times New Roman"/>
                      <w:color w:val="auto"/>
                      <w:lang w:val="en-US" w:eastAsia="zh-CN"/>
                    </w:rPr>
                    <w:t>洒水降尘、篷布遮盖。</w:t>
                  </w:r>
                </w:p>
              </w:tc>
              <w:tc>
                <w:tcPr>
                  <w:tcW w:w="560" w:type="pct"/>
                  <w:shd w:val="clear" w:color="auto" w:fill="auto"/>
                  <w:vAlign w:val="center"/>
                </w:tcPr>
                <w:p w14:paraId="3B2F77A0">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0.2</w:t>
                  </w:r>
                </w:p>
              </w:tc>
              <w:tc>
                <w:tcPr>
                  <w:tcW w:w="813" w:type="pct"/>
                  <w:shd w:val="clear" w:color="auto" w:fill="auto"/>
                  <w:vAlign w:val="center"/>
                </w:tcPr>
                <w:p w14:paraId="3055792B">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658E8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0918B2D6">
                  <w:pPr>
                    <w:widowControl/>
                    <w:snapToGrid w:val="0"/>
                    <w:spacing w:line="240" w:lineRule="auto"/>
                    <w:jc w:val="center"/>
                    <w:rPr>
                      <w:rFonts w:hint="eastAsia" w:ascii="Times New Roman" w:hAnsi="Times New Roman" w:eastAsia="宋体" w:cs="宋体"/>
                      <w:color w:val="auto"/>
                      <w:kern w:val="0"/>
                      <w:szCs w:val="21"/>
                    </w:rPr>
                  </w:pPr>
                </w:p>
              </w:tc>
              <w:tc>
                <w:tcPr>
                  <w:tcW w:w="538" w:type="pct"/>
                  <w:shd w:val="clear" w:color="auto" w:fill="auto"/>
                  <w:vAlign w:val="center"/>
                </w:tcPr>
                <w:p w14:paraId="1E93FF58">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废水</w:t>
                  </w:r>
                </w:p>
              </w:tc>
              <w:tc>
                <w:tcPr>
                  <w:tcW w:w="880" w:type="pct"/>
                  <w:shd w:val="clear" w:color="auto" w:fill="auto"/>
                  <w:vAlign w:val="center"/>
                </w:tcPr>
                <w:p w14:paraId="229B6CED">
                  <w:pPr>
                    <w:jc w:val="center"/>
                    <w:rPr>
                      <w:rFonts w:hint="eastAsia" w:ascii="Times New Roman" w:hAnsi="Times New Roman"/>
                      <w:color w:val="auto"/>
                      <w:lang w:val="en-US" w:eastAsia="zh-CN"/>
                    </w:rPr>
                  </w:pPr>
                  <w:r>
                    <w:rPr>
                      <w:rFonts w:hint="eastAsia" w:ascii="Times New Roman" w:hAnsi="Times New Roman"/>
                      <w:color w:val="auto"/>
                      <w:lang w:val="en-US" w:eastAsia="zh-CN"/>
                    </w:rPr>
                    <w:t>施工废水、生活污水</w:t>
                  </w:r>
                </w:p>
              </w:tc>
              <w:tc>
                <w:tcPr>
                  <w:tcW w:w="1877" w:type="pct"/>
                  <w:shd w:val="clear" w:color="auto" w:fill="auto"/>
                  <w:vAlign w:val="center"/>
                </w:tcPr>
                <w:p w14:paraId="610A2E91">
                  <w:pPr>
                    <w:jc w:val="center"/>
                    <w:rPr>
                      <w:rFonts w:hint="eastAsia" w:ascii="Times New Roman" w:hAnsi="Times New Roman"/>
                      <w:color w:val="auto"/>
                      <w:lang w:val="en-US" w:eastAsia="zh-CN"/>
                    </w:rPr>
                  </w:pPr>
                  <w:r>
                    <w:rPr>
                      <w:rFonts w:hint="eastAsia" w:ascii="Times New Roman" w:hAnsi="Times New Roman"/>
                      <w:color w:val="auto"/>
                      <w:lang w:val="en-US" w:eastAsia="zh-CN"/>
                    </w:rPr>
                    <w:t>施工废水、生活污水经过临时沉淀池（2m³）收集后回用于施工场地降尘洒水。</w:t>
                  </w:r>
                </w:p>
              </w:tc>
              <w:tc>
                <w:tcPr>
                  <w:tcW w:w="560" w:type="pct"/>
                  <w:shd w:val="clear" w:color="auto" w:fill="auto"/>
                  <w:vAlign w:val="center"/>
                </w:tcPr>
                <w:p w14:paraId="6F03ACFA">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0.3</w:t>
                  </w:r>
                </w:p>
              </w:tc>
              <w:tc>
                <w:tcPr>
                  <w:tcW w:w="813" w:type="pct"/>
                  <w:shd w:val="clear" w:color="auto" w:fill="auto"/>
                  <w:vAlign w:val="center"/>
                </w:tcPr>
                <w:p w14:paraId="3A917419">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4E0F4A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1507934A">
                  <w:pPr>
                    <w:widowControl/>
                    <w:snapToGrid w:val="0"/>
                    <w:spacing w:line="240" w:lineRule="auto"/>
                    <w:jc w:val="center"/>
                    <w:rPr>
                      <w:rFonts w:hint="eastAsia" w:ascii="Times New Roman" w:hAnsi="Times New Roman" w:eastAsia="宋体" w:cs="宋体"/>
                      <w:color w:val="auto"/>
                      <w:kern w:val="0"/>
                      <w:szCs w:val="21"/>
                    </w:rPr>
                  </w:pPr>
                </w:p>
              </w:tc>
              <w:tc>
                <w:tcPr>
                  <w:tcW w:w="538" w:type="pct"/>
                  <w:shd w:val="clear" w:color="auto" w:fill="auto"/>
                  <w:vAlign w:val="center"/>
                </w:tcPr>
                <w:p w14:paraId="4288F595">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噪声</w:t>
                  </w:r>
                </w:p>
              </w:tc>
              <w:tc>
                <w:tcPr>
                  <w:tcW w:w="880" w:type="pct"/>
                  <w:shd w:val="clear" w:color="auto" w:fill="auto"/>
                  <w:vAlign w:val="center"/>
                </w:tcPr>
                <w:p w14:paraId="1647FF1F">
                  <w:pPr>
                    <w:jc w:val="center"/>
                    <w:rPr>
                      <w:rFonts w:hint="eastAsia" w:ascii="Times New Roman" w:hAnsi="Times New Roman"/>
                      <w:color w:val="auto"/>
                      <w:lang w:val="en-US" w:eastAsia="zh-CN"/>
                    </w:rPr>
                  </w:pPr>
                  <w:r>
                    <w:rPr>
                      <w:rFonts w:hint="eastAsia" w:ascii="Times New Roman" w:hAnsi="Times New Roman"/>
                      <w:color w:val="auto"/>
                      <w:lang w:val="en-US" w:eastAsia="zh-CN"/>
                    </w:rPr>
                    <w:t>设备噪声</w:t>
                  </w:r>
                </w:p>
              </w:tc>
              <w:tc>
                <w:tcPr>
                  <w:tcW w:w="1877" w:type="pct"/>
                  <w:shd w:val="clear" w:color="auto" w:fill="auto"/>
                  <w:vAlign w:val="center"/>
                </w:tcPr>
                <w:p w14:paraId="1766AED4">
                  <w:pPr>
                    <w:jc w:val="center"/>
                    <w:rPr>
                      <w:rFonts w:hint="eastAsia" w:ascii="Times New Roman" w:hAnsi="Times New Roman"/>
                      <w:color w:val="auto"/>
                      <w:lang w:val="en-US" w:eastAsia="zh-CN"/>
                    </w:rPr>
                  </w:pPr>
                  <w:r>
                    <w:rPr>
                      <w:rFonts w:hint="eastAsia" w:ascii="Times New Roman" w:hAnsi="Times New Roman"/>
                      <w:color w:val="auto"/>
                      <w:lang w:val="en-US" w:eastAsia="zh-CN"/>
                    </w:rPr>
                    <w:t>合理安排施工时间，尽量采用低噪声设备、提倡文明施工。</w:t>
                  </w:r>
                </w:p>
              </w:tc>
              <w:tc>
                <w:tcPr>
                  <w:tcW w:w="560" w:type="pct"/>
                  <w:shd w:val="clear" w:color="auto" w:fill="auto"/>
                  <w:vAlign w:val="center"/>
                </w:tcPr>
                <w:p w14:paraId="3DF9D1A3">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0.1</w:t>
                  </w:r>
                </w:p>
              </w:tc>
              <w:tc>
                <w:tcPr>
                  <w:tcW w:w="813" w:type="pct"/>
                  <w:shd w:val="clear" w:color="auto" w:fill="auto"/>
                  <w:vAlign w:val="center"/>
                </w:tcPr>
                <w:p w14:paraId="72068271">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44361B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328" w:type="pct"/>
                  <w:vMerge w:val="continue"/>
                  <w:shd w:val="clear" w:color="auto" w:fill="auto"/>
                  <w:vAlign w:val="center"/>
                </w:tcPr>
                <w:p w14:paraId="4191943D">
                  <w:pPr>
                    <w:widowControl/>
                    <w:snapToGrid w:val="0"/>
                    <w:spacing w:line="240" w:lineRule="auto"/>
                    <w:jc w:val="center"/>
                    <w:rPr>
                      <w:rFonts w:hint="eastAsia" w:ascii="Times New Roman" w:hAnsi="Times New Roman" w:eastAsia="宋体" w:cs="宋体"/>
                      <w:color w:val="auto"/>
                      <w:kern w:val="0"/>
                      <w:szCs w:val="21"/>
                    </w:rPr>
                  </w:pPr>
                </w:p>
              </w:tc>
              <w:tc>
                <w:tcPr>
                  <w:tcW w:w="538" w:type="pct"/>
                  <w:vMerge w:val="restart"/>
                  <w:shd w:val="clear" w:color="auto" w:fill="auto"/>
                  <w:vAlign w:val="center"/>
                </w:tcPr>
                <w:p w14:paraId="6F565BD7">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固废</w:t>
                  </w:r>
                </w:p>
              </w:tc>
              <w:tc>
                <w:tcPr>
                  <w:tcW w:w="880" w:type="pct"/>
                  <w:shd w:val="clear" w:color="auto" w:fill="auto"/>
                  <w:vAlign w:val="center"/>
                </w:tcPr>
                <w:p w14:paraId="60D5AB30">
                  <w:pPr>
                    <w:jc w:val="center"/>
                    <w:rPr>
                      <w:rFonts w:hint="eastAsia" w:ascii="Times New Roman" w:hAnsi="Times New Roman"/>
                      <w:color w:val="auto"/>
                      <w:lang w:val="en-US" w:eastAsia="zh-CN"/>
                    </w:rPr>
                  </w:pPr>
                  <w:r>
                    <w:rPr>
                      <w:rFonts w:hint="eastAsia" w:ascii="Times New Roman" w:hAnsi="Times New Roman"/>
                      <w:color w:val="auto"/>
                      <w:lang w:val="en-US" w:eastAsia="zh-CN"/>
                    </w:rPr>
                    <w:t>建筑垃圾</w:t>
                  </w:r>
                </w:p>
              </w:tc>
              <w:tc>
                <w:tcPr>
                  <w:tcW w:w="1877" w:type="pct"/>
                  <w:shd w:val="clear" w:color="auto" w:fill="auto"/>
                  <w:vAlign w:val="center"/>
                </w:tcPr>
                <w:p w14:paraId="2F966471">
                  <w:pPr>
                    <w:jc w:val="center"/>
                    <w:rPr>
                      <w:rFonts w:hint="eastAsia" w:ascii="Times New Roman" w:hAnsi="Times New Roman"/>
                      <w:color w:val="auto"/>
                      <w:lang w:val="en-US" w:eastAsia="zh-CN"/>
                    </w:rPr>
                  </w:pPr>
                  <w:r>
                    <w:rPr>
                      <w:rFonts w:hint="eastAsia" w:ascii="Times New Roman" w:hAnsi="Times New Roman"/>
                      <w:color w:val="auto"/>
                      <w:lang w:val="en-US" w:eastAsia="zh-CN"/>
                    </w:rPr>
                    <w:t>建筑垃圾分类处理，建筑垃圾集中收集后尽量回收利用，不能回收利用的运至指定地点处置。</w:t>
                  </w:r>
                </w:p>
              </w:tc>
              <w:tc>
                <w:tcPr>
                  <w:tcW w:w="560" w:type="pct"/>
                  <w:shd w:val="clear" w:color="auto" w:fill="auto"/>
                  <w:vAlign w:val="center"/>
                </w:tcPr>
                <w:p w14:paraId="38B4F8D0">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0.3</w:t>
                  </w:r>
                </w:p>
              </w:tc>
              <w:tc>
                <w:tcPr>
                  <w:tcW w:w="813" w:type="pct"/>
                  <w:shd w:val="clear" w:color="auto" w:fill="auto"/>
                  <w:vAlign w:val="center"/>
                </w:tcPr>
                <w:p w14:paraId="3CC48D09">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4FAF02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328" w:type="pct"/>
                  <w:vMerge w:val="continue"/>
                  <w:shd w:val="clear" w:color="auto" w:fill="auto"/>
                  <w:vAlign w:val="center"/>
                </w:tcPr>
                <w:p w14:paraId="57029639">
                  <w:pPr>
                    <w:widowControl/>
                    <w:snapToGrid w:val="0"/>
                    <w:spacing w:line="240" w:lineRule="auto"/>
                    <w:jc w:val="center"/>
                    <w:rPr>
                      <w:rFonts w:ascii="Times New Roman" w:hAnsi="Times New Roman"/>
                      <w:color w:val="auto"/>
                    </w:rPr>
                  </w:pPr>
                </w:p>
              </w:tc>
              <w:tc>
                <w:tcPr>
                  <w:tcW w:w="538" w:type="pct"/>
                  <w:vMerge w:val="continue"/>
                  <w:shd w:val="clear" w:color="auto" w:fill="auto"/>
                  <w:vAlign w:val="center"/>
                </w:tcPr>
                <w:p w14:paraId="7BFFBA39">
                  <w:pPr>
                    <w:widowControl/>
                    <w:snapToGrid w:val="0"/>
                    <w:spacing w:line="240" w:lineRule="auto"/>
                    <w:jc w:val="center"/>
                    <w:rPr>
                      <w:rFonts w:ascii="Times New Roman" w:hAnsi="Times New Roman"/>
                      <w:color w:val="auto"/>
                    </w:rPr>
                  </w:pPr>
                </w:p>
              </w:tc>
              <w:tc>
                <w:tcPr>
                  <w:tcW w:w="880" w:type="pct"/>
                  <w:shd w:val="clear" w:color="auto" w:fill="auto"/>
                  <w:vAlign w:val="center"/>
                </w:tcPr>
                <w:p w14:paraId="088C0417">
                  <w:pPr>
                    <w:jc w:val="center"/>
                    <w:rPr>
                      <w:rFonts w:hint="eastAsia" w:ascii="Times New Roman" w:hAnsi="Times New Roman"/>
                      <w:color w:val="auto"/>
                      <w:lang w:val="en-US" w:eastAsia="zh-CN"/>
                    </w:rPr>
                  </w:pPr>
                  <w:r>
                    <w:rPr>
                      <w:rFonts w:hint="eastAsia" w:ascii="Times New Roman" w:hAnsi="Times New Roman"/>
                      <w:color w:val="auto"/>
                      <w:lang w:val="en-US" w:eastAsia="zh-CN"/>
                    </w:rPr>
                    <w:t>生活垃圾</w:t>
                  </w:r>
                </w:p>
              </w:tc>
              <w:tc>
                <w:tcPr>
                  <w:tcW w:w="1877" w:type="pct"/>
                  <w:shd w:val="clear" w:color="auto" w:fill="auto"/>
                  <w:vAlign w:val="center"/>
                </w:tcPr>
                <w:p w14:paraId="4639F179">
                  <w:pPr>
                    <w:jc w:val="center"/>
                    <w:rPr>
                      <w:rFonts w:hint="eastAsia" w:ascii="Times New Roman" w:hAnsi="Times New Roman"/>
                      <w:color w:val="auto"/>
                      <w:lang w:val="en-US" w:eastAsia="zh-CN"/>
                    </w:rPr>
                  </w:pPr>
                  <w:r>
                    <w:rPr>
                      <w:rFonts w:hint="eastAsia" w:ascii="Times New Roman" w:hAnsi="Times New Roman"/>
                      <w:color w:val="auto"/>
                      <w:lang w:val="en-US" w:eastAsia="zh-CN"/>
                    </w:rPr>
                    <w:t>生活垃圾经垃圾桶统一收集后，</w:t>
                  </w:r>
                  <w:r>
                    <w:rPr>
                      <w:rFonts w:hint="default" w:ascii="Times New Roman" w:hAnsi="Times New Roman"/>
                      <w:color w:val="auto"/>
                      <w:lang w:val="en-US" w:eastAsia="zh-CN"/>
                    </w:rPr>
                    <w:t>清运至最近的生活垃圾收集点</w:t>
                  </w:r>
                  <w:r>
                    <w:rPr>
                      <w:rFonts w:hint="eastAsia" w:ascii="Times New Roman" w:hAnsi="Times New Roman"/>
                      <w:color w:val="auto"/>
                      <w:lang w:val="en-US" w:eastAsia="zh-CN"/>
                    </w:rPr>
                    <w:t>由</w:t>
                  </w:r>
                  <w:r>
                    <w:rPr>
                      <w:rFonts w:hint="default" w:ascii="Times New Roman" w:hAnsi="Times New Roman"/>
                      <w:color w:val="auto"/>
                      <w:lang w:val="en-US" w:eastAsia="zh-CN"/>
                    </w:rPr>
                    <w:t>环卫部门清运处置</w:t>
                  </w:r>
                  <w:r>
                    <w:rPr>
                      <w:rFonts w:hint="eastAsia" w:ascii="Times New Roman" w:hAnsi="Times New Roman"/>
                      <w:color w:val="auto"/>
                      <w:lang w:val="en-US" w:eastAsia="zh-CN"/>
                    </w:rPr>
                    <w:t>。</w:t>
                  </w:r>
                </w:p>
              </w:tc>
              <w:tc>
                <w:tcPr>
                  <w:tcW w:w="560" w:type="pct"/>
                  <w:shd w:val="clear" w:color="auto" w:fill="auto"/>
                  <w:vAlign w:val="center"/>
                </w:tcPr>
                <w:p w14:paraId="28BD68BA">
                  <w:pPr>
                    <w:widowControl/>
                    <w:snapToGrid w:val="0"/>
                    <w:spacing w:line="240" w:lineRule="auto"/>
                    <w:jc w:val="center"/>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 w:val="21"/>
                      <w:szCs w:val="21"/>
                      <w:lang w:val="en-US" w:eastAsia="zh-CN" w:bidi="ar-SA"/>
                    </w:rPr>
                    <w:t>0.01</w:t>
                  </w:r>
                </w:p>
              </w:tc>
              <w:tc>
                <w:tcPr>
                  <w:tcW w:w="813" w:type="pct"/>
                  <w:shd w:val="clear" w:color="auto" w:fill="auto"/>
                  <w:vAlign w:val="center"/>
                </w:tcPr>
                <w:p w14:paraId="6EF53462">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eastAsia="宋体" w:cs="宋体"/>
                      <w:color w:val="auto"/>
                      <w:kern w:val="0"/>
                      <w:szCs w:val="21"/>
                      <w:lang w:val="en-US" w:eastAsia="zh-CN"/>
                    </w:rPr>
                    <w:t>环评提出</w:t>
                  </w:r>
                </w:p>
              </w:tc>
            </w:tr>
            <w:tr w14:paraId="06CE46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5" w:hRule="atLeast"/>
              </w:trPr>
              <w:tc>
                <w:tcPr>
                  <w:tcW w:w="328" w:type="pct"/>
                  <w:vMerge w:val="restart"/>
                  <w:shd w:val="clear" w:color="auto" w:fill="auto"/>
                  <w:vAlign w:val="center"/>
                </w:tcPr>
                <w:p w14:paraId="255F9ECF">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运营期</w:t>
                  </w:r>
                </w:p>
              </w:tc>
              <w:tc>
                <w:tcPr>
                  <w:tcW w:w="538" w:type="pct"/>
                  <w:shd w:val="clear" w:color="auto" w:fill="auto"/>
                  <w:vAlign w:val="center"/>
                </w:tcPr>
                <w:p w14:paraId="2367C67C">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废气</w:t>
                  </w:r>
                </w:p>
              </w:tc>
              <w:tc>
                <w:tcPr>
                  <w:tcW w:w="880" w:type="pct"/>
                  <w:shd w:val="clear" w:color="auto" w:fill="auto"/>
                  <w:vAlign w:val="center"/>
                </w:tcPr>
                <w:p w14:paraId="5F363A0B">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sz w:val="21"/>
                      <w:szCs w:val="21"/>
                      <w:lang w:val="en-US" w:eastAsia="zh-CN"/>
                    </w:rPr>
                    <w:t>生物质锅炉燃烧废气</w:t>
                  </w:r>
                </w:p>
              </w:tc>
              <w:tc>
                <w:tcPr>
                  <w:tcW w:w="1877" w:type="pct"/>
                  <w:shd w:val="clear" w:color="auto" w:fill="auto"/>
                  <w:vAlign w:val="center"/>
                </w:tcPr>
                <w:p w14:paraId="3E5D9E46">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spacing w:val="6"/>
                      <w:kern w:val="2"/>
                      <w:sz w:val="21"/>
                      <w:szCs w:val="21"/>
                      <w:lang w:val="en-US" w:eastAsia="zh-CN" w:bidi="ar-SA"/>
                    </w:rPr>
                    <w:t>生物质</w:t>
                  </w:r>
                  <w:r>
                    <w:rPr>
                      <w:rFonts w:hint="eastAsia" w:ascii="Times New Roman" w:hAnsi="Times New Roman" w:cs="宋体"/>
                      <w:color w:val="auto"/>
                      <w:spacing w:val="6"/>
                      <w:kern w:val="2"/>
                      <w:sz w:val="21"/>
                      <w:szCs w:val="21"/>
                      <w:lang w:val="en-US" w:eastAsia="zh-CN" w:bidi="ar-SA"/>
                    </w:rPr>
                    <w:t>锅炉燃烧</w:t>
                  </w:r>
                  <w:r>
                    <w:rPr>
                      <w:rFonts w:hint="eastAsia" w:ascii="Times New Roman" w:hAnsi="Times New Roman" w:eastAsia="宋体" w:cs="宋体"/>
                      <w:color w:val="auto"/>
                      <w:spacing w:val="6"/>
                      <w:kern w:val="2"/>
                      <w:sz w:val="21"/>
                      <w:szCs w:val="21"/>
                      <w:lang w:val="en-US" w:eastAsia="zh-CN" w:bidi="ar-SA"/>
                    </w:rPr>
                    <w:t>废气经布袋除尘器处理达标后由一</w:t>
                  </w:r>
                  <w:r>
                    <w:rPr>
                      <w:rFonts w:hint="eastAsia" w:ascii="Times New Roman" w:hAnsi="Times New Roman" w:cs="宋体"/>
                      <w:color w:val="auto"/>
                      <w:spacing w:val="6"/>
                      <w:kern w:val="2"/>
                      <w:sz w:val="21"/>
                      <w:szCs w:val="21"/>
                      <w:lang w:val="en-US" w:eastAsia="zh-CN" w:bidi="ar-SA"/>
                    </w:rPr>
                    <w:t>根</w:t>
                  </w:r>
                  <w:r>
                    <w:rPr>
                      <w:rFonts w:hint="eastAsia" w:ascii="Times New Roman" w:hAnsi="Times New Roman" w:eastAsia="宋体" w:cs="宋体"/>
                      <w:color w:val="auto"/>
                      <w:spacing w:val="6"/>
                      <w:kern w:val="2"/>
                      <w:sz w:val="21"/>
                      <w:szCs w:val="21"/>
                      <w:lang w:val="en-US" w:eastAsia="zh-CN" w:bidi="ar-SA"/>
                    </w:rPr>
                    <w:t>30m 高的排气筒（DA001）排放。</w:t>
                  </w:r>
                </w:p>
              </w:tc>
              <w:tc>
                <w:tcPr>
                  <w:tcW w:w="560" w:type="pct"/>
                  <w:shd w:val="clear" w:color="auto" w:fill="auto"/>
                  <w:vAlign w:val="center"/>
                </w:tcPr>
                <w:p w14:paraId="288DBAF3">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8</w:t>
                  </w:r>
                </w:p>
              </w:tc>
              <w:tc>
                <w:tcPr>
                  <w:tcW w:w="813" w:type="pct"/>
                  <w:shd w:val="clear" w:color="auto" w:fill="auto"/>
                  <w:vAlign w:val="center"/>
                </w:tcPr>
                <w:p w14:paraId="6049B5BF">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37338C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7E6BC2C2">
                  <w:pPr>
                    <w:widowControl/>
                    <w:snapToGrid w:val="0"/>
                    <w:spacing w:line="240" w:lineRule="auto"/>
                    <w:jc w:val="center"/>
                    <w:rPr>
                      <w:rFonts w:hint="eastAsia" w:ascii="Times New Roman" w:hAnsi="Times New Roman" w:cs="宋体"/>
                      <w:color w:val="auto"/>
                      <w:kern w:val="0"/>
                      <w:szCs w:val="21"/>
                      <w:lang w:val="en-US" w:eastAsia="zh-CN"/>
                    </w:rPr>
                  </w:pPr>
                </w:p>
              </w:tc>
              <w:tc>
                <w:tcPr>
                  <w:tcW w:w="538" w:type="pct"/>
                  <w:vMerge w:val="restart"/>
                  <w:shd w:val="clear" w:color="auto" w:fill="auto"/>
                  <w:vAlign w:val="center"/>
                </w:tcPr>
                <w:p w14:paraId="18A5707E">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废水</w:t>
                  </w:r>
                </w:p>
              </w:tc>
              <w:tc>
                <w:tcPr>
                  <w:tcW w:w="880" w:type="pct"/>
                  <w:shd w:val="clear" w:color="auto" w:fill="auto"/>
                  <w:vAlign w:val="center"/>
                </w:tcPr>
                <w:p w14:paraId="70F90B45">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生产废水</w:t>
                  </w:r>
                </w:p>
              </w:tc>
              <w:tc>
                <w:tcPr>
                  <w:tcW w:w="1877" w:type="pct"/>
                  <w:shd w:val="clear" w:color="auto" w:fill="auto"/>
                  <w:vAlign w:val="center"/>
                </w:tcPr>
                <w:p w14:paraId="07C47424">
                  <w:pPr>
                    <w:widowControl/>
                    <w:snapToGrid w:val="0"/>
                    <w:spacing w:line="240" w:lineRule="auto"/>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三级沉淀</w:t>
                  </w:r>
                  <w:r>
                    <w:rPr>
                      <w:rFonts w:hint="eastAsia" w:ascii="Times New Roman" w:hAnsi="Times New Roman" w:cs="宋体"/>
                      <w:color w:val="auto"/>
                      <w:spacing w:val="6"/>
                      <w:kern w:val="2"/>
                      <w:sz w:val="21"/>
                      <w:szCs w:val="21"/>
                      <w:lang w:val="en-US" w:eastAsia="zh-CN" w:bidi="ar-SA"/>
                    </w:rPr>
                    <w:t>池，容积40m³</w:t>
                  </w:r>
                </w:p>
              </w:tc>
              <w:tc>
                <w:tcPr>
                  <w:tcW w:w="560" w:type="pct"/>
                  <w:shd w:val="clear" w:color="auto" w:fill="auto"/>
                  <w:vAlign w:val="center"/>
                </w:tcPr>
                <w:p w14:paraId="4475812B">
                  <w:pPr>
                    <w:widowControl/>
                    <w:snapToGrid w:val="0"/>
                    <w:spacing w:line="240" w:lineRule="auto"/>
                    <w:jc w:val="center"/>
                    <w:rPr>
                      <w:rFonts w:hint="default"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3</w:t>
                  </w:r>
                </w:p>
              </w:tc>
              <w:tc>
                <w:tcPr>
                  <w:tcW w:w="813" w:type="pct"/>
                  <w:shd w:val="clear" w:color="auto" w:fill="auto"/>
                  <w:vAlign w:val="center"/>
                </w:tcPr>
                <w:p w14:paraId="2A987440">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1AC4FF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08509B62">
                  <w:pPr>
                    <w:widowControl/>
                    <w:snapToGrid w:val="0"/>
                    <w:spacing w:line="240" w:lineRule="auto"/>
                    <w:jc w:val="center"/>
                    <w:rPr>
                      <w:rFonts w:hint="eastAsia" w:ascii="Times New Roman" w:hAnsi="Times New Roman" w:cs="宋体"/>
                      <w:color w:val="auto"/>
                      <w:kern w:val="0"/>
                      <w:szCs w:val="21"/>
                      <w:lang w:val="en-US" w:eastAsia="zh-CN"/>
                    </w:rPr>
                  </w:pPr>
                </w:p>
              </w:tc>
              <w:tc>
                <w:tcPr>
                  <w:tcW w:w="538" w:type="pct"/>
                  <w:vMerge w:val="continue"/>
                  <w:shd w:val="clear" w:color="auto" w:fill="auto"/>
                  <w:vAlign w:val="center"/>
                </w:tcPr>
                <w:p w14:paraId="380251B9">
                  <w:pPr>
                    <w:widowControl/>
                    <w:snapToGrid w:val="0"/>
                    <w:spacing w:line="240" w:lineRule="auto"/>
                    <w:jc w:val="center"/>
                    <w:rPr>
                      <w:rFonts w:hint="eastAsia" w:ascii="Times New Roman" w:hAnsi="Times New Roman" w:cs="宋体"/>
                      <w:color w:val="auto"/>
                      <w:kern w:val="0"/>
                      <w:szCs w:val="21"/>
                      <w:lang w:val="en-US" w:eastAsia="zh-CN"/>
                    </w:rPr>
                  </w:pPr>
                </w:p>
              </w:tc>
              <w:tc>
                <w:tcPr>
                  <w:tcW w:w="880" w:type="pct"/>
                  <w:shd w:val="clear" w:color="auto" w:fill="auto"/>
                  <w:vAlign w:val="center"/>
                </w:tcPr>
                <w:p w14:paraId="282FC4B0">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生活废水</w:t>
                  </w:r>
                </w:p>
              </w:tc>
              <w:tc>
                <w:tcPr>
                  <w:tcW w:w="1877" w:type="pct"/>
                  <w:shd w:val="clear" w:color="auto" w:fill="auto"/>
                  <w:vAlign w:val="center"/>
                </w:tcPr>
                <w:p w14:paraId="71EBE6CB">
                  <w:pPr>
                    <w:widowControl/>
                    <w:snapToGrid w:val="0"/>
                    <w:spacing w:line="240" w:lineRule="auto"/>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化粪池</w:t>
                  </w:r>
                  <w:r>
                    <w:rPr>
                      <w:rFonts w:hint="eastAsia" w:ascii="Times New Roman" w:hAnsi="Times New Roman" w:cs="宋体"/>
                      <w:color w:val="auto"/>
                      <w:spacing w:val="6"/>
                      <w:kern w:val="2"/>
                      <w:sz w:val="21"/>
                      <w:szCs w:val="21"/>
                      <w:lang w:val="en-US" w:eastAsia="zh-CN" w:bidi="ar-SA"/>
                    </w:rPr>
                    <w:t>，容积2m³</w:t>
                  </w:r>
                </w:p>
              </w:tc>
              <w:tc>
                <w:tcPr>
                  <w:tcW w:w="560" w:type="pct"/>
                  <w:shd w:val="clear" w:color="auto" w:fill="auto"/>
                  <w:vAlign w:val="center"/>
                </w:tcPr>
                <w:p w14:paraId="77AC5513">
                  <w:pPr>
                    <w:widowControl/>
                    <w:snapToGrid w:val="0"/>
                    <w:spacing w:line="240" w:lineRule="auto"/>
                    <w:jc w:val="center"/>
                    <w:rPr>
                      <w:rFonts w:hint="default"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0.5</w:t>
                  </w:r>
                </w:p>
              </w:tc>
              <w:tc>
                <w:tcPr>
                  <w:tcW w:w="813" w:type="pct"/>
                  <w:shd w:val="clear" w:color="auto" w:fill="auto"/>
                  <w:vAlign w:val="center"/>
                </w:tcPr>
                <w:p w14:paraId="09AC2109">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环评提出</w:t>
                  </w:r>
                </w:p>
              </w:tc>
            </w:tr>
            <w:tr w14:paraId="19FCDF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312809D4">
                  <w:pPr>
                    <w:widowControl/>
                    <w:snapToGrid w:val="0"/>
                    <w:spacing w:line="240" w:lineRule="auto"/>
                    <w:jc w:val="center"/>
                    <w:rPr>
                      <w:rFonts w:hint="eastAsia" w:ascii="Times New Roman" w:hAnsi="Times New Roman" w:eastAsia="宋体" w:cs="宋体"/>
                      <w:color w:val="auto"/>
                      <w:kern w:val="0"/>
                      <w:szCs w:val="21"/>
                    </w:rPr>
                  </w:pPr>
                </w:p>
              </w:tc>
              <w:tc>
                <w:tcPr>
                  <w:tcW w:w="538" w:type="pct"/>
                  <w:shd w:val="clear" w:color="auto" w:fill="auto"/>
                  <w:vAlign w:val="center"/>
                </w:tcPr>
                <w:p w14:paraId="3ECDF4A1">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噪声</w:t>
                  </w:r>
                </w:p>
              </w:tc>
              <w:tc>
                <w:tcPr>
                  <w:tcW w:w="880" w:type="pct"/>
                  <w:shd w:val="clear" w:color="auto" w:fill="auto"/>
                  <w:vAlign w:val="center"/>
                </w:tcPr>
                <w:p w14:paraId="7E2EA3F2">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生产设备噪声</w:t>
                  </w:r>
                </w:p>
              </w:tc>
              <w:tc>
                <w:tcPr>
                  <w:tcW w:w="1877" w:type="pct"/>
                  <w:shd w:val="clear" w:color="auto" w:fill="auto"/>
                  <w:vAlign w:val="center"/>
                </w:tcPr>
                <w:p w14:paraId="5E54647D">
                  <w:pPr>
                    <w:widowControl/>
                    <w:snapToGrid w:val="0"/>
                    <w:spacing w:line="240" w:lineRule="auto"/>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厂房隔音，高噪声设备安装消声、减振装置</w:t>
                  </w:r>
                </w:p>
              </w:tc>
              <w:tc>
                <w:tcPr>
                  <w:tcW w:w="560" w:type="pct"/>
                  <w:shd w:val="clear" w:color="auto" w:fill="auto"/>
                  <w:vAlign w:val="center"/>
                </w:tcPr>
                <w:p w14:paraId="669FE6B3">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0.5</w:t>
                  </w:r>
                </w:p>
              </w:tc>
              <w:tc>
                <w:tcPr>
                  <w:tcW w:w="813" w:type="pct"/>
                  <w:shd w:val="clear" w:color="auto" w:fill="auto"/>
                  <w:vAlign w:val="center"/>
                </w:tcPr>
                <w:p w14:paraId="1F625252">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lang w:val="en-US" w:eastAsia="zh-CN"/>
                    </w:rPr>
                    <w:t>环评提出</w:t>
                  </w:r>
                </w:p>
              </w:tc>
            </w:tr>
            <w:tr w14:paraId="0056D0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trPr>
              <w:tc>
                <w:tcPr>
                  <w:tcW w:w="328" w:type="pct"/>
                  <w:vMerge w:val="continue"/>
                  <w:shd w:val="clear" w:color="auto" w:fill="auto"/>
                  <w:vAlign w:val="center"/>
                </w:tcPr>
                <w:p w14:paraId="07DCA115">
                  <w:pPr>
                    <w:widowControl/>
                    <w:snapToGrid w:val="0"/>
                    <w:spacing w:line="240" w:lineRule="auto"/>
                    <w:jc w:val="center"/>
                    <w:rPr>
                      <w:rFonts w:hint="eastAsia" w:ascii="Times New Roman" w:hAnsi="Times New Roman" w:eastAsia="宋体" w:cs="宋体"/>
                      <w:color w:val="auto"/>
                      <w:kern w:val="0"/>
                      <w:szCs w:val="21"/>
                    </w:rPr>
                  </w:pPr>
                </w:p>
              </w:tc>
              <w:tc>
                <w:tcPr>
                  <w:tcW w:w="538" w:type="pct"/>
                  <w:vMerge w:val="restart"/>
                  <w:shd w:val="clear" w:color="auto" w:fill="auto"/>
                  <w:vAlign w:val="center"/>
                </w:tcPr>
                <w:p w14:paraId="152422F6">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固废</w:t>
                  </w:r>
                </w:p>
              </w:tc>
              <w:tc>
                <w:tcPr>
                  <w:tcW w:w="880" w:type="pct"/>
                  <w:shd w:val="clear" w:color="auto" w:fill="auto"/>
                  <w:vAlign w:val="center"/>
                </w:tcPr>
                <w:p w14:paraId="265DE167">
                  <w:pPr>
                    <w:widowControl/>
                    <w:snapToGrid w:val="0"/>
                    <w:spacing w:line="240" w:lineRule="auto"/>
                    <w:jc w:val="center"/>
                    <w:rPr>
                      <w:rFonts w:hint="eastAsia"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生活垃圾</w:t>
                  </w:r>
                </w:p>
              </w:tc>
              <w:tc>
                <w:tcPr>
                  <w:tcW w:w="1877" w:type="pct"/>
                  <w:shd w:val="clear" w:color="auto" w:fill="auto"/>
                  <w:vAlign w:val="center"/>
                </w:tcPr>
                <w:p w14:paraId="7A9D026F">
                  <w:pPr>
                    <w:widowControl/>
                    <w:snapToGrid w:val="0"/>
                    <w:spacing w:line="240" w:lineRule="auto"/>
                    <w:jc w:val="center"/>
                    <w:rPr>
                      <w:rFonts w:hint="eastAsia" w:ascii="Times New Roman" w:hAnsi="Times New Roman" w:eastAsia="宋体" w:cs="宋体"/>
                      <w:color w:val="auto"/>
                      <w:kern w:val="0"/>
                      <w:szCs w:val="21"/>
                      <w:lang w:eastAsia="zh-CN"/>
                    </w:rPr>
                  </w:pPr>
                  <w:r>
                    <w:rPr>
                      <w:rFonts w:hint="eastAsia" w:ascii="Times New Roman" w:hAnsi="Times New Roman" w:eastAsia="宋体" w:cs="宋体"/>
                      <w:color w:val="auto"/>
                      <w:kern w:val="0"/>
                      <w:szCs w:val="21"/>
                    </w:rPr>
                    <w:t>垃圾桶若干</w:t>
                  </w:r>
                  <w:r>
                    <w:rPr>
                      <w:rFonts w:hint="eastAsia" w:ascii="Times New Roman" w:hAnsi="Times New Roman" w:cs="宋体"/>
                      <w:color w:val="auto"/>
                      <w:kern w:val="0"/>
                      <w:szCs w:val="21"/>
                      <w:lang w:eastAsia="zh-CN"/>
                    </w:rPr>
                    <w:t>，</w:t>
                  </w:r>
                  <w:r>
                    <w:rPr>
                      <w:rFonts w:hint="eastAsia" w:ascii="Times New Roman" w:hAnsi="Times New Roman"/>
                      <w:color w:val="auto"/>
                      <w:lang w:val="en-US" w:eastAsia="zh-CN"/>
                    </w:rPr>
                    <w:t>生活垃圾经垃圾桶统一收集后，</w:t>
                  </w:r>
                  <w:r>
                    <w:rPr>
                      <w:rFonts w:hint="default" w:ascii="Times New Roman" w:hAnsi="Times New Roman"/>
                      <w:color w:val="auto"/>
                      <w:lang w:val="en-US" w:eastAsia="zh-CN"/>
                    </w:rPr>
                    <w:t>清运至最近的生活垃圾收集点</w:t>
                  </w:r>
                  <w:r>
                    <w:rPr>
                      <w:rFonts w:hint="eastAsia" w:ascii="Times New Roman" w:hAnsi="Times New Roman"/>
                      <w:color w:val="auto"/>
                      <w:lang w:val="en-US" w:eastAsia="zh-CN"/>
                    </w:rPr>
                    <w:t>由</w:t>
                  </w:r>
                  <w:r>
                    <w:rPr>
                      <w:rFonts w:hint="default" w:ascii="Times New Roman" w:hAnsi="Times New Roman"/>
                      <w:color w:val="auto"/>
                      <w:lang w:val="en-US" w:eastAsia="zh-CN"/>
                    </w:rPr>
                    <w:t>环卫部门清运处置</w:t>
                  </w:r>
                </w:p>
              </w:tc>
              <w:tc>
                <w:tcPr>
                  <w:tcW w:w="560" w:type="pct"/>
                  <w:shd w:val="clear" w:color="auto" w:fill="auto"/>
                  <w:vAlign w:val="center"/>
                </w:tcPr>
                <w:p w14:paraId="74734A3E">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0.01</w:t>
                  </w:r>
                </w:p>
              </w:tc>
              <w:tc>
                <w:tcPr>
                  <w:tcW w:w="813" w:type="pct"/>
                  <w:shd w:val="clear" w:color="auto" w:fill="auto"/>
                  <w:vAlign w:val="center"/>
                </w:tcPr>
                <w:p w14:paraId="05F41859">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lang w:val="en-US" w:eastAsia="zh-CN"/>
                    </w:rPr>
                    <w:t>环评提出</w:t>
                  </w:r>
                </w:p>
              </w:tc>
            </w:tr>
            <w:tr w14:paraId="477D22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14:paraId="1B1FDE8A">
                  <w:pPr>
                    <w:widowControl/>
                    <w:snapToGrid w:val="0"/>
                    <w:spacing w:line="240" w:lineRule="auto"/>
                    <w:jc w:val="center"/>
                    <w:rPr>
                      <w:rFonts w:hint="eastAsia" w:ascii="Times New Roman" w:hAnsi="Times New Roman" w:eastAsia="宋体" w:cs="宋体"/>
                      <w:color w:val="auto"/>
                      <w:kern w:val="0"/>
                      <w:szCs w:val="21"/>
                    </w:rPr>
                  </w:pPr>
                </w:p>
              </w:tc>
              <w:tc>
                <w:tcPr>
                  <w:tcW w:w="538" w:type="pct"/>
                  <w:vMerge w:val="continue"/>
                  <w:shd w:val="clear" w:color="auto" w:fill="auto"/>
                  <w:vAlign w:val="center"/>
                </w:tcPr>
                <w:p w14:paraId="0EEBA151">
                  <w:pPr>
                    <w:widowControl/>
                    <w:snapToGrid w:val="0"/>
                    <w:spacing w:line="240" w:lineRule="auto"/>
                    <w:jc w:val="center"/>
                    <w:rPr>
                      <w:rFonts w:hint="eastAsia" w:ascii="Times New Roman" w:hAnsi="Times New Roman" w:eastAsia="宋体" w:cs="宋体"/>
                      <w:color w:val="auto"/>
                      <w:kern w:val="0"/>
                      <w:szCs w:val="21"/>
                    </w:rPr>
                  </w:pPr>
                </w:p>
              </w:tc>
              <w:tc>
                <w:tcPr>
                  <w:tcW w:w="880" w:type="pct"/>
                  <w:shd w:val="clear" w:color="auto" w:fill="auto"/>
                  <w:vAlign w:val="center"/>
                </w:tcPr>
                <w:p w14:paraId="3EE19A6A">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一般固废</w:t>
                  </w:r>
                </w:p>
              </w:tc>
              <w:tc>
                <w:tcPr>
                  <w:tcW w:w="1877" w:type="pct"/>
                  <w:shd w:val="clear" w:color="auto" w:fill="auto"/>
                  <w:vAlign w:val="center"/>
                </w:tcPr>
                <w:p w14:paraId="350CD77B">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rPr>
                    <w:t>一般固体废物暂存</w:t>
                  </w:r>
                  <w:r>
                    <w:rPr>
                      <w:rFonts w:hint="eastAsia" w:ascii="Times New Roman" w:hAnsi="Times New Roman" w:eastAsia="宋体" w:cs="宋体"/>
                      <w:color w:val="auto"/>
                      <w:kern w:val="0"/>
                      <w:szCs w:val="21"/>
                      <w:lang w:val="en-US" w:eastAsia="zh-CN"/>
                    </w:rPr>
                    <w:t>间1间，面积</w:t>
                  </w:r>
                  <w:r>
                    <w:rPr>
                      <w:rFonts w:hint="eastAsia" w:ascii="Times New Roman" w:hAnsi="Times New Roman" w:eastAsia="宋体" w:cs="宋体"/>
                      <w:color w:val="auto"/>
                      <w:kern w:val="0"/>
                      <w:szCs w:val="21"/>
                    </w:rPr>
                    <w:t>10m²</w:t>
                  </w:r>
                </w:p>
              </w:tc>
              <w:tc>
                <w:tcPr>
                  <w:tcW w:w="560" w:type="pct"/>
                  <w:shd w:val="clear" w:color="auto" w:fill="auto"/>
                  <w:vAlign w:val="center"/>
                </w:tcPr>
                <w:p w14:paraId="68749FB9">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0.5</w:t>
                  </w:r>
                </w:p>
              </w:tc>
              <w:tc>
                <w:tcPr>
                  <w:tcW w:w="813" w:type="pct"/>
                  <w:shd w:val="clear" w:color="auto" w:fill="auto"/>
                  <w:vAlign w:val="center"/>
                </w:tcPr>
                <w:p w14:paraId="081019D6">
                  <w:pPr>
                    <w:widowControl/>
                    <w:snapToGrid w:val="0"/>
                    <w:spacing w:line="240" w:lineRule="auto"/>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lang w:val="en-US" w:eastAsia="zh-CN"/>
                    </w:rPr>
                    <w:t>环评提出</w:t>
                  </w:r>
                </w:p>
              </w:tc>
            </w:tr>
            <w:tr w14:paraId="0B6E6A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44" w:hRule="atLeast"/>
              </w:trPr>
              <w:tc>
                <w:tcPr>
                  <w:tcW w:w="328" w:type="pct"/>
                  <w:vMerge w:val="continue"/>
                  <w:vAlign w:val="center"/>
                </w:tcPr>
                <w:p w14:paraId="266B97C6">
                  <w:pPr>
                    <w:widowControl/>
                    <w:snapToGrid w:val="0"/>
                    <w:spacing w:line="240" w:lineRule="auto"/>
                    <w:jc w:val="left"/>
                    <w:rPr>
                      <w:rFonts w:ascii="Times New Roman" w:hAnsi="Times New Roman" w:eastAsia="宋体" w:cs="宋体"/>
                      <w:color w:val="auto"/>
                      <w:kern w:val="0"/>
                      <w:szCs w:val="21"/>
                    </w:rPr>
                  </w:pPr>
                </w:p>
              </w:tc>
              <w:tc>
                <w:tcPr>
                  <w:tcW w:w="538" w:type="pct"/>
                  <w:vMerge w:val="continue"/>
                  <w:vAlign w:val="center"/>
                </w:tcPr>
                <w:p w14:paraId="208605A2">
                  <w:pPr>
                    <w:widowControl/>
                    <w:snapToGrid w:val="0"/>
                    <w:spacing w:line="240" w:lineRule="auto"/>
                    <w:jc w:val="left"/>
                    <w:rPr>
                      <w:rFonts w:ascii="Times New Roman" w:hAnsi="Times New Roman" w:eastAsia="宋体" w:cs="宋体"/>
                      <w:color w:val="auto"/>
                      <w:kern w:val="0"/>
                      <w:szCs w:val="21"/>
                    </w:rPr>
                  </w:pPr>
                </w:p>
              </w:tc>
              <w:tc>
                <w:tcPr>
                  <w:tcW w:w="880" w:type="pct"/>
                  <w:shd w:val="clear" w:color="auto" w:fill="auto"/>
                  <w:vAlign w:val="center"/>
                </w:tcPr>
                <w:p w14:paraId="39629DF9">
                  <w:pPr>
                    <w:spacing w:line="240" w:lineRule="auto"/>
                    <w:rPr>
                      <w:rFonts w:hint="eastAsia" w:ascii="Times New Roman" w:hAnsi="Times New Roman"/>
                      <w:color w:val="auto"/>
                      <w:lang w:val="en-US" w:eastAsia="zh-CN"/>
                    </w:rPr>
                  </w:pPr>
                  <w:r>
                    <w:rPr>
                      <w:rFonts w:hint="eastAsia" w:ascii="Times New Roman" w:hAnsi="Times New Roman"/>
                      <w:color w:val="auto"/>
                      <w:lang w:val="en-US" w:eastAsia="zh-CN"/>
                    </w:rPr>
                    <w:t>危险废物</w:t>
                  </w:r>
                </w:p>
              </w:tc>
              <w:tc>
                <w:tcPr>
                  <w:tcW w:w="1877" w:type="pct"/>
                  <w:shd w:val="clear" w:color="auto" w:fill="auto"/>
                  <w:vAlign w:val="center"/>
                </w:tcPr>
                <w:p w14:paraId="4D55BC2E">
                  <w:pPr>
                    <w:spacing w:line="240" w:lineRule="auto"/>
                    <w:rPr>
                      <w:rFonts w:hint="eastAsia" w:ascii="Times New Roman" w:hAnsi="Times New Roman"/>
                      <w:color w:val="auto"/>
                      <w:lang w:eastAsia="zh-CN"/>
                    </w:rPr>
                  </w:pPr>
                  <w:r>
                    <w:rPr>
                      <w:rFonts w:hint="eastAsia" w:ascii="Times New Roman" w:hAnsi="Times New Roman"/>
                      <w:color w:val="auto"/>
                    </w:rPr>
                    <w:t>危废暂存间</w:t>
                  </w:r>
                  <w:r>
                    <w:rPr>
                      <w:rFonts w:hint="eastAsia" w:ascii="Times New Roman" w:hAnsi="Times New Roman"/>
                      <w:color w:val="auto"/>
                      <w:lang w:val="en-US" w:eastAsia="zh-CN"/>
                    </w:rPr>
                    <w:t>1</w:t>
                  </w:r>
                  <w:r>
                    <w:rPr>
                      <w:rFonts w:hint="eastAsia" w:ascii="Times New Roman" w:hAnsi="Times New Roman"/>
                      <w:color w:val="auto"/>
                    </w:rPr>
                    <w:t>间，占地</w:t>
                  </w:r>
                  <w:r>
                    <w:rPr>
                      <w:rFonts w:hint="eastAsia" w:ascii="Times New Roman" w:hAnsi="Times New Roman"/>
                      <w:color w:val="auto"/>
                      <w:lang w:val="en-US" w:eastAsia="zh-CN"/>
                    </w:rPr>
                    <w:t>5</w:t>
                  </w:r>
                  <w:r>
                    <w:rPr>
                      <w:rFonts w:hint="eastAsia" w:ascii="Times New Roman" w:hAnsi="Times New Roman"/>
                      <w:color w:val="auto"/>
                    </w:rPr>
                    <w:t>m²</w:t>
                  </w:r>
                  <w:r>
                    <w:rPr>
                      <w:rFonts w:hint="eastAsia" w:ascii="Times New Roman" w:hAnsi="Times New Roman"/>
                      <w:color w:val="auto"/>
                      <w:lang w:eastAsia="zh-CN"/>
                    </w:rPr>
                    <w:t>，</w:t>
                  </w:r>
                  <w:r>
                    <w:rPr>
                      <w:rFonts w:ascii="Times New Roman" w:hAnsi="Times New Roman"/>
                      <w:color w:val="auto"/>
                      <w:spacing w:val="28"/>
                      <w:sz w:val="20"/>
                      <w:szCs w:val="20"/>
                    </w:rPr>
                    <w:t>危险废物暂存间按《危险废物贮存污染控制标准》</w:t>
                  </w:r>
                  <w:r>
                    <w:rPr>
                      <w:rFonts w:ascii="Times New Roman" w:hAnsi="Times New Roman"/>
                      <w:color w:val="auto"/>
                      <w:sz w:val="20"/>
                      <w:szCs w:val="20"/>
                    </w:rPr>
                    <w:t xml:space="preserve"> </w:t>
                  </w:r>
                  <w:r>
                    <w:rPr>
                      <w:rFonts w:ascii="Times New Roman" w:hAnsi="Times New Roman" w:eastAsia="Times New Roman" w:cs="Times New Roman"/>
                      <w:color w:val="auto"/>
                      <w:spacing w:val="8"/>
                      <w:sz w:val="20"/>
                      <w:szCs w:val="20"/>
                    </w:rPr>
                    <w:t>((</w:t>
                  </w:r>
                  <w:r>
                    <w:rPr>
                      <w:rFonts w:ascii="Times New Roman" w:hAnsi="Times New Roman" w:eastAsia="Times New Roman" w:cs="Times New Roman"/>
                      <w:color w:val="auto"/>
                      <w:sz w:val="20"/>
                      <w:szCs w:val="20"/>
                    </w:rPr>
                    <w:t>GB</w:t>
                  </w:r>
                  <w:r>
                    <w:rPr>
                      <w:rFonts w:ascii="Times New Roman" w:hAnsi="Times New Roman" w:eastAsia="Times New Roman" w:cs="Times New Roman"/>
                      <w:color w:val="auto"/>
                      <w:spacing w:val="8"/>
                      <w:sz w:val="20"/>
                      <w:szCs w:val="20"/>
                    </w:rPr>
                    <w:t>18597-2023</w:t>
                  </w:r>
                  <w:r>
                    <w:rPr>
                      <w:rFonts w:ascii="Times New Roman" w:hAnsi="Times New Roman"/>
                      <w:color w:val="auto"/>
                      <w:spacing w:val="8"/>
                      <w:sz w:val="20"/>
                      <w:szCs w:val="20"/>
                    </w:rPr>
                    <w:t>）要求建设，</w:t>
                  </w:r>
                  <w:r>
                    <w:rPr>
                      <w:rFonts w:hint="eastAsia" w:ascii="Times New Roman" w:hAnsi="Times New Roman" w:eastAsia="宋体" w:cs="宋体"/>
                      <w:color w:val="auto"/>
                      <w:kern w:val="2"/>
                      <w:sz w:val="21"/>
                      <w:szCs w:val="21"/>
                      <w:lang w:val="en-US" w:eastAsia="zh-CN" w:bidi="ar-SA"/>
                    </w:rPr>
                    <w:t>地面和四周墙裙脚进行重点防渗处理，渗透系数≤10</w:t>
                  </w:r>
                  <w:r>
                    <w:rPr>
                      <w:rFonts w:hint="eastAsia" w:ascii="Times New Roman" w:hAnsi="Times New Roman" w:eastAsia="宋体" w:cs="宋体"/>
                      <w:color w:val="auto"/>
                      <w:kern w:val="2"/>
                      <w:sz w:val="21"/>
                      <w:szCs w:val="21"/>
                      <w:vertAlign w:val="superscript"/>
                      <w:lang w:val="en-US" w:eastAsia="zh-CN" w:bidi="ar-SA"/>
                    </w:rPr>
                    <w:t>-10</w:t>
                  </w:r>
                  <w:r>
                    <w:rPr>
                      <w:rFonts w:hint="eastAsia" w:ascii="Times New Roman" w:hAnsi="Times New Roman" w:eastAsia="宋体" w:cs="宋体"/>
                      <w:color w:val="auto"/>
                      <w:kern w:val="2"/>
                      <w:sz w:val="21"/>
                      <w:szCs w:val="21"/>
                      <w:lang w:val="en-US" w:eastAsia="zh-CN" w:bidi="ar-SA"/>
                    </w:rPr>
                    <w:t>cm/s，并按照</w:t>
                  </w:r>
                  <w:r>
                    <w:rPr>
                      <w:rFonts w:hint="default" w:ascii="Times New Roman" w:hAnsi="Times New Roman" w:eastAsia="宋体" w:cs="Times New Roman"/>
                      <w:color w:val="auto"/>
                      <w:sz w:val="21"/>
                      <w:szCs w:val="21"/>
                      <w:highlight w:val="none"/>
                    </w:rPr>
                    <w:t>《危险废物识别标志设置技术规范》（HJ1276-2022）</w:t>
                  </w:r>
                  <w:r>
                    <w:rPr>
                      <w:rFonts w:hint="eastAsia" w:ascii="Times New Roman" w:hAnsi="Times New Roman" w:eastAsia="宋体" w:cs="宋体"/>
                      <w:color w:val="auto"/>
                      <w:kern w:val="2"/>
                      <w:sz w:val="21"/>
                      <w:szCs w:val="21"/>
                      <w:lang w:val="en-US" w:eastAsia="zh-CN" w:bidi="ar-SA"/>
                    </w:rPr>
                    <w:t>要求设置规范的标识标牌</w:t>
                  </w:r>
                  <w:r>
                    <w:rPr>
                      <w:rFonts w:hint="eastAsia" w:ascii="Times New Roman" w:hAnsi="Times New Roman"/>
                      <w:color w:val="auto"/>
                    </w:rPr>
                    <w:t>。</w:t>
                  </w:r>
                </w:p>
              </w:tc>
              <w:tc>
                <w:tcPr>
                  <w:tcW w:w="560" w:type="pct"/>
                  <w:shd w:val="clear" w:color="auto" w:fill="auto"/>
                  <w:vAlign w:val="center"/>
                </w:tcPr>
                <w:p w14:paraId="6DCF9D2F">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2.0</w:t>
                  </w:r>
                </w:p>
              </w:tc>
              <w:tc>
                <w:tcPr>
                  <w:tcW w:w="813" w:type="pct"/>
                  <w:shd w:val="clear" w:color="auto" w:fill="auto"/>
                  <w:vAlign w:val="center"/>
                </w:tcPr>
                <w:p w14:paraId="50CE0A4F">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lang w:val="en-US" w:eastAsia="zh-CN"/>
                    </w:rPr>
                    <w:t>环评提出</w:t>
                  </w:r>
                </w:p>
              </w:tc>
            </w:tr>
            <w:tr w14:paraId="4039DE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atLeast"/>
              </w:trPr>
              <w:tc>
                <w:tcPr>
                  <w:tcW w:w="328" w:type="pct"/>
                  <w:shd w:val="clear" w:color="auto" w:fill="auto"/>
                  <w:vAlign w:val="center"/>
                </w:tcPr>
                <w:p w14:paraId="3F61B895">
                  <w:pPr>
                    <w:widowControl/>
                    <w:snapToGrid w:val="0"/>
                    <w:spacing w:line="240" w:lineRule="auto"/>
                    <w:jc w:val="center"/>
                    <w:rPr>
                      <w:rFonts w:hint="eastAsia" w:ascii="Times New Roman" w:hAnsi="Times New Roman" w:eastAsia="宋体" w:cs="宋体"/>
                      <w:color w:val="auto"/>
                      <w:kern w:val="0"/>
                      <w:szCs w:val="21"/>
                    </w:rPr>
                  </w:pPr>
                </w:p>
              </w:tc>
              <w:tc>
                <w:tcPr>
                  <w:tcW w:w="3296" w:type="pct"/>
                  <w:gridSpan w:val="3"/>
                  <w:shd w:val="clear" w:color="auto" w:fill="auto"/>
                  <w:vAlign w:val="center"/>
                </w:tcPr>
                <w:p w14:paraId="0BC8EBB1">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合计</w:t>
                  </w:r>
                </w:p>
              </w:tc>
              <w:tc>
                <w:tcPr>
                  <w:tcW w:w="560" w:type="pct"/>
                  <w:shd w:val="clear" w:color="auto" w:fill="auto"/>
                  <w:vAlign w:val="center"/>
                </w:tcPr>
                <w:p w14:paraId="36069A20">
                  <w:pPr>
                    <w:widowControl/>
                    <w:snapToGrid w:val="0"/>
                    <w:spacing w:line="240" w:lineRule="auto"/>
                    <w:jc w:val="center"/>
                    <w:rPr>
                      <w:rFonts w:hint="default" w:ascii="Times New Roman" w:hAnsi="Times New Roman" w:eastAsia="宋体" w:cs="宋体"/>
                      <w:color w:val="auto"/>
                      <w:kern w:val="0"/>
                      <w:szCs w:val="21"/>
                      <w:lang w:val="en-US" w:eastAsia="zh-CN"/>
                    </w:rPr>
                  </w:pPr>
                  <w:r>
                    <w:rPr>
                      <w:rFonts w:hint="eastAsia" w:ascii="Times New Roman" w:hAnsi="Times New Roman" w:cs="宋体"/>
                      <w:color w:val="auto"/>
                      <w:kern w:val="0"/>
                      <w:szCs w:val="21"/>
                      <w:lang w:val="en-US" w:eastAsia="zh-CN"/>
                    </w:rPr>
                    <w:t>15.42</w:t>
                  </w:r>
                </w:p>
              </w:tc>
              <w:tc>
                <w:tcPr>
                  <w:tcW w:w="813" w:type="pct"/>
                  <w:shd w:val="clear" w:color="auto" w:fill="auto"/>
                  <w:vAlign w:val="center"/>
                </w:tcPr>
                <w:p w14:paraId="365399A3">
                  <w:pPr>
                    <w:widowControl/>
                    <w:snapToGrid w:val="0"/>
                    <w:spacing w:line="240" w:lineRule="auto"/>
                    <w:jc w:val="center"/>
                    <w:rPr>
                      <w:rFonts w:ascii="Times New Roman" w:hAnsi="Times New Roman" w:eastAsia="宋体" w:cs="宋体"/>
                      <w:color w:val="auto"/>
                      <w:kern w:val="0"/>
                      <w:szCs w:val="21"/>
                    </w:rPr>
                  </w:pPr>
                  <w:r>
                    <w:rPr>
                      <w:rFonts w:hint="eastAsia" w:ascii="Times New Roman" w:hAnsi="Times New Roman" w:eastAsia="宋体" w:cs="宋体"/>
                      <w:color w:val="auto"/>
                      <w:kern w:val="0"/>
                      <w:szCs w:val="21"/>
                    </w:rPr>
                    <w:t>　</w:t>
                  </w:r>
                </w:p>
              </w:tc>
            </w:tr>
          </w:tbl>
          <w:p w14:paraId="7C0BA573">
            <w:pPr>
              <w:adjustRightInd w:val="0"/>
              <w:snapToGrid w:val="0"/>
              <w:spacing w:line="360" w:lineRule="auto"/>
              <w:ind w:firstLine="482" w:firstLineChars="200"/>
              <w:rPr>
                <w:rFonts w:hint="eastAsia" w:ascii="Times New Roman" w:hAnsi="Times New Roman" w:eastAsia="宋体" w:cs="宋体"/>
                <w:color w:val="auto"/>
                <w:sz w:val="24"/>
                <w:szCs w:val="24"/>
              </w:rPr>
            </w:pPr>
            <w:r>
              <w:rPr>
                <w:rFonts w:ascii="Times New Roman" w:hAnsi="Times New Roman"/>
                <w:b/>
                <w:color w:val="auto"/>
                <w:sz w:val="24"/>
              </w:rPr>
              <w:t>1</w:t>
            </w:r>
            <w:r>
              <w:rPr>
                <w:rFonts w:hint="eastAsia" w:ascii="Times New Roman" w:hAnsi="Times New Roman"/>
                <w:b/>
                <w:color w:val="auto"/>
                <w:sz w:val="24"/>
                <w:lang w:val="en-US" w:eastAsia="zh-CN"/>
              </w:rPr>
              <w:t>1</w:t>
            </w:r>
            <w:r>
              <w:rPr>
                <w:rFonts w:ascii="Times New Roman" w:hAnsi="Times New Roman"/>
                <w:b/>
                <w:color w:val="auto"/>
                <w:sz w:val="24"/>
              </w:rPr>
              <w:t>、</w:t>
            </w:r>
            <w:r>
              <w:rPr>
                <w:rFonts w:hint="eastAsia" w:ascii="Times New Roman" w:hAnsi="Times New Roman" w:cs="宋体"/>
                <w:b/>
                <w:color w:val="auto"/>
                <w:sz w:val="24"/>
              </w:rPr>
              <w:t>水量平衡</w:t>
            </w:r>
          </w:p>
          <w:p w14:paraId="1EE4D2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cs="宋体"/>
                <w:b/>
                <w:bCs/>
                <w:color w:val="auto"/>
                <w:sz w:val="24"/>
                <w:szCs w:val="24"/>
                <w:lang w:eastAsia="zh-CN"/>
              </w:rPr>
              <w:t>（</w:t>
            </w:r>
            <w:r>
              <w:rPr>
                <w:rFonts w:hint="eastAsia" w:ascii="Times New Roman" w:hAnsi="Times New Roman" w:cs="宋体"/>
                <w:b/>
                <w:bCs/>
                <w:color w:val="auto"/>
                <w:sz w:val="24"/>
                <w:szCs w:val="24"/>
                <w:lang w:val="en-US" w:eastAsia="zh-CN"/>
              </w:rPr>
              <w:t>1</w:t>
            </w:r>
            <w:r>
              <w:rPr>
                <w:rFonts w:hint="eastAsia" w:ascii="Times New Roman" w:hAnsi="Times New Roman" w:cs="宋体"/>
                <w:b/>
                <w:bCs/>
                <w:color w:val="auto"/>
                <w:sz w:val="24"/>
                <w:szCs w:val="24"/>
                <w:lang w:eastAsia="zh-CN"/>
              </w:rPr>
              <w:t>）</w:t>
            </w:r>
            <w:r>
              <w:rPr>
                <w:rFonts w:hint="eastAsia" w:ascii="Times New Roman" w:hAnsi="Times New Roman" w:cs="宋体"/>
                <w:b/>
                <w:bCs/>
                <w:color w:val="auto"/>
                <w:sz w:val="24"/>
                <w:szCs w:val="24"/>
                <w:lang w:val="en-US" w:eastAsia="zh-CN"/>
              </w:rPr>
              <w:t>水量平衡</w:t>
            </w:r>
          </w:p>
          <w:p w14:paraId="5AF2B4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项目生产、生活用水从自来水管道引入，生物质蒸汽发生器给水使用软水；生活饮用水采用桶装水或矿泉水，供水满足日常生产与办公需求。</w:t>
            </w:r>
          </w:p>
          <w:p w14:paraId="57CF9519">
            <w:pPr>
              <w:spacing w:line="360" w:lineRule="auto"/>
              <w:ind w:firstLine="480" w:firstLineChars="200"/>
              <w:rPr>
                <w:rFonts w:ascii="Times New Roman" w:hAnsi="Times New Roman"/>
                <w:color w:val="auto"/>
                <w:sz w:val="24"/>
              </w:rPr>
            </w:pPr>
            <w:r>
              <w:rPr>
                <w:rFonts w:hint="eastAsia" w:ascii="Times New Roman" w:hAnsi="Times New Roman" w:eastAsia="宋体" w:cs="宋体"/>
                <w:color w:val="auto"/>
                <w:sz w:val="24"/>
                <w:szCs w:val="24"/>
              </w:rPr>
              <w:t>运营期用水主要有洗涤用水、</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用水、软水制备用水</w:t>
            </w:r>
            <w:r>
              <w:rPr>
                <w:rFonts w:hint="eastAsia" w:ascii="Times New Roman" w:hAnsi="Times New Roman" w:eastAsia="宋体" w:cs="宋体"/>
                <w:color w:val="auto"/>
                <w:sz w:val="24"/>
                <w:szCs w:val="24"/>
              </w:rPr>
              <w:t>、生活用水</w:t>
            </w:r>
            <w:r>
              <w:rPr>
                <w:rFonts w:hint="eastAsia" w:ascii="Times New Roman" w:hAnsi="Times New Roman"/>
                <w:color w:val="auto"/>
                <w:sz w:val="24"/>
              </w:rPr>
              <w:t>，废水主要为</w:t>
            </w:r>
            <w:r>
              <w:rPr>
                <w:rFonts w:hint="eastAsia" w:ascii="Times New Roman" w:hAnsi="Times New Roman"/>
                <w:color w:val="auto"/>
                <w:sz w:val="24"/>
                <w:lang w:val="en-US" w:eastAsia="zh-CN"/>
              </w:rPr>
              <w:t>洗涤废水、</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排污水、软水制备废水</w:t>
            </w:r>
            <w:r>
              <w:rPr>
                <w:rFonts w:hint="eastAsia" w:ascii="Times New Roman" w:hAnsi="Times New Roman"/>
                <w:color w:val="auto"/>
                <w:sz w:val="24"/>
                <w:lang w:eastAsia="zh-CN"/>
              </w:rPr>
              <w:t>、</w:t>
            </w:r>
            <w:r>
              <w:rPr>
                <w:rFonts w:hint="eastAsia" w:ascii="Times New Roman" w:hAnsi="Times New Roman"/>
                <w:color w:val="auto"/>
                <w:sz w:val="24"/>
                <w:lang w:val="en-US" w:eastAsia="zh-CN"/>
              </w:rPr>
              <w:t>生活废水</w:t>
            </w:r>
            <w:r>
              <w:rPr>
                <w:rFonts w:hint="eastAsia" w:ascii="Times New Roman" w:hAnsi="Times New Roman"/>
                <w:color w:val="auto"/>
                <w:sz w:val="24"/>
              </w:rPr>
              <w:t>。</w:t>
            </w:r>
          </w:p>
          <w:p w14:paraId="571150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①洗涤</w:t>
            </w:r>
            <w:r>
              <w:rPr>
                <w:rFonts w:hint="eastAsia" w:ascii="Times New Roman" w:hAnsi="Times New Roman" w:cs="宋体"/>
                <w:color w:val="auto"/>
                <w:sz w:val="24"/>
                <w:szCs w:val="24"/>
                <w:lang w:val="en-US" w:eastAsia="zh-CN"/>
              </w:rPr>
              <w:t>用</w:t>
            </w:r>
            <w:r>
              <w:rPr>
                <w:rFonts w:hint="eastAsia" w:ascii="Times New Roman" w:hAnsi="Times New Roman" w:eastAsia="宋体" w:cs="宋体"/>
                <w:color w:val="auto"/>
                <w:sz w:val="24"/>
                <w:szCs w:val="24"/>
              </w:rPr>
              <w:t>水</w:t>
            </w:r>
          </w:p>
          <w:p w14:paraId="047CBBD5">
            <w:pPr>
              <w:adjustRightInd w:val="0"/>
              <w:snapToGrid w:val="0"/>
              <w:spacing w:line="360" w:lineRule="auto"/>
              <w:ind w:firstLine="480" w:firstLineChars="200"/>
              <w:rPr>
                <w:rFonts w:hint="default" w:ascii="Times New Roman" w:hAnsi="Times New Roman" w:eastAsia="宋体" w:cs="宋体"/>
                <w:b w:val="0"/>
                <w:bCs/>
                <w:color w:val="auto"/>
                <w:sz w:val="24"/>
                <w:szCs w:val="24"/>
                <w:lang w:val="en-US"/>
              </w:rPr>
            </w:pPr>
            <w:r>
              <w:rPr>
                <w:rFonts w:hint="eastAsia" w:ascii="Times New Roman" w:hAnsi="Times New Roman" w:eastAsia="宋体"/>
                <w:bCs/>
                <w:color w:val="auto"/>
                <w:sz w:val="24"/>
                <w:lang w:val="en-US" w:eastAsia="zh-CN"/>
              </w:rPr>
              <w:t>项目建成后年洗涤量为70万套酒店布草、理发店毛巾</w:t>
            </w:r>
            <w:r>
              <w:rPr>
                <w:rFonts w:hint="eastAsia" w:ascii="Times New Roman" w:hAnsi="Times New Roman"/>
                <w:bCs/>
                <w:color w:val="auto"/>
                <w:sz w:val="24"/>
                <w:lang w:val="en-US" w:eastAsia="zh-CN"/>
              </w:rPr>
              <w:t>，其中酒店布草洗涤量40万套，理发店毛巾30万套。本项目设XGQ-100FA全自动洗脱机4台（3用1备），</w:t>
            </w:r>
            <w:r>
              <w:rPr>
                <w:rFonts w:hint="eastAsia" w:ascii="Times New Roman" w:hAnsi="Times New Roman"/>
                <w:b w:val="0"/>
                <w:bCs/>
                <w:color w:val="auto"/>
                <w:sz w:val="24"/>
                <w:lang w:val="en-US" w:eastAsia="zh-CN"/>
              </w:rPr>
              <w:t>额</w:t>
            </w:r>
            <w:r>
              <w:rPr>
                <w:rFonts w:hint="eastAsia" w:ascii="Times New Roman" w:hAnsi="Times New Roman" w:eastAsia="宋体" w:cs="宋体"/>
                <w:b w:val="0"/>
                <w:bCs/>
                <w:color w:val="auto"/>
                <w:sz w:val="24"/>
                <w:szCs w:val="24"/>
                <w:lang w:val="en-US" w:eastAsia="zh-CN"/>
              </w:rPr>
              <w:t>度容量为100kg/台，耗水量为1.5</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宋体" w:cs="宋体"/>
                <w:b w:val="0"/>
                <w:bCs/>
                <w:color w:val="auto"/>
                <w:sz w:val="24"/>
                <w:szCs w:val="24"/>
                <w:lang w:val="en-US" w:eastAsia="zh-CN"/>
              </w:rPr>
              <w:t>/</w:t>
            </w:r>
            <w:r>
              <w:rPr>
                <w:rFonts w:hint="eastAsia" w:ascii="Times New Roman" w:hAnsi="Times New Roman" w:cs="宋体"/>
                <w:b w:val="0"/>
                <w:bCs/>
                <w:color w:val="auto"/>
                <w:sz w:val="24"/>
                <w:szCs w:val="24"/>
                <w:lang w:val="en-US" w:eastAsia="zh-CN"/>
              </w:rPr>
              <w:t>次</w:t>
            </w:r>
            <w:r>
              <w:rPr>
                <w:rFonts w:hint="eastAsia" w:ascii="Times New Roman" w:hAnsi="Times New Roman" w:eastAsia="宋体" w:cs="宋体"/>
                <w:b w:val="0"/>
                <w:bCs/>
                <w:color w:val="auto"/>
                <w:sz w:val="24"/>
                <w:szCs w:val="24"/>
                <w:lang w:val="en-US" w:eastAsia="zh-CN"/>
              </w:rPr>
              <w:t>。根据建设单位提供数据，每套酒店布草干重2kg，每套理发店毛巾干重0.2kg，项目年工作300d，则项目洗涤次数为8600次/年（29次/d），每天洗涤用水量为</w:t>
            </w:r>
            <w:r>
              <w:rPr>
                <w:rFonts w:hint="eastAsia" w:ascii="Times New Roman" w:hAnsi="Times New Roman" w:cs="宋体"/>
                <w:b w:val="0"/>
                <w:bCs/>
                <w:color w:val="auto"/>
                <w:sz w:val="24"/>
                <w:szCs w:val="24"/>
                <w:lang w:val="en-US" w:eastAsia="zh-CN"/>
              </w:rPr>
              <w:t>12900</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/a</w:t>
            </w:r>
            <w:r>
              <w:rPr>
                <w:rFonts w:hint="eastAsia" w:ascii="Times New Roman" w:hAnsi="Times New Roman" w:eastAsia="宋体" w:cs="宋体"/>
                <w:b w:val="0"/>
                <w:bCs/>
                <w:color w:val="auto"/>
                <w:sz w:val="24"/>
                <w:szCs w:val="24"/>
                <w:lang w:val="en-US" w:eastAsia="zh-CN"/>
              </w:rPr>
              <w:t>（43</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/d</w:t>
            </w:r>
            <w:r>
              <w:rPr>
                <w:rFonts w:hint="eastAsia" w:ascii="Times New Roman" w:hAnsi="Times New Roman" w:eastAsia="宋体" w:cs="宋体"/>
                <w:b w:val="0"/>
                <w:bCs/>
                <w:color w:val="auto"/>
                <w:sz w:val="24"/>
                <w:szCs w:val="24"/>
                <w:lang w:val="en-US" w:eastAsia="zh-CN"/>
              </w:rPr>
              <w:t>），其中锅炉提供蒸汽</w:t>
            </w:r>
            <w:r>
              <w:rPr>
                <w:rFonts w:hint="eastAsia" w:ascii="Times New Roman" w:hAnsi="Times New Roman" w:cs="宋体"/>
                <w:b w:val="0"/>
                <w:bCs/>
                <w:color w:val="auto"/>
                <w:sz w:val="24"/>
                <w:szCs w:val="24"/>
                <w:lang w:val="en-US" w:eastAsia="zh-CN"/>
              </w:rPr>
              <w:t>洗涤用水</w:t>
            </w:r>
            <w:r>
              <w:rPr>
                <w:rFonts w:hint="eastAsia" w:ascii="Times New Roman" w:hAnsi="Times New Roman" w:eastAsia="宋体" w:cs="宋体"/>
                <w:b w:val="0"/>
                <w:bCs/>
                <w:color w:val="auto"/>
                <w:sz w:val="24"/>
                <w:szCs w:val="24"/>
                <w:lang w:val="en-US" w:eastAsia="zh-CN"/>
              </w:rPr>
              <w:t>为</w:t>
            </w:r>
            <w:r>
              <w:rPr>
                <w:rFonts w:hint="eastAsia" w:ascii="Times New Roman" w:hAnsi="Times New Roman" w:cs="宋体"/>
                <w:b w:val="0"/>
                <w:bCs/>
                <w:color w:val="auto"/>
                <w:sz w:val="24"/>
                <w:szCs w:val="24"/>
                <w:lang w:val="en-US" w:eastAsia="zh-CN"/>
              </w:rPr>
              <w:t>7.2</w:t>
            </w:r>
            <w:r>
              <w:rPr>
                <w:rFonts w:hint="eastAsia" w:ascii="Times New Roman" w:hAnsi="Times New Roman" w:eastAsia="宋体" w:cs="宋体"/>
                <w:b w:val="0"/>
                <w:bCs/>
                <w:color w:val="auto"/>
                <w:sz w:val="24"/>
                <w:szCs w:val="24"/>
                <w:lang w:val="en-US" w:eastAsia="zh-CN"/>
              </w:rPr>
              <w:t>m</w:t>
            </w:r>
            <w:r>
              <w:rPr>
                <w:rFonts w:hint="eastAsia" w:ascii="Times New Roman" w:hAnsi="Times New Roman" w:eastAsia="宋体" w:cs="宋体"/>
                <w:b w:val="0"/>
                <w:bCs/>
                <w:color w:val="auto"/>
                <w:sz w:val="24"/>
                <w:szCs w:val="24"/>
                <w:vertAlign w:val="superscript"/>
                <w:lang w:val="en-US" w:eastAsia="zh-CN"/>
              </w:rPr>
              <w:t>3</w:t>
            </w:r>
            <w:r>
              <w:rPr>
                <w:rFonts w:hint="eastAsia" w:ascii="Times New Roman" w:hAnsi="Times New Roman" w:eastAsia="宋体" w:cs="宋体"/>
                <w:b w:val="0"/>
                <w:bCs/>
                <w:color w:val="auto"/>
                <w:sz w:val="24"/>
                <w:szCs w:val="24"/>
                <w:lang w:val="en-US" w:eastAsia="zh-CN"/>
              </w:rPr>
              <w:t>/d ，</w:t>
            </w:r>
            <w:r>
              <w:rPr>
                <w:rFonts w:hint="eastAsia" w:ascii="Times New Roman" w:hAnsi="Times New Roman" w:cs="宋体"/>
                <w:b w:val="0"/>
                <w:bCs/>
                <w:color w:val="auto"/>
                <w:sz w:val="24"/>
                <w:szCs w:val="24"/>
                <w:lang w:val="en-US" w:eastAsia="zh-CN"/>
              </w:rPr>
              <w:t>新鲜</w:t>
            </w:r>
            <w:r>
              <w:rPr>
                <w:rFonts w:hint="eastAsia" w:ascii="Times New Roman" w:hAnsi="Times New Roman" w:eastAsia="宋体" w:cs="宋体"/>
                <w:b w:val="0"/>
                <w:bCs/>
                <w:color w:val="auto"/>
                <w:sz w:val="24"/>
                <w:szCs w:val="24"/>
                <w:lang w:val="en-US" w:eastAsia="zh-CN"/>
              </w:rPr>
              <w:t>用水量为</w:t>
            </w:r>
            <w:r>
              <w:rPr>
                <w:rFonts w:hint="eastAsia" w:ascii="Times New Roman" w:hAnsi="Times New Roman" w:cs="宋体"/>
                <w:b w:val="0"/>
                <w:bCs/>
                <w:color w:val="auto"/>
                <w:sz w:val="24"/>
                <w:szCs w:val="24"/>
                <w:lang w:val="en-US" w:eastAsia="zh-CN"/>
              </w:rPr>
              <w:t>35.8</w:t>
            </w:r>
            <w:r>
              <w:rPr>
                <w:rFonts w:hint="eastAsia" w:ascii="Times New Roman" w:hAnsi="Times New Roman" w:eastAsia="宋体" w:cs="宋体"/>
                <w:b w:val="0"/>
                <w:bCs/>
                <w:color w:val="auto"/>
                <w:sz w:val="24"/>
                <w:szCs w:val="24"/>
                <w:lang w:val="en-US" w:eastAsia="zh-CN"/>
              </w:rPr>
              <w:t>m</w:t>
            </w:r>
            <w:r>
              <w:rPr>
                <w:rFonts w:hint="eastAsia" w:ascii="Times New Roman" w:hAnsi="Times New Roman" w:eastAsia="宋体" w:cs="宋体"/>
                <w:b w:val="0"/>
                <w:bCs/>
                <w:color w:val="auto"/>
                <w:sz w:val="24"/>
                <w:szCs w:val="24"/>
                <w:vertAlign w:val="superscript"/>
                <w:lang w:val="en-US" w:eastAsia="zh-CN"/>
              </w:rPr>
              <w:t>3</w:t>
            </w:r>
            <w:r>
              <w:rPr>
                <w:rFonts w:hint="eastAsia" w:ascii="Times New Roman" w:hAnsi="Times New Roman" w:eastAsia="宋体" w:cs="宋体"/>
                <w:b w:val="0"/>
                <w:bCs/>
                <w:color w:val="auto"/>
                <w:sz w:val="24"/>
                <w:szCs w:val="24"/>
                <w:lang w:val="en-US" w:eastAsia="zh-CN"/>
              </w:rPr>
              <w:t>/d</w:t>
            </w:r>
            <w:r>
              <w:rPr>
                <w:rFonts w:hint="eastAsia" w:ascii="Times New Roman" w:hAnsi="Times New Roman" w:cs="宋体"/>
                <w:b w:val="0"/>
                <w:bCs/>
                <w:color w:val="auto"/>
                <w:sz w:val="24"/>
                <w:szCs w:val="24"/>
                <w:lang w:val="en-US" w:eastAsia="zh-CN"/>
              </w:rPr>
              <w:t>。</w:t>
            </w:r>
            <w:r>
              <w:rPr>
                <w:rFonts w:hint="eastAsia" w:ascii="Times New Roman" w:hAnsi="Times New Roman" w:eastAsia="宋体" w:cs="宋体"/>
                <w:b w:val="0"/>
                <w:bCs/>
                <w:color w:val="auto"/>
                <w:spacing w:val="-1"/>
                <w:sz w:val="24"/>
                <w:szCs w:val="24"/>
                <w:lang w:val="en-US" w:eastAsia="zh-CN"/>
              </w:rPr>
              <w:t>废水产生量</w:t>
            </w:r>
            <w:r>
              <w:rPr>
                <w:rFonts w:hint="eastAsia" w:ascii="Times New Roman" w:hAnsi="Times New Roman" w:eastAsia="宋体" w:cs="宋体"/>
                <w:b w:val="0"/>
                <w:bCs/>
                <w:color w:val="auto"/>
                <w:spacing w:val="-1"/>
                <w:sz w:val="24"/>
                <w:szCs w:val="24"/>
              </w:rPr>
              <w:t>按</w:t>
            </w:r>
            <w:r>
              <w:rPr>
                <w:rFonts w:hint="eastAsia" w:ascii="Times New Roman" w:hAnsi="Times New Roman" w:cs="宋体"/>
                <w:b w:val="0"/>
                <w:bCs/>
                <w:color w:val="auto"/>
                <w:spacing w:val="-1"/>
                <w:sz w:val="24"/>
                <w:szCs w:val="24"/>
                <w:lang w:val="en-US" w:eastAsia="zh-CN"/>
              </w:rPr>
              <w:t>8</w:t>
            </w:r>
            <w:r>
              <w:rPr>
                <w:rFonts w:hint="eastAsia" w:ascii="Times New Roman" w:hAnsi="Times New Roman" w:eastAsia="宋体" w:cs="宋体"/>
                <w:b w:val="0"/>
                <w:bCs/>
                <w:color w:val="auto"/>
                <w:spacing w:val="-1"/>
                <w:sz w:val="24"/>
                <w:szCs w:val="24"/>
              </w:rPr>
              <w:t>0%计</w:t>
            </w:r>
            <w:r>
              <w:rPr>
                <w:rFonts w:hint="eastAsia" w:ascii="Times New Roman" w:hAnsi="Times New Roman" w:eastAsia="宋体" w:cs="宋体"/>
                <w:b w:val="0"/>
                <w:bCs/>
                <w:color w:val="auto"/>
                <w:sz w:val="24"/>
                <w:szCs w:val="24"/>
                <w:lang w:val="en-US" w:eastAsia="zh-CN"/>
              </w:rPr>
              <w:t>，则</w:t>
            </w:r>
            <w:r>
              <w:rPr>
                <w:rFonts w:hint="eastAsia" w:ascii="Times New Roman" w:hAnsi="Times New Roman" w:cs="宋体"/>
                <w:b w:val="0"/>
                <w:bCs/>
                <w:color w:val="auto"/>
                <w:sz w:val="24"/>
                <w:szCs w:val="24"/>
                <w:lang w:val="en-US" w:eastAsia="zh-CN"/>
              </w:rPr>
              <w:t>洗涤废水产生量为10320</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/a</w:t>
            </w:r>
            <w:r>
              <w:rPr>
                <w:rFonts w:hint="eastAsia" w:ascii="Times New Roman" w:hAnsi="Times New Roman" w:eastAsia="宋体" w:cs="宋体"/>
                <w:b w:val="0"/>
                <w:bCs/>
                <w:color w:val="auto"/>
                <w:sz w:val="24"/>
                <w:szCs w:val="24"/>
                <w:lang w:val="en-US" w:eastAsia="zh-CN"/>
              </w:rPr>
              <w:t>（</w:t>
            </w:r>
            <w:r>
              <w:rPr>
                <w:rFonts w:hint="eastAsia" w:ascii="Times New Roman" w:hAnsi="Times New Roman" w:cs="宋体"/>
                <w:b w:val="0"/>
                <w:bCs/>
                <w:color w:val="auto"/>
                <w:sz w:val="24"/>
                <w:szCs w:val="24"/>
                <w:lang w:val="en-US" w:eastAsia="zh-CN"/>
              </w:rPr>
              <w:t>34.4</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/d</w:t>
            </w:r>
            <w:r>
              <w:rPr>
                <w:rFonts w:hint="eastAsia" w:ascii="Times New Roman" w:hAnsi="Times New Roman" w:eastAsia="宋体" w:cs="宋体"/>
                <w:b w:val="0"/>
                <w:bCs/>
                <w:color w:val="auto"/>
                <w:sz w:val="24"/>
                <w:szCs w:val="24"/>
                <w:lang w:val="en-US" w:eastAsia="zh-CN"/>
              </w:rPr>
              <w:t>）</w:t>
            </w:r>
            <w:r>
              <w:rPr>
                <w:rFonts w:hint="eastAsia" w:ascii="Times New Roman" w:hAnsi="Times New Roman" w:cs="宋体"/>
                <w:b w:val="0"/>
                <w:bCs/>
                <w:color w:val="auto"/>
                <w:sz w:val="24"/>
                <w:szCs w:val="24"/>
                <w:lang w:val="en-US" w:eastAsia="zh-CN"/>
              </w:rPr>
              <w:t>。</w:t>
            </w:r>
          </w:p>
          <w:p w14:paraId="2FFDFBA0">
            <w:pPr>
              <w:adjustRightInd w:val="0"/>
              <w:snapToGrid w:val="0"/>
              <w:spacing w:line="360" w:lineRule="auto"/>
              <w:ind w:firstLine="480" w:firstLineChars="200"/>
              <w:rPr>
                <w:rFonts w:hint="eastAsia" w:ascii="Times New Roman" w:hAnsi="Times New Roman" w:eastAsia="宋体" w:cs="宋体"/>
                <w:b w:val="0"/>
                <w:bCs/>
                <w:color w:val="auto"/>
                <w:sz w:val="24"/>
                <w:szCs w:val="24"/>
                <w:lang w:val="en-US" w:eastAsia="zh-CN"/>
              </w:rPr>
            </w:pPr>
            <w:r>
              <w:rPr>
                <w:rFonts w:hint="eastAsia" w:ascii="Times New Roman" w:hAnsi="Times New Roman" w:eastAsia="宋体" w:cs="宋体"/>
                <w:b w:val="0"/>
                <w:bCs/>
                <w:color w:val="auto"/>
                <w:sz w:val="24"/>
                <w:szCs w:val="24"/>
                <w:lang w:val="en-US" w:eastAsia="zh-CN"/>
              </w:rPr>
              <w:t>②</w:t>
            </w:r>
            <w:r>
              <w:rPr>
                <w:rFonts w:hint="eastAsia" w:ascii="Times New Roman" w:hAnsi="Times New Roman"/>
                <w:b w:val="0"/>
                <w:bCs/>
                <w:color w:val="auto"/>
                <w:kern w:val="2"/>
                <w:sz w:val="24"/>
                <w:szCs w:val="24"/>
              </w:rPr>
              <w:t>软水制备</w:t>
            </w:r>
            <w:r>
              <w:rPr>
                <w:rFonts w:hint="eastAsia" w:ascii="Times New Roman" w:hAnsi="Times New Roman"/>
                <w:b w:val="0"/>
                <w:bCs/>
                <w:color w:val="auto"/>
                <w:kern w:val="2"/>
                <w:sz w:val="24"/>
                <w:szCs w:val="24"/>
                <w:lang w:val="en-US" w:eastAsia="zh-CN"/>
              </w:rPr>
              <w:t>用水</w:t>
            </w:r>
          </w:p>
          <w:p w14:paraId="426A76BD">
            <w:pPr>
              <w:pStyle w:val="11"/>
              <w:spacing w:before="0" w:after="0" w:line="360" w:lineRule="auto"/>
              <w:ind w:right="0" w:firstLine="480" w:firstLineChars="200"/>
              <w:rPr>
                <w:rFonts w:ascii="Times New Roman" w:hAnsi="Times New Roman"/>
                <w:b w:val="0"/>
                <w:bCs/>
                <w:color w:val="auto"/>
                <w:kern w:val="2"/>
                <w:sz w:val="24"/>
                <w:szCs w:val="24"/>
              </w:rPr>
            </w:pPr>
            <w:r>
              <w:rPr>
                <w:rFonts w:hint="eastAsia" w:ascii="Times New Roman" w:hAnsi="Times New Roman"/>
                <w:b w:val="0"/>
                <w:bCs/>
                <w:color w:val="auto"/>
                <w:kern w:val="2"/>
                <w:sz w:val="24"/>
                <w:szCs w:val="24"/>
              </w:rPr>
              <w:t>项目</w:t>
            </w:r>
            <w:r>
              <w:rPr>
                <w:rFonts w:hint="eastAsia" w:ascii="Times New Roman" w:hAnsi="Times New Roman" w:eastAsia="宋体" w:cs="宋体"/>
                <w:b w:val="0"/>
                <w:bCs/>
                <w:color w:val="auto"/>
                <w:sz w:val="24"/>
                <w:szCs w:val="24"/>
                <w:lang w:val="en-US" w:eastAsia="zh-CN"/>
              </w:rPr>
              <w:t>生物质蒸汽锅炉</w:t>
            </w:r>
            <w:r>
              <w:rPr>
                <w:rFonts w:hint="eastAsia" w:ascii="Times New Roman" w:hAnsi="Times New Roman"/>
                <w:b w:val="0"/>
                <w:bCs/>
                <w:color w:val="auto"/>
                <w:kern w:val="2"/>
                <w:sz w:val="24"/>
                <w:szCs w:val="24"/>
              </w:rPr>
              <w:t>用水需使用软化水，项目</w:t>
            </w:r>
            <w:r>
              <w:rPr>
                <w:rFonts w:hint="eastAsia" w:ascii="Times New Roman" w:hAnsi="Times New Roman" w:eastAsia="宋体" w:cs="宋体"/>
                <w:b w:val="0"/>
                <w:bCs/>
                <w:color w:val="auto"/>
                <w:sz w:val="24"/>
                <w:szCs w:val="24"/>
                <w:lang w:val="en-US" w:eastAsia="zh-CN"/>
              </w:rPr>
              <w:t>生物质蒸汽锅炉</w:t>
            </w:r>
            <w:r>
              <w:rPr>
                <w:rFonts w:hint="eastAsia" w:ascii="Times New Roman" w:hAnsi="Times New Roman"/>
                <w:b w:val="0"/>
                <w:bCs/>
                <w:color w:val="auto"/>
                <w:kern w:val="2"/>
                <w:sz w:val="24"/>
                <w:szCs w:val="24"/>
              </w:rPr>
              <w:t>配套建设了</w:t>
            </w:r>
            <w:r>
              <w:rPr>
                <w:rFonts w:hint="eastAsia" w:ascii="Times New Roman" w:hAnsi="Times New Roman"/>
                <w:b w:val="0"/>
                <w:bCs/>
                <w:color w:val="auto"/>
                <w:kern w:val="2"/>
                <w:sz w:val="24"/>
                <w:szCs w:val="24"/>
                <w:lang w:val="en-US" w:eastAsia="zh-CN"/>
              </w:rPr>
              <w:t>1</w:t>
            </w:r>
            <w:r>
              <w:rPr>
                <w:rFonts w:hint="eastAsia" w:ascii="Times New Roman" w:hAnsi="Times New Roman"/>
                <w:b w:val="0"/>
                <w:bCs/>
                <w:color w:val="auto"/>
                <w:kern w:val="2"/>
                <w:sz w:val="24"/>
                <w:szCs w:val="24"/>
              </w:rPr>
              <w:t>套软水制备系统，该系统为全自动软化水系统，</w:t>
            </w:r>
            <w:r>
              <w:rPr>
                <w:rFonts w:hint="eastAsia" w:ascii="Times New Roman" w:hAnsi="Times New Roman"/>
                <w:b w:val="0"/>
                <w:bCs/>
                <w:color w:val="auto"/>
                <w:kern w:val="2"/>
                <w:sz w:val="24"/>
                <w:szCs w:val="24"/>
                <w:lang w:val="en-US" w:eastAsia="zh-CN"/>
              </w:rPr>
              <w:t>采用</w:t>
            </w:r>
            <w:r>
              <w:rPr>
                <w:rFonts w:hint="eastAsia" w:ascii="Times New Roman" w:hAnsi="Times New Roman"/>
                <w:b w:val="0"/>
                <w:bCs/>
                <w:color w:val="auto"/>
                <w:kern w:val="2"/>
                <w:sz w:val="24"/>
                <w:szCs w:val="24"/>
              </w:rPr>
              <w:t>离子交换</w:t>
            </w:r>
            <w:r>
              <w:rPr>
                <w:rFonts w:hint="eastAsia" w:ascii="Times New Roman" w:hAnsi="Times New Roman"/>
                <w:b w:val="0"/>
                <w:bCs/>
                <w:color w:val="auto"/>
                <w:kern w:val="2"/>
                <w:sz w:val="24"/>
                <w:szCs w:val="24"/>
                <w:lang w:val="en-US" w:eastAsia="zh-CN"/>
              </w:rPr>
              <w:t>树脂制备</w:t>
            </w:r>
            <w:r>
              <w:rPr>
                <w:rFonts w:hint="eastAsia" w:ascii="Times New Roman" w:hAnsi="Times New Roman"/>
                <w:b w:val="0"/>
                <w:bCs/>
                <w:color w:val="auto"/>
                <w:kern w:val="2"/>
                <w:sz w:val="24"/>
                <w:szCs w:val="24"/>
              </w:rPr>
              <w:t>，去除水中的钙、镁结垢离子，使得水质软化。软水制备系统会产生一定的软水制备浓水，含有较高的钙、镁离子，不含其它污染物。</w:t>
            </w:r>
            <w:r>
              <w:rPr>
                <w:rFonts w:hint="eastAsia" w:ascii="Times New Roman" w:hAnsi="Times New Roman"/>
                <w:b w:val="0"/>
                <w:bCs/>
                <w:color w:val="auto"/>
                <w:sz w:val="24"/>
              </w:rPr>
              <w:t>根据《4430工业锅炉（热力供应）行业系数手则》内的产污系数表可知，燃生物质锅炉产生废水（软水制备排污水）按0.097吨/吨燃料计</w:t>
            </w:r>
            <w:r>
              <w:rPr>
                <w:rFonts w:hint="eastAsia" w:ascii="Times New Roman" w:hAnsi="Times New Roman"/>
                <w:b w:val="0"/>
                <w:bCs/>
                <w:color w:val="auto"/>
                <w:sz w:val="24"/>
                <w:lang w:eastAsia="zh-CN"/>
              </w:rPr>
              <w:t>。</w:t>
            </w:r>
            <w:r>
              <w:rPr>
                <w:rFonts w:hint="eastAsia" w:ascii="Times New Roman" w:hAnsi="Times New Roman" w:cs="Times New Roman"/>
                <w:b w:val="0"/>
                <w:bCs/>
                <w:color w:val="auto"/>
                <w:sz w:val="24"/>
                <w:szCs w:val="24"/>
                <w:highlight w:val="none"/>
                <w:lang w:val="en-US" w:eastAsia="zh-CN"/>
              </w:rPr>
              <w:t>项目</w:t>
            </w:r>
            <w:r>
              <w:rPr>
                <w:rFonts w:hint="default" w:ascii="Times New Roman" w:hAnsi="Times New Roman" w:cs="Times New Roman"/>
                <w:b w:val="0"/>
                <w:bCs/>
                <w:color w:val="auto"/>
                <w:sz w:val="24"/>
                <w:szCs w:val="24"/>
                <w:highlight w:val="none"/>
                <w:lang w:val="en-US" w:eastAsia="zh-CN"/>
              </w:rPr>
              <w:t>生物质用量为</w:t>
            </w:r>
            <w:r>
              <w:rPr>
                <w:rFonts w:hint="eastAsia" w:ascii="Times New Roman" w:hAnsi="Times New Roman" w:cs="Times New Roman"/>
                <w:b w:val="0"/>
                <w:bCs/>
                <w:color w:val="auto"/>
                <w:sz w:val="24"/>
                <w:szCs w:val="24"/>
                <w:highlight w:val="none"/>
                <w:lang w:val="en-US" w:eastAsia="zh-CN"/>
              </w:rPr>
              <w:t>3.69t</w:t>
            </w:r>
            <w:r>
              <w:rPr>
                <w:rFonts w:hint="default" w:ascii="Times New Roman" w:hAnsi="Times New Roman" w:cs="Times New Roman"/>
                <w:b w:val="0"/>
                <w:bCs/>
                <w:color w:val="auto"/>
                <w:sz w:val="24"/>
                <w:szCs w:val="24"/>
                <w:highlight w:val="none"/>
                <w:lang w:val="en-US" w:eastAsia="zh-CN"/>
              </w:rPr>
              <w:t>/d</w:t>
            </w:r>
            <w:r>
              <w:rPr>
                <w:rFonts w:hint="eastAsia" w:ascii="Times New Roman" w:hAnsi="Times New Roman" w:cs="Times New Roman"/>
                <w:b w:val="0"/>
                <w:bCs/>
                <w:color w:val="auto"/>
                <w:sz w:val="24"/>
                <w:szCs w:val="24"/>
                <w:highlight w:val="none"/>
                <w:lang w:val="en-US" w:eastAsia="zh-CN"/>
              </w:rPr>
              <w:t>、1107t</w:t>
            </w:r>
            <w:r>
              <w:rPr>
                <w:rFonts w:hint="default" w:ascii="Times New Roman" w:hAnsi="Times New Roman" w:cs="Times New Roman"/>
                <w:b w:val="0"/>
                <w:bCs/>
                <w:color w:val="auto"/>
                <w:sz w:val="24"/>
                <w:szCs w:val="24"/>
                <w:highlight w:val="none"/>
                <w:lang w:val="en-US" w:eastAsia="zh-CN"/>
              </w:rPr>
              <w:t>/a</w:t>
            </w:r>
            <w:r>
              <w:rPr>
                <w:rFonts w:hint="eastAsia" w:ascii="Times New Roman" w:hAnsi="Times New Roman" w:cs="Times New Roman"/>
                <w:b w:val="0"/>
                <w:bCs/>
                <w:color w:val="auto"/>
                <w:sz w:val="24"/>
                <w:szCs w:val="24"/>
                <w:highlight w:val="none"/>
                <w:lang w:val="en-US" w:eastAsia="zh-CN"/>
              </w:rPr>
              <w:t>，</w:t>
            </w:r>
            <w:r>
              <w:rPr>
                <w:rFonts w:hint="eastAsia" w:ascii="Times New Roman" w:hAnsi="Times New Roman" w:eastAsia="宋体" w:cs="宋体"/>
                <w:b w:val="0"/>
                <w:bCs/>
                <w:color w:val="auto"/>
                <w:sz w:val="24"/>
                <w:szCs w:val="24"/>
                <w:lang w:val="en-US" w:eastAsia="zh-CN"/>
              </w:rPr>
              <w:t>生物质蒸汽锅炉运行时间为8h/d、300d/a，</w:t>
            </w:r>
            <w:r>
              <w:rPr>
                <w:rFonts w:hint="eastAsia" w:ascii="Times New Roman" w:hAnsi="Times New Roman"/>
                <w:b w:val="0"/>
                <w:bCs/>
                <w:color w:val="auto"/>
                <w:sz w:val="24"/>
              </w:rPr>
              <w:t>则</w:t>
            </w:r>
            <w:r>
              <w:rPr>
                <w:rFonts w:hint="eastAsia" w:ascii="Times New Roman" w:hAnsi="Times New Roman"/>
                <w:b w:val="0"/>
                <w:bCs/>
                <w:color w:val="auto"/>
                <w:sz w:val="24"/>
                <w:lang w:val="en-US" w:eastAsia="zh-CN"/>
              </w:rPr>
              <w:t>项目</w:t>
            </w:r>
            <w:r>
              <w:rPr>
                <w:rFonts w:hint="eastAsia" w:ascii="Times New Roman" w:hAnsi="Times New Roman" w:eastAsia="宋体" w:cs="宋体"/>
                <w:b w:val="0"/>
                <w:bCs/>
                <w:color w:val="auto"/>
                <w:sz w:val="24"/>
                <w:szCs w:val="24"/>
                <w:lang w:val="en-US" w:eastAsia="zh-CN"/>
              </w:rPr>
              <w:t>生物质蒸汽锅炉</w:t>
            </w:r>
            <w:r>
              <w:rPr>
                <w:rFonts w:hint="eastAsia" w:ascii="Times New Roman" w:hAnsi="Times New Roman"/>
                <w:b w:val="0"/>
                <w:bCs/>
                <w:color w:val="auto"/>
                <w:sz w:val="24"/>
              </w:rPr>
              <w:t>软水制备浓水量约为</w:t>
            </w:r>
            <w:r>
              <w:rPr>
                <w:rFonts w:hint="eastAsia" w:ascii="Times New Roman" w:hAnsi="Times New Roman"/>
                <w:b w:val="0"/>
                <w:bCs/>
                <w:color w:val="auto"/>
                <w:sz w:val="24"/>
                <w:lang w:val="en-US" w:eastAsia="zh-CN"/>
              </w:rPr>
              <w:t>0.36</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/d</w:t>
            </w:r>
            <w:r>
              <w:rPr>
                <w:rFonts w:hint="eastAsia" w:ascii="Times New Roman" w:hAnsi="Times New Roman"/>
                <w:b w:val="0"/>
                <w:bCs/>
                <w:color w:val="auto"/>
                <w:sz w:val="24"/>
                <w:lang w:eastAsia="zh-CN"/>
              </w:rPr>
              <w:t>、</w:t>
            </w:r>
            <w:r>
              <w:rPr>
                <w:rFonts w:hint="eastAsia" w:ascii="Times New Roman" w:hAnsi="Times New Roman"/>
                <w:b w:val="0"/>
                <w:bCs/>
                <w:color w:val="auto"/>
                <w:sz w:val="24"/>
                <w:lang w:val="en-US" w:eastAsia="zh-CN"/>
              </w:rPr>
              <w:t>108</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/a</w:t>
            </w:r>
            <w:r>
              <w:rPr>
                <w:rFonts w:hint="eastAsia" w:ascii="Times New Roman" w:hAnsi="Times New Roman"/>
                <w:b w:val="0"/>
                <w:bCs/>
                <w:color w:val="auto"/>
                <w:sz w:val="24"/>
              </w:rPr>
              <w:t>。</w:t>
            </w:r>
          </w:p>
          <w:p w14:paraId="4CC9FB82">
            <w:pPr>
              <w:adjustRightInd w:val="0"/>
              <w:snapToGrid w:val="0"/>
              <w:spacing w:line="360" w:lineRule="auto"/>
              <w:ind w:firstLine="480" w:firstLineChars="200"/>
              <w:rPr>
                <w:rFonts w:hint="eastAsia" w:ascii="Times New Roman" w:hAnsi="Times New Roman" w:eastAsia="宋体" w:cs="宋体"/>
                <w:b w:val="0"/>
                <w:bCs/>
                <w:color w:val="auto"/>
                <w:sz w:val="24"/>
                <w:szCs w:val="24"/>
                <w:lang w:val="en-US" w:eastAsia="zh-CN"/>
              </w:rPr>
            </w:pPr>
            <w:r>
              <w:rPr>
                <w:rFonts w:hint="eastAsia" w:ascii="Times New Roman" w:hAnsi="Times New Roman" w:eastAsia="宋体" w:cs="宋体"/>
                <w:b w:val="0"/>
                <w:bCs/>
                <w:color w:val="auto"/>
                <w:sz w:val="24"/>
                <w:szCs w:val="24"/>
                <w:lang w:val="en-US" w:eastAsia="zh-CN"/>
              </w:rPr>
              <w:t>③生物质蒸汽锅炉排污水</w:t>
            </w:r>
          </w:p>
          <w:p w14:paraId="025DADFC">
            <w:pPr>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在</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运行过程中需定期从</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水循环系统中的最低点排放</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水中的悬浮物、水渣及其它沉积物，该部分废水为</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排污水。根据《4430工业锅炉（热力供应）行业系数手则》内的产污系数表可知，燃生物质锅炉产生废水按0.259吨/吨燃料计</w:t>
            </w:r>
            <w:r>
              <w:rPr>
                <w:rFonts w:hint="eastAsia" w:ascii="Times New Roman" w:hAnsi="Times New Roman"/>
                <w:color w:val="auto"/>
                <w:sz w:val="24"/>
                <w:lang w:eastAsia="zh-CN"/>
              </w:rPr>
              <w:t>。</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生物质用量为</w:t>
            </w:r>
            <w:r>
              <w:rPr>
                <w:rFonts w:hint="eastAsia" w:ascii="Times New Roman" w:hAnsi="Times New Roman" w:cs="Times New Roman"/>
                <w:color w:val="auto"/>
                <w:sz w:val="24"/>
                <w:szCs w:val="24"/>
                <w:highlight w:val="none"/>
                <w:lang w:val="en-US" w:eastAsia="zh-CN"/>
              </w:rPr>
              <w:t>3.69t</w:t>
            </w:r>
            <w:r>
              <w:rPr>
                <w:rFonts w:hint="default" w:ascii="Times New Roman" w:hAnsi="Times New Roman"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val="en-US" w:eastAsia="zh-CN"/>
              </w:rPr>
              <w:t>、1107t</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宋体"/>
                <w:color w:val="auto"/>
                <w:sz w:val="24"/>
                <w:szCs w:val="24"/>
                <w:lang w:val="en-US" w:eastAsia="zh-CN"/>
              </w:rPr>
              <w:t>生物质蒸汽锅炉运行时间为8h/d、300d/a，</w:t>
            </w:r>
            <w:r>
              <w:rPr>
                <w:rFonts w:hint="eastAsia" w:ascii="Times New Roman" w:hAnsi="Times New Roman"/>
                <w:color w:val="auto"/>
                <w:sz w:val="24"/>
              </w:rPr>
              <w:t>则</w:t>
            </w:r>
            <w:r>
              <w:rPr>
                <w:rFonts w:hint="eastAsia" w:ascii="Times New Roman" w:hAnsi="Times New Roman"/>
                <w:color w:val="auto"/>
                <w:sz w:val="24"/>
                <w:lang w:val="en-US" w:eastAsia="zh-CN"/>
              </w:rPr>
              <w:t>项目</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排污水量为</w:t>
            </w:r>
            <w:r>
              <w:rPr>
                <w:rFonts w:hint="eastAsia" w:ascii="Times New Roman" w:hAnsi="Times New Roman"/>
                <w:color w:val="auto"/>
                <w:sz w:val="24"/>
                <w:lang w:val="en-US" w:eastAsia="zh-CN"/>
              </w:rPr>
              <w:t>0.96</w:t>
            </w:r>
            <w:r>
              <w:rPr>
                <w:rFonts w:hint="eastAsia" w:ascii="Times New Roman" w:hAnsi="Times New Roman" w:eastAsiaTheme="minorEastAsia" w:cstheme="minorEastAsia"/>
                <w:color w:val="auto"/>
                <w:sz w:val="24"/>
                <w:szCs w:val="24"/>
                <w:lang w:val="en-US" w:eastAsia="zh-CN"/>
              </w:rPr>
              <w:t>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r>
              <w:rPr>
                <w:rFonts w:hint="eastAsia" w:ascii="Times New Roman" w:hAnsi="Times New Roman"/>
                <w:color w:val="auto"/>
                <w:sz w:val="24"/>
                <w:lang w:eastAsia="zh-CN"/>
              </w:rPr>
              <w:t>、</w:t>
            </w:r>
            <w:r>
              <w:rPr>
                <w:rFonts w:hint="eastAsia" w:ascii="Times New Roman" w:hAnsi="Times New Roman"/>
                <w:color w:val="auto"/>
                <w:sz w:val="24"/>
                <w:lang w:val="en-US" w:eastAsia="zh-CN"/>
              </w:rPr>
              <w:t>288</w:t>
            </w:r>
            <w:r>
              <w:rPr>
                <w:rFonts w:hint="eastAsia" w:ascii="Times New Roman" w:hAnsi="Times New Roman" w:eastAsiaTheme="minorEastAsia" w:cstheme="minorEastAsia"/>
                <w:color w:val="auto"/>
                <w:sz w:val="24"/>
                <w:szCs w:val="24"/>
                <w:lang w:val="en-US" w:eastAsia="zh-CN"/>
              </w:rPr>
              <w:t>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/a</w:t>
            </w:r>
            <w:r>
              <w:rPr>
                <w:rFonts w:hint="eastAsia" w:ascii="Times New Roman" w:hAnsi="Times New Roman"/>
                <w:color w:val="auto"/>
                <w:sz w:val="24"/>
              </w:rPr>
              <w:t>。</w:t>
            </w:r>
          </w:p>
          <w:p w14:paraId="19E64607">
            <w:pPr>
              <w:pStyle w:val="11"/>
              <w:spacing w:before="0" w:after="0" w:line="360" w:lineRule="auto"/>
              <w:ind w:right="0" w:firstLine="480" w:firstLineChars="200"/>
              <w:rPr>
                <w:rFonts w:hint="eastAsia"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val="en-US" w:eastAsia="zh-CN"/>
              </w:rPr>
              <w:t>④</w:t>
            </w:r>
            <w:r>
              <w:rPr>
                <w:rFonts w:hint="eastAsia" w:ascii="Times New Roman" w:hAnsi="Times New Roman" w:eastAsia="宋体" w:cs="Times New Roman"/>
                <w:color w:val="auto"/>
                <w:kern w:val="2"/>
                <w:sz w:val="24"/>
                <w:szCs w:val="24"/>
              </w:rPr>
              <w:t>冷凝水</w:t>
            </w:r>
          </w:p>
          <w:p w14:paraId="1051C0A4">
            <w:pPr>
              <w:pStyle w:val="11"/>
              <w:spacing w:before="0" w:after="0" w:line="360" w:lineRule="auto"/>
              <w:ind w:left="105" w:leftChars="50" w:right="0" w:firstLine="360" w:firstLineChars="150"/>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项目拟设置</w:t>
            </w:r>
            <w:r>
              <w:rPr>
                <w:rFonts w:hint="eastAsia" w:ascii="Times New Roman" w:hAnsi="Times New Roman" w:eastAsiaTheme="minorEastAsia" w:cstheme="minorEastAsia"/>
                <w:b w:val="0"/>
                <w:bCs w:val="0"/>
                <w:color w:val="auto"/>
                <w:sz w:val="24"/>
                <w:szCs w:val="24"/>
                <w:lang w:val="en-US" w:eastAsia="zh-CN"/>
              </w:rPr>
              <w:t>1台3t/h生物质蒸汽锅炉，蒸汽锅炉按照满额计算，运行时间为8h/d，300d/a，则</w:t>
            </w:r>
            <w:r>
              <w:rPr>
                <w:rFonts w:hint="eastAsia" w:ascii="Times New Roman" w:hAnsi="Times New Roman" w:eastAsia="宋体" w:cs="Times New Roman"/>
                <w:b w:val="0"/>
                <w:bCs w:val="0"/>
                <w:color w:val="auto"/>
                <w:spacing w:val="6"/>
                <w:sz w:val="24"/>
                <w:lang w:val="en-US" w:eastAsia="zh-CN"/>
              </w:rPr>
              <w:t>项目生物质蒸汽锅炉产生的蒸汽量为24</w:t>
            </w:r>
            <w:r>
              <w:rPr>
                <w:rFonts w:hint="eastAsia" w:ascii="Times New Roman" w:hAnsi="Times New Roman" w:eastAsia="宋体" w:cs="宋体"/>
                <w:b w:val="0"/>
                <w:bCs w:val="0"/>
                <w:color w:val="auto"/>
                <w:spacing w:val="-1"/>
                <w:sz w:val="24"/>
                <w:szCs w:val="24"/>
              </w:rPr>
              <w:t>m</w:t>
            </w:r>
            <w:r>
              <w:rPr>
                <w:rFonts w:hint="eastAsia" w:ascii="Times New Roman" w:hAnsi="Times New Roman" w:eastAsia="宋体" w:cs="宋体"/>
                <w:b w:val="0"/>
                <w:bCs w:val="0"/>
                <w:color w:val="auto"/>
                <w:spacing w:val="-1"/>
                <w:sz w:val="24"/>
                <w:szCs w:val="24"/>
                <w:vertAlign w:val="superscript"/>
              </w:rPr>
              <w:t>3</w:t>
            </w:r>
            <w:r>
              <w:rPr>
                <w:rFonts w:hint="eastAsia" w:ascii="Times New Roman" w:hAnsi="Times New Roman" w:eastAsia="宋体" w:cs="宋体"/>
                <w:b w:val="0"/>
                <w:bCs w:val="0"/>
                <w:color w:val="auto"/>
                <w:spacing w:val="-1"/>
                <w:sz w:val="24"/>
                <w:szCs w:val="24"/>
              </w:rPr>
              <w:t>/d</w:t>
            </w:r>
            <w:r>
              <w:rPr>
                <w:rFonts w:hint="eastAsia" w:ascii="Times New Roman" w:hAnsi="Times New Roman" w:eastAsia="宋体" w:cs="Times New Roman"/>
                <w:b w:val="0"/>
                <w:bCs w:val="0"/>
                <w:color w:val="auto"/>
                <w:spacing w:val="6"/>
                <w:sz w:val="24"/>
                <w:lang w:val="en-US" w:eastAsia="zh-CN"/>
              </w:rPr>
              <w:t>，7200</w:t>
            </w:r>
            <w:r>
              <w:rPr>
                <w:rFonts w:hint="eastAsia" w:ascii="Times New Roman" w:hAnsi="Times New Roman" w:eastAsia="宋体" w:cs="宋体"/>
                <w:b w:val="0"/>
                <w:bCs w:val="0"/>
                <w:color w:val="auto"/>
                <w:spacing w:val="-1"/>
                <w:sz w:val="24"/>
                <w:szCs w:val="24"/>
              </w:rPr>
              <w:t>m</w:t>
            </w:r>
            <w:r>
              <w:rPr>
                <w:rFonts w:hint="eastAsia" w:ascii="Times New Roman" w:hAnsi="Times New Roman" w:eastAsia="宋体" w:cs="宋体"/>
                <w:b w:val="0"/>
                <w:bCs w:val="0"/>
                <w:color w:val="auto"/>
                <w:spacing w:val="-1"/>
                <w:sz w:val="24"/>
                <w:szCs w:val="24"/>
                <w:vertAlign w:val="superscript"/>
              </w:rPr>
              <w:t>3</w:t>
            </w:r>
            <w:r>
              <w:rPr>
                <w:rFonts w:hint="eastAsia" w:ascii="Times New Roman" w:hAnsi="Times New Roman" w:eastAsia="宋体" w:cs="宋体"/>
                <w:b w:val="0"/>
                <w:bCs w:val="0"/>
                <w:color w:val="auto"/>
                <w:spacing w:val="-1"/>
                <w:sz w:val="24"/>
                <w:szCs w:val="24"/>
              </w:rPr>
              <w:t>/d</w:t>
            </w:r>
            <w:r>
              <w:rPr>
                <w:rFonts w:hint="eastAsia" w:ascii="Times New Roman" w:hAnsi="Times New Roman" w:eastAsia="宋体" w:cs="Times New Roman"/>
                <w:b w:val="0"/>
                <w:bCs w:val="0"/>
                <w:color w:val="auto"/>
                <w:spacing w:val="6"/>
                <w:sz w:val="24"/>
                <w:lang w:val="en-US" w:eastAsia="zh-CN"/>
              </w:rPr>
              <w:t>。</w:t>
            </w:r>
            <w:r>
              <w:rPr>
                <w:rFonts w:hint="eastAsia" w:ascii="Times New Roman" w:hAnsi="Times New Roman" w:eastAsiaTheme="minorEastAsia" w:cstheme="minorEastAsia"/>
                <w:b w:val="0"/>
                <w:bCs w:val="0"/>
                <w:color w:val="auto"/>
                <w:sz w:val="24"/>
                <w:szCs w:val="24"/>
                <w:lang w:val="en-US" w:eastAsia="zh-CN"/>
              </w:rPr>
              <w:t>蒸汽锅炉产生的蒸汽通过分气缸供给洗涤、烘干、熨平工序使用，其中分配给烘干工序的蒸汽比例为30%。</w:t>
            </w:r>
            <w:r>
              <w:rPr>
                <w:rFonts w:hint="eastAsia" w:ascii="Times New Roman" w:hAnsi="Times New Roman" w:eastAsiaTheme="minorEastAsia" w:cstheme="minorEastAsia"/>
                <w:color w:val="auto"/>
                <w:sz w:val="24"/>
                <w:szCs w:val="24"/>
                <w:lang w:val="en-US" w:eastAsia="zh-CN"/>
              </w:rPr>
              <w:t>烘干工序中蒸汽损耗5%，95%形成蒸汽冷凝水循环回用于生物质蒸汽锅炉，则蒸汽冷凝水产生量为6.84m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/d（2052m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/a）。</w:t>
            </w:r>
          </w:p>
          <w:p w14:paraId="62B38BFF">
            <w:pPr>
              <w:spacing w:line="360" w:lineRule="auto"/>
              <w:ind w:firstLine="480" w:firstLineChars="200"/>
              <w:rPr>
                <w:rFonts w:hint="eastAsia" w:ascii="Times New Roman" w:hAnsi="Times New Roman"/>
                <w:color w:val="auto"/>
                <w:lang w:val="en-US" w:eastAsia="zh-CN"/>
              </w:rPr>
            </w:pPr>
            <w:r>
              <w:rPr>
                <w:rFonts w:hint="eastAsia" w:ascii="Times New Roman" w:hAnsi="Times New Roman"/>
                <w:color w:val="auto"/>
                <w:sz w:val="24"/>
                <w:lang w:val="en-US" w:eastAsia="zh-CN"/>
              </w:rPr>
              <w:t>综上所述，项目</w:t>
            </w:r>
            <w:r>
              <w:rPr>
                <w:rFonts w:hint="eastAsia" w:ascii="Times New Roman" w:hAnsi="Times New Roman" w:eastAsia="宋体" w:cs="宋体"/>
                <w:color w:val="auto"/>
                <w:sz w:val="24"/>
                <w:szCs w:val="24"/>
                <w:lang w:val="en-US" w:eastAsia="zh-CN"/>
              </w:rPr>
              <w:t>生物质蒸汽锅炉</w:t>
            </w:r>
            <w:r>
              <w:rPr>
                <w:rFonts w:hint="eastAsia" w:ascii="Times New Roman" w:hAnsi="Times New Roman"/>
                <w:color w:val="auto"/>
                <w:sz w:val="24"/>
              </w:rPr>
              <w:t>排污水量为</w:t>
            </w:r>
            <w:r>
              <w:rPr>
                <w:rFonts w:hint="eastAsia" w:ascii="Times New Roman" w:hAnsi="Times New Roman"/>
                <w:color w:val="auto"/>
                <w:sz w:val="24"/>
                <w:lang w:val="en-US" w:eastAsia="zh-CN"/>
              </w:rPr>
              <w:t>0.96</w:t>
            </w:r>
            <w:r>
              <w:rPr>
                <w:rFonts w:hint="eastAsia" w:ascii="Times New Roman" w:hAnsi="Times New Roman" w:eastAsiaTheme="minorEastAsia" w:cstheme="minorEastAsia"/>
                <w:color w:val="auto"/>
                <w:sz w:val="24"/>
                <w:szCs w:val="24"/>
                <w:lang w:val="en-US" w:eastAsia="zh-CN"/>
              </w:rPr>
              <w:t>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r>
              <w:rPr>
                <w:rFonts w:hint="eastAsia" w:ascii="Times New Roman" w:hAnsi="Times New Roman"/>
                <w:color w:val="auto"/>
                <w:sz w:val="24"/>
                <w:lang w:eastAsia="zh-CN"/>
              </w:rPr>
              <w:t>，</w:t>
            </w:r>
            <w:r>
              <w:rPr>
                <w:rFonts w:hint="eastAsia" w:ascii="Times New Roman" w:hAnsi="Times New Roman" w:eastAsia="宋体" w:cs="宋体"/>
                <w:b w:val="0"/>
                <w:bCs/>
                <w:color w:val="auto"/>
                <w:sz w:val="24"/>
                <w:szCs w:val="24"/>
                <w:lang w:val="en-US" w:eastAsia="zh-CN"/>
              </w:rPr>
              <w:t>锅炉</w:t>
            </w:r>
            <w:r>
              <w:rPr>
                <w:rFonts w:hint="eastAsia" w:ascii="Times New Roman" w:hAnsi="Times New Roman"/>
                <w:b w:val="0"/>
                <w:bCs/>
                <w:color w:val="auto"/>
                <w:sz w:val="24"/>
              </w:rPr>
              <w:t>软水制备浓水量约为</w:t>
            </w:r>
            <w:r>
              <w:rPr>
                <w:rFonts w:hint="eastAsia" w:ascii="Times New Roman" w:hAnsi="Times New Roman"/>
                <w:b w:val="0"/>
                <w:bCs/>
                <w:color w:val="auto"/>
                <w:sz w:val="24"/>
                <w:lang w:val="en-US" w:eastAsia="zh-CN"/>
              </w:rPr>
              <w:t>0.36</w:t>
            </w:r>
            <w:r>
              <w:rPr>
                <w:rFonts w:hint="eastAsia" w:ascii="Times New Roman" w:hAnsi="Times New Roman" w:eastAsiaTheme="minorEastAsia" w:cstheme="minorEastAsia"/>
                <w:b w:val="0"/>
                <w:bCs/>
                <w:color w:val="auto"/>
                <w:sz w:val="24"/>
                <w:szCs w:val="24"/>
                <w:lang w:val="en-US" w:eastAsia="zh-CN"/>
              </w:rPr>
              <w:t>m</w:t>
            </w:r>
            <w:r>
              <w:rPr>
                <w:rFonts w:hint="eastAsia" w:ascii="Times New Roman" w:hAnsi="Times New Roman" w:eastAsiaTheme="minorEastAsia" w:cstheme="minorEastAsia"/>
                <w:b w:val="0"/>
                <w:bCs/>
                <w:color w:val="auto"/>
                <w:sz w:val="24"/>
                <w:szCs w:val="24"/>
                <w:vertAlign w:val="superscript"/>
                <w:lang w:val="en-US" w:eastAsia="zh-CN"/>
              </w:rPr>
              <w:t>3</w:t>
            </w:r>
            <w:r>
              <w:rPr>
                <w:rFonts w:hint="eastAsia" w:ascii="Times New Roman" w:hAnsi="Times New Roman" w:eastAsiaTheme="minorEastAsia" w:cstheme="minorEastAsia"/>
                <w:b w:val="0"/>
                <w:bCs/>
                <w:color w:val="auto"/>
                <w:sz w:val="24"/>
                <w:szCs w:val="24"/>
                <w:lang w:val="en-US" w:eastAsia="zh-CN"/>
              </w:rPr>
              <w:t>/d，</w:t>
            </w:r>
            <w:r>
              <w:rPr>
                <w:rFonts w:hint="eastAsia" w:ascii="Times New Roman" w:hAnsi="Times New Roman" w:eastAsiaTheme="minorEastAsia" w:cstheme="minorEastAsia"/>
                <w:color w:val="auto"/>
                <w:sz w:val="24"/>
                <w:szCs w:val="24"/>
                <w:lang w:val="en-US" w:eastAsia="zh-CN"/>
              </w:rPr>
              <w:t>蒸汽冷凝水产生量为6.84m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r>
              <w:rPr>
                <w:rFonts w:hint="eastAsia" w:ascii="Times New Roman" w:hAnsi="Times New Roman" w:eastAsiaTheme="minorEastAsia" w:cstheme="minorEastAsia"/>
                <w:b w:val="0"/>
                <w:bCs/>
                <w:color w:val="auto"/>
                <w:sz w:val="24"/>
                <w:szCs w:val="24"/>
                <w:lang w:val="en-US" w:eastAsia="zh-CN"/>
              </w:rPr>
              <w:t>锅炉新鲜用水量18.48</w:t>
            </w:r>
            <w:r>
              <w:rPr>
                <w:rFonts w:hint="eastAsia" w:ascii="Times New Roman" w:hAnsi="Times New Roman" w:eastAsiaTheme="minorEastAsia" w:cstheme="minorEastAsia"/>
                <w:color w:val="auto"/>
                <w:sz w:val="24"/>
                <w:szCs w:val="24"/>
                <w:lang w:val="en-US" w:eastAsia="zh-CN"/>
              </w:rPr>
              <w:t>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p>
          <w:p w14:paraId="606435E8">
            <w:pPr>
              <w:pStyle w:val="98"/>
              <w:spacing w:before="63" w:line="360" w:lineRule="auto"/>
              <w:ind w:firstLine="480" w:firstLineChars="200"/>
              <w:rPr>
                <w:rFonts w:hint="eastAsia" w:ascii="Times New Roman" w:hAnsi="Times New Roman" w:eastAsia="宋体" w:cs="宋体"/>
                <w:b w:val="0"/>
                <w:bCs w:val="0"/>
                <w:color w:val="auto"/>
                <w:sz w:val="24"/>
                <w:szCs w:val="24"/>
              </w:rPr>
            </w:pPr>
            <w:r>
              <w:rPr>
                <w:rFonts w:hint="eastAsia" w:ascii="Times New Roman" w:hAnsi="Times New Roman" w:eastAsia="宋体" w:cs="Times New Roman"/>
                <w:b w:val="0"/>
                <w:bCs w:val="0"/>
                <w:color w:val="auto"/>
                <w:kern w:val="2"/>
                <w:sz w:val="24"/>
                <w:szCs w:val="24"/>
                <w:lang w:val="en-US" w:eastAsia="zh-CN" w:bidi="ar-SA"/>
              </w:rPr>
              <w:t>⑤生活用</w:t>
            </w:r>
            <w:r>
              <w:rPr>
                <w:rFonts w:hint="eastAsia" w:ascii="Times New Roman" w:hAnsi="Times New Roman" w:eastAsia="宋体" w:cs="宋体"/>
                <w:b w:val="0"/>
                <w:bCs w:val="0"/>
                <w:color w:val="auto"/>
                <w:spacing w:val="-2"/>
                <w:sz w:val="24"/>
                <w:szCs w:val="24"/>
              </w:rPr>
              <w:t>水</w:t>
            </w:r>
          </w:p>
          <w:p w14:paraId="59E2FE6C">
            <w:pPr>
              <w:adjustRightInd w:val="0"/>
              <w:snapToGrid w:val="0"/>
              <w:spacing w:line="360" w:lineRule="auto"/>
              <w:ind w:firstLine="476" w:firstLineChars="200"/>
              <w:rPr>
                <w:rFonts w:hint="eastAsia" w:ascii="Times New Roman" w:hAnsi="Times New Roman" w:eastAsia="宋体" w:cs="宋体"/>
                <w:color w:val="auto"/>
                <w:spacing w:val="-1"/>
                <w:sz w:val="24"/>
                <w:szCs w:val="24"/>
                <w:lang w:eastAsia="zh-CN"/>
              </w:rPr>
            </w:pPr>
            <w:r>
              <w:rPr>
                <w:rFonts w:hint="eastAsia" w:ascii="Times New Roman" w:hAnsi="Times New Roman" w:eastAsia="宋体" w:cs="宋体"/>
                <w:b w:val="0"/>
                <w:bCs w:val="0"/>
                <w:color w:val="auto"/>
                <w:spacing w:val="-1"/>
                <w:sz w:val="24"/>
                <w:szCs w:val="24"/>
              </w:rPr>
              <w:t>本项目劳动定员为</w:t>
            </w:r>
            <w:r>
              <w:rPr>
                <w:rFonts w:hint="eastAsia" w:ascii="Times New Roman" w:hAnsi="Times New Roman" w:cs="宋体"/>
                <w:b w:val="0"/>
                <w:bCs w:val="0"/>
                <w:color w:val="auto"/>
                <w:spacing w:val="-1"/>
                <w:sz w:val="24"/>
                <w:szCs w:val="24"/>
                <w:lang w:val="en-US" w:eastAsia="zh-CN"/>
              </w:rPr>
              <w:t>6</w:t>
            </w:r>
            <w:r>
              <w:rPr>
                <w:rFonts w:hint="eastAsia" w:ascii="Times New Roman" w:hAnsi="Times New Roman" w:eastAsia="宋体" w:cs="宋体"/>
                <w:b w:val="0"/>
                <w:bCs w:val="0"/>
                <w:color w:val="auto"/>
                <w:spacing w:val="-1"/>
                <w:sz w:val="24"/>
                <w:szCs w:val="24"/>
              </w:rPr>
              <w:t>人，均不在项目区食宿，生活用水主要为员工清洁用水</w:t>
            </w:r>
            <w:r>
              <w:rPr>
                <w:rFonts w:hint="eastAsia" w:ascii="Times New Roman" w:hAnsi="Times New Roman" w:cs="宋体"/>
                <w:b w:val="0"/>
                <w:bCs w:val="0"/>
                <w:color w:val="auto"/>
                <w:spacing w:val="-1"/>
                <w:sz w:val="24"/>
                <w:szCs w:val="24"/>
                <w:lang w:eastAsia="zh-CN"/>
              </w:rPr>
              <w:t>、</w:t>
            </w:r>
            <w:r>
              <w:rPr>
                <w:rFonts w:hint="eastAsia" w:ascii="Times New Roman" w:hAnsi="Times New Roman" w:cs="宋体"/>
                <w:b w:val="0"/>
                <w:bCs w:val="0"/>
                <w:color w:val="auto"/>
                <w:spacing w:val="-1"/>
                <w:sz w:val="24"/>
                <w:szCs w:val="24"/>
                <w:lang w:val="en-US" w:eastAsia="zh-CN"/>
              </w:rPr>
              <w:t>卫生间用水</w:t>
            </w:r>
            <w:r>
              <w:rPr>
                <w:rFonts w:hint="eastAsia" w:ascii="Times New Roman" w:hAnsi="Times New Roman" w:eastAsia="宋体" w:cs="宋体"/>
                <w:b w:val="0"/>
                <w:bCs w:val="0"/>
                <w:color w:val="auto"/>
                <w:spacing w:val="-1"/>
                <w:sz w:val="24"/>
                <w:szCs w:val="24"/>
              </w:rPr>
              <w:t>。根据《给水排水工程快速设计手册</w:t>
            </w:r>
            <w:r>
              <w:rPr>
                <w:rFonts w:hint="eastAsia" w:ascii="Times New Roman" w:hAnsi="Times New Roman" w:cs="宋体"/>
                <w:b w:val="0"/>
                <w:bCs w:val="0"/>
                <w:color w:val="auto"/>
                <w:spacing w:val="-1"/>
                <w:sz w:val="24"/>
                <w:szCs w:val="24"/>
                <w:lang w:val="en-US" w:eastAsia="zh-CN"/>
              </w:rPr>
              <w:t>3</w:t>
            </w:r>
            <w:r>
              <w:rPr>
                <w:rFonts w:hint="eastAsia" w:ascii="Times New Roman" w:hAnsi="Times New Roman" w:eastAsia="宋体" w:cs="宋体"/>
                <w:b w:val="0"/>
                <w:bCs w:val="0"/>
                <w:color w:val="auto"/>
                <w:spacing w:val="-1"/>
                <w:sz w:val="24"/>
                <w:szCs w:val="24"/>
              </w:rPr>
              <w:t>》</w:t>
            </w:r>
            <w:r>
              <w:rPr>
                <w:rFonts w:hint="eastAsia" w:ascii="Times New Roman" w:hAnsi="Times New Roman" w:eastAsia="宋体" w:cs="宋体"/>
                <w:b w:val="0"/>
                <w:bCs w:val="0"/>
                <w:color w:val="auto"/>
                <w:spacing w:val="-23"/>
                <w:sz w:val="24"/>
                <w:szCs w:val="24"/>
              </w:rPr>
              <w:t>，</w:t>
            </w:r>
            <w:r>
              <w:rPr>
                <w:rFonts w:hint="eastAsia" w:ascii="Times New Roman" w:hAnsi="Times New Roman" w:eastAsia="宋体" w:cs="宋体"/>
                <w:b w:val="0"/>
                <w:bCs w:val="0"/>
                <w:color w:val="auto"/>
                <w:spacing w:val="-1"/>
                <w:sz w:val="24"/>
                <w:szCs w:val="24"/>
              </w:rPr>
              <w:t>用水按</w:t>
            </w:r>
            <w:r>
              <w:rPr>
                <w:rFonts w:hint="eastAsia" w:ascii="Times New Roman" w:hAnsi="Times New Roman" w:cs="宋体"/>
                <w:b w:val="0"/>
                <w:bCs w:val="0"/>
                <w:color w:val="auto"/>
                <w:spacing w:val="-1"/>
                <w:sz w:val="24"/>
                <w:szCs w:val="24"/>
                <w:lang w:val="en-US" w:eastAsia="zh-CN"/>
              </w:rPr>
              <w:t>3</w:t>
            </w:r>
            <w:r>
              <w:rPr>
                <w:rFonts w:hint="eastAsia" w:ascii="Times New Roman" w:hAnsi="Times New Roman" w:eastAsia="宋体" w:cs="宋体"/>
                <w:b w:val="0"/>
                <w:bCs w:val="0"/>
                <w:color w:val="auto"/>
                <w:spacing w:val="-1"/>
                <w:sz w:val="24"/>
                <w:szCs w:val="24"/>
              </w:rPr>
              <w:t>0L/（人•d）计，则</w:t>
            </w:r>
            <w:r>
              <w:rPr>
                <w:rFonts w:hint="eastAsia" w:ascii="Times New Roman" w:hAnsi="Times New Roman" w:cs="宋体"/>
                <w:b w:val="0"/>
                <w:bCs w:val="0"/>
                <w:color w:val="auto"/>
                <w:spacing w:val="-1"/>
                <w:sz w:val="24"/>
                <w:szCs w:val="24"/>
                <w:lang w:val="en-US" w:eastAsia="zh-CN"/>
              </w:rPr>
              <w:t>生活</w:t>
            </w:r>
            <w:r>
              <w:rPr>
                <w:rFonts w:hint="eastAsia" w:ascii="Times New Roman" w:hAnsi="Times New Roman" w:eastAsia="宋体" w:cs="宋体"/>
                <w:b w:val="0"/>
                <w:bCs w:val="0"/>
                <w:color w:val="auto"/>
                <w:spacing w:val="-1"/>
                <w:sz w:val="24"/>
                <w:szCs w:val="24"/>
              </w:rPr>
              <w:t>用水量</w:t>
            </w:r>
            <w:r>
              <w:rPr>
                <w:rFonts w:hint="eastAsia" w:ascii="Times New Roman" w:hAnsi="Times New Roman" w:eastAsia="宋体" w:cs="宋体"/>
                <w:b w:val="0"/>
                <w:bCs w:val="0"/>
                <w:color w:val="auto"/>
                <w:spacing w:val="-1"/>
                <w:sz w:val="24"/>
                <w:szCs w:val="24"/>
                <w:lang w:val="en-US" w:eastAsia="zh-CN"/>
              </w:rPr>
              <w:t>0.1</w:t>
            </w:r>
            <w:r>
              <w:rPr>
                <w:rFonts w:hint="eastAsia" w:ascii="Times New Roman" w:hAnsi="Times New Roman" w:cs="宋体"/>
                <w:b w:val="0"/>
                <w:bCs w:val="0"/>
                <w:color w:val="auto"/>
                <w:spacing w:val="-1"/>
                <w:sz w:val="24"/>
                <w:szCs w:val="24"/>
                <w:lang w:val="en-US" w:eastAsia="zh-CN"/>
              </w:rPr>
              <w:t>8</w:t>
            </w:r>
            <w:r>
              <w:rPr>
                <w:rFonts w:hint="eastAsia" w:ascii="Times New Roman" w:hAnsi="Times New Roman" w:eastAsia="宋体" w:cs="宋体"/>
                <w:b w:val="0"/>
                <w:bCs w:val="0"/>
                <w:color w:val="auto"/>
                <w:spacing w:val="-1"/>
                <w:sz w:val="24"/>
                <w:szCs w:val="24"/>
              </w:rPr>
              <w:t>m</w:t>
            </w:r>
            <w:r>
              <w:rPr>
                <w:rFonts w:hint="eastAsia" w:ascii="Times New Roman" w:hAnsi="Times New Roman" w:eastAsia="宋体" w:cs="宋体"/>
                <w:b w:val="0"/>
                <w:bCs w:val="0"/>
                <w:color w:val="auto"/>
                <w:spacing w:val="-1"/>
                <w:sz w:val="24"/>
                <w:szCs w:val="24"/>
                <w:vertAlign w:val="superscript"/>
              </w:rPr>
              <w:t>3</w:t>
            </w:r>
            <w:r>
              <w:rPr>
                <w:rFonts w:hint="eastAsia" w:ascii="Times New Roman" w:hAnsi="Times New Roman" w:eastAsia="宋体" w:cs="宋体"/>
                <w:b w:val="0"/>
                <w:bCs w:val="0"/>
                <w:color w:val="auto"/>
                <w:spacing w:val="-1"/>
                <w:sz w:val="24"/>
                <w:szCs w:val="24"/>
              </w:rPr>
              <w:t>/d，</w:t>
            </w:r>
            <w:r>
              <w:rPr>
                <w:rFonts w:hint="eastAsia" w:ascii="Times New Roman" w:hAnsi="Times New Roman" w:cs="宋体"/>
                <w:b w:val="0"/>
                <w:bCs w:val="0"/>
                <w:color w:val="auto"/>
                <w:spacing w:val="-1"/>
                <w:sz w:val="24"/>
                <w:szCs w:val="24"/>
                <w:lang w:val="en-US" w:eastAsia="zh-CN"/>
              </w:rPr>
              <w:t>54</w:t>
            </w:r>
            <w:r>
              <w:rPr>
                <w:rFonts w:hint="eastAsia" w:ascii="Times New Roman" w:hAnsi="Times New Roman" w:eastAsia="宋体" w:cs="宋体"/>
                <w:b w:val="0"/>
                <w:bCs w:val="0"/>
                <w:color w:val="auto"/>
                <w:spacing w:val="-1"/>
                <w:sz w:val="24"/>
                <w:szCs w:val="24"/>
              </w:rPr>
              <w:t>m</w:t>
            </w:r>
            <w:r>
              <w:rPr>
                <w:rFonts w:hint="eastAsia" w:ascii="Times New Roman" w:hAnsi="Times New Roman" w:eastAsia="宋体" w:cs="宋体"/>
                <w:b w:val="0"/>
                <w:bCs w:val="0"/>
                <w:color w:val="auto"/>
                <w:spacing w:val="-1"/>
                <w:sz w:val="24"/>
                <w:szCs w:val="24"/>
                <w:vertAlign w:val="superscript"/>
              </w:rPr>
              <w:t>3</w:t>
            </w:r>
            <w:r>
              <w:rPr>
                <w:rFonts w:hint="eastAsia" w:ascii="Times New Roman" w:hAnsi="Times New Roman" w:eastAsia="宋体" w:cs="宋体"/>
                <w:b w:val="0"/>
                <w:bCs w:val="0"/>
                <w:color w:val="auto"/>
                <w:spacing w:val="-1"/>
                <w:sz w:val="24"/>
                <w:szCs w:val="24"/>
              </w:rPr>
              <w:t>/a</w:t>
            </w:r>
            <w:r>
              <w:rPr>
                <w:rFonts w:hint="eastAsia" w:ascii="Times New Roman" w:hAnsi="Times New Roman" w:eastAsia="宋体" w:cs="宋体"/>
                <w:b w:val="0"/>
                <w:bCs w:val="0"/>
                <w:color w:val="auto"/>
                <w:spacing w:val="-1"/>
                <w:sz w:val="24"/>
                <w:szCs w:val="24"/>
                <w:lang w:eastAsia="zh-CN"/>
              </w:rPr>
              <w:t>。</w:t>
            </w:r>
            <w:r>
              <w:rPr>
                <w:rFonts w:hint="eastAsia" w:ascii="Times New Roman" w:hAnsi="Times New Roman" w:eastAsia="宋体" w:cs="宋体"/>
                <w:b w:val="0"/>
                <w:bCs w:val="0"/>
                <w:color w:val="auto"/>
                <w:spacing w:val="-1"/>
                <w:sz w:val="24"/>
                <w:szCs w:val="24"/>
                <w:lang w:val="en-US" w:eastAsia="zh-CN"/>
              </w:rPr>
              <w:t>废水产生量</w:t>
            </w:r>
            <w:r>
              <w:rPr>
                <w:rFonts w:hint="eastAsia" w:ascii="Times New Roman" w:hAnsi="Times New Roman" w:eastAsia="宋体" w:cs="宋体"/>
                <w:b w:val="0"/>
                <w:bCs w:val="0"/>
                <w:color w:val="auto"/>
                <w:spacing w:val="-1"/>
                <w:sz w:val="24"/>
                <w:szCs w:val="24"/>
              </w:rPr>
              <w:t>按</w:t>
            </w:r>
            <w:r>
              <w:rPr>
                <w:rFonts w:hint="eastAsia" w:ascii="Times New Roman" w:hAnsi="Times New Roman" w:eastAsia="宋体" w:cs="宋体"/>
                <w:color w:val="auto"/>
                <w:spacing w:val="-1"/>
                <w:sz w:val="24"/>
                <w:szCs w:val="24"/>
              </w:rPr>
              <w:t>用水量的</w:t>
            </w:r>
            <w:r>
              <w:rPr>
                <w:rFonts w:hint="eastAsia" w:ascii="Times New Roman" w:hAnsi="Times New Roman" w:cs="宋体"/>
                <w:color w:val="auto"/>
                <w:spacing w:val="-1"/>
                <w:sz w:val="24"/>
                <w:szCs w:val="24"/>
                <w:lang w:val="en-US" w:eastAsia="zh-CN"/>
              </w:rPr>
              <w:t>8</w:t>
            </w:r>
            <w:r>
              <w:rPr>
                <w:rFonts w:hint="eastAsia" w:ascii="Times New Roman" w:hAnsi="Times New Roman" w:eastAsia="宋体" w:cs="宋体"/>
                <w:color w:val="auto"/>
                <w:spacing w:val="-1"/>
                <w:sz w:val="24"/>
                <w:szCs w:val="24"/>
              </w:rPr>
              <w:t>0%计，则生活污水生产量为</w:t>
            </w:r>
            <w:r>
              <w:rPr>
                <w:rFonts w:hint="eastAsia" w:ascii="Times New Roman" w:hAnsi="Times New Roman" w:cs="宋体"/>
                <w:color w:val="auto"/>
                <w:spacing w:val="-1"/>
                <w:sz w:val="24"/>
                <w:szCs w:val="24"/>
                <w:lang w:val="en-US" w:eastAsia="zh-CN"/>
              </w:rPr>
              <w:t>0.144</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/d，</w:t>
            </w:r>
            <w:r>
              <w:rPr>
                <w:rFonts w:hint="eastAsia" w:ascii="Times New Roman" w:hAnsi="Times New Roman" w:cs="宋体"/>
                <w:color w:val="auto"/>
                <w:spacing w:val="-1"/>
                <w:sz w:val="24"/>
                <w:szCs w:val="24"/>
                <w:lang w:val="en-US" w:eastAsia="zh-CN"/>
              </w:rPr>
              <w:t>43.2</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/a</w:t>
            </w:r>
            <w:r>
              <w:rPr>
                <w:rFonts w:hint="eastAsia" w:ascii="Times New Roman" w:hAnsi="Times New Roman" w:cs="宋体"/>
                <w:color w:val="auto"/>
                <w:spacing w:val="-1"/>
                <w:sz w:val="24"/>
                <w:szCs w:val="24"/>
                <w:lang w:eastAsia="zh-CN"/>
              </w:rPr>
              <w:t>。</w:t>
            </w:r>
          </w:p>
          <w:p w14:paraId="65812042">
            <w:pPr>
              <w:pStyle w:val="2"/>
              <w:rPr>
                <w:rFonts w:ascii="Times New Roman" w:hAnsi="Times New Roman"/>
                <w:b/>
                <w:bCs/>
                <w:color w:val="auto"/>
                <w:highlight w:val="none"/>
              </w:rPr>
            </w:pPr>
            <w:r>
              <w:rPr>
                <w:rFonts w:hint="eastAsia"/>
              </w:rPr>
              <w:object>
                <v:shape id="_x0000_i1025" o:spt="75" type="#_x0000_t75" style="height:254.55pt;width:393.75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14:paraId="0FEE3E07">
            <w:pPr>
              <w:spacing w:line="240" w:lineRule="auto"/>
              <w:jc w:val="center"/>
              <w:rPr>
                <w:rFonts w:ascii="Times New Roman" w:hAnsi="Times New Roman"/>
                <w:b/>
                <w:bCs/>
                <w:color w:val="auto"/>
                <w:highlight w:val="none"/>
              </w:rPr>
            </w:pPr>
            <w:r>
              <w:rPr>
                <w:rFonts w:ascii="Times New Roman" w:hAnsi="Times New Roman"/>
                <w:b/>
                <w:bCs/>
                <w:color w:val="auto"/>
                <w:highlight w:val="none"/>
              </w:rPr>
              <w:t>图2-1项目</w:t>
            </w:r>
            <w:r>
              <w:rPr>
                <w:rFonts w:hint="eastAsia" w:ascii="Times New Roman" w:hAnsi="Times New Roman"/>
                <w:b/>
                <w:bCs/>
                <w:color w:val="auto"/>
                <w:highlight w:val="none"/>
                <w:lang w:val="en-US" w:eastAsia="zh-CN"/>
              </w:rPr>
              <w:t>水量</w:t>
            </w:r>
            <w:r>
              <w:rPr>
                <w:rFonts w:ascii="Times New Roman" w:hAnsi="Times New Roman"/>
                <w:b/>
                <w:bCs/>
                <w:color w:val="auto"/>
                <w:highlight w:val="none"/>
              </w:rPr>
              <w:t>平衡图（</w:t>
            </w:r>
            <w:r>
              <w:rPr>
                <w:rFonts w:hint="eastAsia" w:ascii="Times New Roman" w:hAnsi="Times New Roman"/>
                <w:b/>
                <w:bCs/>
                <w:color w:val="auto"/>
                <w:highlight w:val="none"/>
                <w:lang w:eastAsia="zh-CN"/>
              </w:rPr>
              <w:t>m</w:t>
            </w:r>
            <w:r>
              <w:rPr>
                <w:rFonts w:hint="eastAsia" w:ascii="Times New Roman" w:hAnsi="Times New Roman"/>
                <w:b/>
                <w:bCs/>
                <w:color w:val="auto"/>
                <w:highlight w:val="none"/>
                <w:vertAlign w:val="superscript"/>
                <w:lang w:eastAsia="zh-CN"/>
              </w:rPr>
              <w:t>3</w:t>
            </w:r>
            <w:r>
              <w:rPr>
                <w:rFonts w:ascii="Times New Roman" w:hAnsi="Times New Roman"/>
                <w:b/>
                <w:bCs/>
                <w:color w:val="auto"/>
                <w:highlight w:val="none"/>
              </w:rPr>
              <w:t>/</w:t>
            </w:r>
            <w:r>
              <w:rPr>
                <w:rFonts w:hint="eastAsia" w:ascii="Times New Roman" w:hAnsi="Times New Roman"/>
                <w:b/>
                <w:bCs/>
                <w:color w:val="auto"/>
                <w:highlight w:val="none"/>
                <w:lang w:val="en-US" w:eastAsia="zh-CN"/>
              </w:rPr>
              <w:t>d</w:t>
            </w:r>
            <w:r>
              <w:rPr>
                <w:rFonts w:ascii="Times New Roman" w:hAnsi="Times New Roman"/>
                <w:b/>
                <w:bCs/>
                <w:color w:val="auto"/>
                <w:highlight w:val="none"/>
              </w:rPr>
              <w:t>）</w:t>
            </w:r>
          </w:p>
          <w:p w14:paraId="14285D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（2）蒸汽平衡</w:t>
            </w:r>
          </w:p>
          <w:p w14:paraId="0DB289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根据上文所述，项目生物质蒸汽锅炉产生的蒸汽量为24m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蒸汽锅炉产生的蒸汽通过分气缸供给洗涤、烘干、熨平工序使用，其中蒸汽分配给洗涤工序的比例为30%、烘干工序的比例为30%、烫平工序的比例为40%。其中洗涤工序中蒸汽损耗20%，80%形成洗涤废水，则项目洗涤工序蒸汽损耗量为1.44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/d，洗涤废水量为5.76m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/d。烘干工序中蒸汽损耗5%，95%形成蒸汽冷凝水循环回用于生物质蒸汽锅炉，蒸汽冷凝水产生量为6.84m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/d（2052m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/a）。熨烫工序中蒸汽全部损耗，损耗量为9.6m</w:t>
            </w:r>
            <w:r>
              <w:rPr>
                <w:rFonts w:hint="eastAsia" w:ascii="Times New Roman" w:hAnsi="Times New Roman" w:eastAsiaTheme="minorEastAsia" w:cstheme="minorEastAsia"/>
                <w:color w:val="auto"/>
                <w:sz w:val="24"/>
                <w:szCs w:val="24"/>
                <w:vertAlign w:val="superscript"/>
                <w:lang w:val="en-US" w:eastAsia="zh-CN"/>
              </w:rPr>
              <w:t>3</w:t>
            </w:r>
            <w:r>
              <w:rPr>
                <w:rFonts w:hint="eastAsia" w:ascii="Times New Roman" w:hAnsi="Times New Roman" w:eastAsiaTheme="minorEastAsia" w:cstheme="minorEastAsia"/>
                <w:color w:val="auto"/>
                <w:sz w:val="24"/>
                <w:szCs w:val="24"/>
                <w:lang w:val="en-US" w:eastAsia="zh-CN"/>
              </w:rPr>
              <w:t>/d。</w:t>
            </w:r>
          </w:p>
          <w:p w14:paraId="515EC6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项目生物质蒸汽锅炉蒸汽平衡图见图2-2所示。</w:t>
            </w:r>
          </w:p>
          <w:p w14:paraId="403046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ascii="Times New Roman" w:hAnsi="Times New Roman" w:eastAsiaTheme="minorEastAsia" w:cstheme="minorEastAsia"/>
                <w:color w:val="auto"/>
                <w:sz w:val="24"/>
                <w:szCs w:val="24"/>
                <w:lang w:val="en-US" w:eastAsia="zh-CN"/>
              </w:rPr>
              <w:object>
                <v:shape id="_x0000_i1026" o:spt="75" type="#_x0000_t75" style="height:172.25pt;width:292.5pt;" o:ole="t" filled="f" o:preferrelative="t" stroked="f" coordsize="21600,21600">
                  <v:path/>
                  <v:fill on="f" focussize="0,0"/>
                  <v:stroke on="f"/>
                  <v:imagedata r:id="rId12" o:title=""/>
                  <o:lock v:ext="edit" aspectratio="f"/>
                  <w10:wrap type="none"/>
                  <w10:anchorlock/>
                </v:shape>
                <o:OLEObject Type="Embed" ProgID="Visio.Drawing.15" ShapeID="_x0000_i1026" DrawAspect="Content" ObjectID="_1468075726" r:id="rId11">
                  <o:LockedField>false</o:LockedField>
                </o:OLEObject>
              </w:object>
            </w:r>
          </w:p>
          <w:p w14:paraId="4DBFBEE4">
            <w:pPr>
              <w:jc w:val="center"/>
              <w:rPr>
                <w:rFonts w:hint="eastAsia" w:ascii="Times New Roman" w:hAnsi="Times New Roman" w:eastAsia="宋体" w:cs="Times New Roman"/>
                <w:b/>
                <w:bCs/>
                <w:color w:val="auto"/>
                <w:highlight w:val="none"/>
                <w:lang w:val="en-US" w:eastAsia="zh-CN"/>
              </w:rPr>
            </w:pPr>
            <w:r>
              <w:rPr>
                <w:rFonts w:ascii="Times New Roman" w:hAnsi="Times New Roman" w:eastAsia="宋体" w:cs="Times New Roman"/>
                <w:b/>
                <w:bCs/>
                <w:color w:val="auto"/>
                <w:highlight w:val="none"/>
              </w:rPr>
              <w:t>图 2-</w:t>
            </w:r>
            <w:r>
              <w:rPr>
                <w:rFonts w:hint="eastAsia" w:ascii="Times New Roman" w:hAnsi="Times New Roman" w:eastAsia="宋体" w:cs="Times New Roman"/>
                <w:b/>
                <w:bCs/>
                <w:color w:val="auto"/>
                <w:highlight w:val="none"/>
                <w:lang w:val="en-US" w:eastAsia="zh-CN"/>
              </w:rPr>
              <w:t>2</w:t>
            </w:r>
            <w:r>
              <w:rPr>
                <w:rFonts w:ascii="Times New Roman" w:hAnsi="Times New Roman" w:eastAsia="宋体" w:cs="Times New Roman"/>
                <w:b/>
                <w:bCs/>
                <w:color w:val="auto"/>
                <w:highlight w:val="none"/>
              </w:rPr>
              <w:t xml:space="preserve"> </w:t>
            </w:r>
            <w:r>
              <w:rPr>
                <w:rFonts w:hint="eastAsia" w:ascii="Times New Roman" w:hAnsi="Times New Roman" w:eastAsia="宋体" w:cs="Times New Roman"/>
                <w:b/>
                <w:bCs/>
                <w:color w:val="auto"/>
                <w:highlight w:val="none"/>
                <w:lang w:val="en-US" w:eastAsia="zh-CN"/>
              </w:rPr>
              <w:t>项目</w:t>
            </w:r>
            <w:r>
              <w:rPr>
                <w:rFonts w:ascii="Times New Roman" w:hAnsi="Times New Roman" w:eastAsia="宋体" w:cs="Times New Roman"/>
                <w:b/>
                <w:bCs/>
                <w:color w:val="auto"/>
                <w:highlight w:val="none"/>
              </w:rPr>
              <w:t>蒸汽锅炉蒸汽</w:t>
            </w:r>
            <w:r>
              <w:rPr>
                <w:rFonts w:hint="eastAsia" w:ascii="Times New Roman" w:hAnsi="Times New Roman" w:eastAsia="宋体" w:cs="Times New Roman"/>
                <w:b/>
                <w:bCs/>
                <w:color w:val="auto"/>
                <w:highlight w:val="none"/>
                <w:lang w:val="en-US" w:eastAsia="zh-CN"/>
              </w:rPr>
              <w:t>平衡</w:t>
            </w:r>
            <w:r>
              <w:rPr>
                <w:rFonts w:ascii="Times New Roman" w:hAnsi="Times New Roman" w:eastAsia="宋体" w:cs="Times New Roman"/>
                <w:b/>
                <w:bCs/>
                <w:color w:val="auto"/>
                <w:highlight w:val="none"/>
              </w:rPr>
              <w:t>图</w:t>
            </w:r>
            <w:r>
              <w:rPr>
                <w:rFonts w:ascii="Times New Roman" w:hAnsi="Times New Roman"/>
                <w:b/>
                <w:bCs/>
                <w:color w:val="auto"/>
                <w:highlight w:val="none"/>
              </w:rPr>
              <w:t>（</w:t>
            </w:r>
            <w:r>
              <w:rPr>
                <w:rFonts w:hint="eastAsia" w:ascii="Times New Roman" w:hAnsi="Times New Roman"/>
                <w:b/>
                <w:bCs/>
                <w:color w:val="auto"/>
                <w:highlight w:val="none"/>
                <w:lang w:eastAsia="zh-CN"/>
              </w:rPr>
              <w:t>m</w:t>
            </w:r>
            <w:r>
              <w:rPr>
                <w:rFonts w:hint="eastAsia" w:ascii="Times New Roman" w:hAnsi="Times New Roman"/>
                <w:b/>
                <w:bCs/>
                <w:color w:val="auto"/>
                <w:highlight w:val="none"/>
                <w:vertAlign w:val="superscript"/>
                <w:lang w:eastAsia="zh-CN"/>
              </w:rPr>
              <w:t>3</w:t>
            </w:r>
            <w:r>
              <w:rPr>
                <w:rFonts w:ascii="Times New Roman" w:hAnsi="Times New Roman"/>
                <w:b/>
                <w:bCs/>
                <w:color w:val="auto"/>
                <w:highlight w:val="none"/>
              </w:rPr>
              <w:t>/</w:t>
            </w:r>
            <w:r>
              <w:rPr>
                <w:rFonts w:hint="eastAsia" w:ascii="Times New Roman" w:hAnsi="Times New Roman"/>
                <w:b/>
                <w:bCs/>
                <w:color w:val="auto"/>
                <w:highlight w:val="none"/>
                <w:lang w:val="en-US" w:eastAsia="zh-CN"/>
              </w:rPr>
              <w:t>d</w:t>
            </w:r>
            <w:r>
              <w:rPr>
                <w:rFonts w:ascii="Times New Roman" w:hAnsi="Times New Roman"/>
                <w:b/>
                <w:bCs/>
                <w:color w:val="auto"/>
                <w:highlight w:val="none"/>
              </w:rPr>
              <w:t>）</w:t>
            </w:r>
          </w:p>
          <w:p w14:paraId="1466CB2D">
            <w:pPr>
              <w:numPr>
                <w:ilvl w:val="0"/>
                <w:numId w:val="0"/>
              </w:numPr>
              <w:rPr>
                <w:rFonts w:hint="default" w:ascii="Times New Roman" w:hAnsi="Times New Roman"/>
                <w:color w:val="auto"/>
                <w:lang w:val="en-US" w:eastAsia="zh-CN"/>
              </w:rPr>
            </w:pPr>
          </w:p>
        </w:tc>
      </w:tr>
      <w:tr w14:paraId="3AA41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vAlign w:val="center"/>
          </w:tcPr>
          <w:p w14:paraId="2BCB89B2">
            <w:pPr>
              <w:pStyle w:val="26"/>
              <w:adjustRightInd w:val="0"/>
              <w:snapToGrid w:val="0"/>
              <w:spacing w:before="0" w:beforeAutospacing="0" w:after="0" w:afterAutospacing="0"/>
              <w:jc w:val="center"/>
              <w:rPr>
                <w:rFonts w:ascii="Times New Roman" w:hAnsi="Times New Roman" w:cs="宋体"/>
                <w:color w:val="auto"/>
                <w:sz w:val="24"/>
                <w:szCs w:val="24"/>
              </w:rPr>
            </w:pPr>
            <w:r>
              <w:rPr>
                <w:rFonts w:hint="eastAsia" w:ascii="Times New Roman" w:hAnsi="Times New Roman" w:cs="宋体"/>
                <w:color w:val="auto"/>
                <w:sz w:val="24"/>
                <w:szCs w:val="24"/>
              </w:rPr>
              <w:t>工艺流程和产排污环节</w:t>
            </w:r>
          </w:p>
        </w:tc>
        <w:tc>
          <w:tcPr>
            <w:tcW w:w="8416" w:type="dxa"/>
          </w:tcPr>
          <w:p w14:paraId="2679AA9C">
            <w:pPr>
              <w:numPr>
                <w:ilvl w:val="0"/>
                <w:numId w:val="4"/>
              </w:numPr>
              <w:adjustRightInd w:val="0"/>
              <w:snapToGrid w:val="0"/>
              <w:spacing w:line="360" w:lineRule="auto"/>
              <w:rPr>
                <w:rFonts w:ascii="Times New Roman" w:hAnsi="Times New Roman"/>
                <w:b/>
                <w:bCs/>
                <w:color w:val="auto"/>
                <w:sz w:val="24"/>
                <w:szCs w:val="24"/>
              </w:rPr>
            </w:pPr>
            <w:r>
              <w:rPr>
                <w:rFonts w:hint="eastAsia" w:ascii="Times New Roman" w:hAnsi="Times New Roman"/>
                <w:b/>
                <w:bCs/>
                <w:color w:val="auto"/>
                <w:sz w:val="24"/>
                <w:szCs w:val="24"/>
              </w:rPr>
              <w:t>施工期</w:t>
            </w:r>
          </w:p>
          <w:p w14:paraId="56E0BF0B">
            <w:pPr>
              <w:pStyle w:val="98"/>
              <w:spacing w:before="179" w:line="356" w:lineRule="auto"/>
              <w:ind w:left="107" w:right="102" w:firstLine="481"/>
              <w:jc w:val="both"/>
              <w:rPr>
                <w:rFonts w:hint="eastAsia" w:ascii="Times New Roman" w:hAnsi="Times New Roman" w:eastAsia="Times New Roman" w:cs="宋体"/>
                <w:b w:val="0"/>
                <w:bCs/>
                <w:color w:val="auto"/>
                <w:kern w:val="2"/>
                <w:sz w:val="24"/>
                <w:szCs w:val="24"/>
                <w:lang w:val="en-US" w:eastAsia="zh-CN" w:bidi="ar-SA"/>
              </w:rPr>
            </w:pPr>
            <w:r>
              <w:rPr>
                <w:rFonts w:ascii="Times New Roman" w:hAnsi="Times New Roman" w:eastAsia="Times New Roman"/>
                <w:color w:val="auto"/>
                <w:sz w:val="24"/>
                <w:szCs w:val="24"/>
              </w:rPr>
              <w:t>本项目租用</w:t>
            </w:r>
            <w:r>
              <w:rPr>
                <w:rFonts w:hint="eastAsia" w:ascii="Times New Roman" w:hAnsi="Times New Roman"/>
                <w:bCs/>
                <w:color w:val="auto"/>
                <w:sz w:val="24"/>
                <w:lang w:eastAsia="zh-CN"/>
              </w:rPr>
              <w:t>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bCs/>
                <w:color w:val="auto"/>
                <w:sz w:val="24"/>
                <w:lang w:eastAsia="zh-CN"/>
              </w:rPr>
              <w:t>仁德</w:t>
            </w:r>
            <w:r>
              <w:rPr>
                <w:rFonts w:hint="eastAsia" w:ascii="Times New Roman" w:hAnsi="Times New Roman"/>
                <w:bCs/>
                <w:color w:val="auto"/>
                <w:sz w:val="24"/>
                <w:lang w:val="en-US" w:eastAsia="zh-CN"/>
              </w:rPr>
              <w:t>子超</w:t>
            </w:r>
            <w:r>
              <w:rPr>
                <w:rFonts w:hint="eastAsia" w:ascii="Times New Roman" w:hAnsi="Times New Roman"/>
                <w:bCs/>
                <w:color w:val="auto"/>
                <w:sz w:val="24"/>
                <w:lang w:eastAsia="zh-CN"/>
              </w:rPr>
              <w:t>养殖场已建</w:t>
            </w:r>
            <w:r>
              <w:rPr>
                <w:rFonts w:hint="eastAsia" w:ascii="Times New Roman" w:hAnsi="Times New Roman"/>
                <w:bCs/>
                <w:color w:val="auto"/>
                <w:sz w:val="24"/>
                <w:lang w:val="en-US" w:eastAsia="zh-CN"/>
              </w:rPr>
              <w:t>厂房作为项目生产使用</w:t>
            </w:r>
            <w:r>
              <w:rPr>
                <w:rFonts w:hint="eastAsia" w:ascii="Times New Roman" w:hAnsi="Times New Roman" w:eastAsia="Times New Roman"/>
                <w:color w:val="auto"/>
                <w:sz w:val="24"/>
                <w:szCs w:val="24"/>
                <w:lang w:val="en-US" w:eastAsia="zh-CN"/>
              </w:rPr>
              <w:t>，</w:t>
            </w:r>
            <w:r>
              <w:rPr>
                <w:rFonts w:hint="eastAsia" w:ascii="Times New Roman" w:hAnsi="Times New Roman" w:eastAsia="Times New Roman" w:cs="宋体"/>
                <w:b w:val="0"/>
                <w:bCs/>
                <w:color w:val="auto"/>
                <w:sz w:val="24"/>
                <w:szCs w:val="24"/>
                <w:lang w:val="en-US" w:eastAsia="zh-CN"/>
              </w:rPr>
              <w:t>根据现场踏勘，厂房内还遗留原有养殖厂的混凝土隔档、垃圾等</w:t>
            </w:r>
            <w:r>
              <w:rPr>
                <w:rFonts w:hint="eastAsia" w:ascii="Times New Roman" w:hAnsi="Times New Roman" w:eastAsia="Times New Roman" w:cs="宋体"/>
                <w:b w:val="0"/>
                <w:bCs/>
                <w:color w:val="auto"/>
                <w:kern w:val="2"/>
                <w:sz w:val="24"/>
                <w:szCs w:val="24"/>
                <w:lang w:val="en-US" w:eastAsia="zh-CN" w:bidi="ar-SA"/>
              </w:rPr>
              <w:t>。本项目施工主要为原养殖场厂房内部隔档的拆除、厂房内部重新装修、生产设备及环保设施的安装建设。施工期产生的污染物主要为施工扬尘、施工机械噪声、施工固废、施工人员生活垃圾及生活废水。施工期环境影响如下：</w:t>
            </w:r>
          </w:p>
          <w:p w14:paraId="5602AC58">
            <w:pPr>
              <w:pStyle w:val="98"/>
              <w:spacing w:before="168" w:line="345" w:lineRule="auto"/>
              <w:ind w:right="102"/>
              <w:jc w:val="center"/>
              <w:rPr>
                <w:rFonts w:hint="eastAsia" w:ascii="Times New Roman" w:hAnsi="Times New Roman" w:eastAsia="Times New Roman" w:cs="宋体"/>
                <w:b w:val="0"/>
                <w:bCs/>
                <w:color w:val="auto"/>
                <w:kern w:val="2"/>
                <w:sz w:val="24"/>
                <w:szCs w:val="24"/>
                <w:lang w:val="en-US" w:eastAsia="zh-CN" w:bidi="ar-SA"/>
              </w:rPr>
            </w:pPr>
            <w:r>
              <w:rPr>
                <w:rFonts w:ascii="Times New Roman" w:hAnsi="Times New Roman"/>
                <w:color w:val="auto"/>
              </w:rPr>
              <w:drawing>
                <wp:inline distT="0" distB="0" distL="114300" distR="114300">
                  <wp:extent cx="5167630" cy="184086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rcRect l="696"/>
                          <a:stretch>
                            <a:fillRect/>
                          </a:stretch>
                        </pic:blipFill>
                        <pic:spPr>
                          <a:xfrm>
                            <a:off x="0" y="0"/>
                            <a:ext cx="5167630" cy="1840865"/>
                          </a:xfrm>
                          <a:prstGeom prst="rect">
                            <a:avLst/>
                          </a:prstGeom>
                          <a:noFill/>
                          <a:ln>
                            <a:noFill/>
                          </a:ln>
                        </pic:spPr>
                      </pic:pic>
                    </a:graphicData>
                  </a:graphic>
                </wp:inline>
              </w:drawing>
            </w:r>
          </w:p>
          <w:p w14:paraId="1F28256B">
            <w:pPr>
              <w:pStyle w:val="98"/>
              <w:spacing w:before="163" w:line="240"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图2-</w:t>
            </w:r>
            <w:r>
              <w:rPr>
                <w:rFonts w:hint="eastAsia" w:ascii="Times New Roman" w:hAnsi="Times New Roman" w:cs="宋体"/>
                <w:b/>
                <w:bCs/>
                <w:color w:val="auto"/>
                <w:kern w:val="0"/>
                <w:sz w:val="21"/>
                <w:szCs w:val="21"/>
                <w:lang w:val="en-US" w:eastAsia="zh-CN" w:bidi="ar-SA"/>
              </w:rPr>
              <w:t>2</w:t>
            </w:r>
            <w:r>
              <w:rPr>
                <w:rFonts w:hint="eastAsia" w:ascii="Times New Roman" w:hAnsi="Times New Roman" w:eastAsia="宋体" w:cs="宋体"/>
                <w:b/>
                <w:bCs/>
                <w:color w:val="auto"/>
                <w:kern w:val="0"/>
                <w:sz w:val="21"/>
                <w:szCs w:val="21"/>
                <w:lang w:val="en-US" w:eastAsia="zh-CN" w:bidi="ar-SA"/>
              </w:rPr>
              <w:t xml:space="preserve"> 施工期工艺流程及产污节点图</w:t>
            </w:r>
          </w:p>
          <w:p w14:paraId="780CBD63">
            <w:pPr>
              <w:pStyle w:val="98"/>
              <w:spacing w:before="163" w:line="360" w:lineRule="auto"/>
              <w:ind w:left="586"/>
              <w:rPr>
                <w:rFonts w:ascii="Times New Roman" w:hAnsi="Times New Roman"/>
                <w:color w:val="auto"/>
                <w:sz w:val="24"/>
                <w:szCs w:val="24"/>
              </w:rPr>
            </w:pPr>
            <w:r>
              <w:rPr>
                <w:rFonts w:ascii="Times New Roman" w:hAnsi="Times New Roman"/>
                <w:b/>
                <w:bCs/>
                <w:color w:val="auto"/>
                <w:spacing w:val="-3"/>
                <w:sz w:val="24"/>
                <w:szCs w:val="24"/>
              </w:rPr>
              <w:t>施工期工程简述：</w:t>
            </w:r>
          </w:p>
          <w:p w14:paraId="247C92A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（1）</w:t>
            </w:r>
            <w:r>
              <w:rPr>
                <w:rFonts w:hint="eastAsia" w:ascii="Times New Roman" w:hAnsi="Times New Roman" w:cs="宋体"/>
                <w:color w:val="auto"/>
                <w:kern w:val="0"/>
                <w:sz w:val="24"/>
                <w:szCs w:val="24"/>
                <w:lang w:val="en-US" w:eastAsia="zh-CN" w:bidi="ar-SA"/>
              </w:rPr>
              <w:t>遗留厂房隔档拆除、厂房内部装修：</w:t>
            </w:r>
            <w:r>
              <w:rPr>
                <w:rFonts w:hint="eastAsia" w:ascii="Times New Roman" w:hAnsi="Times New Roman" w:eastAsia="宋体" w:cs="宋体"/>
                <w:color w:val="auto"/>
                <w:kern w:val="0"/>
                <w:sz w:val="24"/>
                <w:szCs w:val="24"/>
                <w:lang w:val="en-US" w:eastAsia="zh-CN" w:bidi="ar-SA"/>
              </w:rPr>
              <w:t>主要包括</w:t>
            </w:r>
            <w:r>
              <w:rPr>
                <w:rFonts w:hint="eastAsia" w:ascii="Times New Roman" w:hAnsi="Times New Roman" w:eastAsia="Times New Roman" w:cs="宋体"/>
                <w:b w:val="0"/>
                <w:bCs/>
                <w:color w:val="auto"/>
                <w:kern w:val="2"/>
                <w:sz w:val="24"/>
                <w:szCs w:val="24"/>
                <w:lang w:val="en-US" w:eastAsia="zh-CN" w:bidi="ar-SA"/>
              </w:rPr>
              <w:t>原养殖场厂房内部隔档的拆除</w:t>
            </w:r>
            <w:r>
              <w:rPr>
                <w:rFonts w:hint="eastAsia" w:ascii="Times New Roman" w:hAnsi="Times New Roman" w:eastAsia="宋体" w:cs="宋体"/>
                <w:color w:val="auto"/>
                <w:kern w:val="0"/>
                <w:sz w:val="24"/>
                <w:szCs w:val="24"/>
                <w:lang w:val="en-US" w:eastAsia="zh-CN" w:bidi="ar-SA"/>
              </w:rPr>
              <w:t>、厂房内部的装修建设，在此阶段项目产生的主要污染物为粉尘、</w:t>
            </w:r>
            <w:r>
              <w:rPr>
                <w:rFonts w:hint="eastAsia" w:ascii="Times New Roman" w:hAnsi="Times New Roman" w:cs="宋体"/>
                <w:color w:val="auto"/>
                <w:kern w:val="0"/>
                <w:sz w:val="24"/>
                <w:szCs w:val="24"/>
                <w:lang w:val="en-US" w:eastAsia="zh-CN" w:bidi="ar-SA"/>
              </w:rPr>
              <w:t>施工废水、</w:t>
            </w:r>
            <w:r>
              <w:rPr>
                <w:rFonts w:hint="eastAsia" w:ascii="Times New Roman" w:hAnsi="Times New Roman" w:eastAsia="宋体" w:cs="宋体"/>
                <w:color w:val="auto"/>
                <w:kern w:val="0"/>
                <w:sz w:val="24"/>
                <w:szCs w:val="24"/>
                <w:lang w:val="en-US" w:eastAsia="zh-CN" w:bidi="ar-SA"/>
              </w:rPr>
              <w:t>施工噪声及固废。</w:t>
            </w:r>
          </w:p>
          <w:p w14:paraId="48E78A4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（2）</w:t>
            </w:r>
            <w:r>
              <w:rPr>
                <w:rFonts w:hint="eastAsia" w:ascii="Times New Roman" w:hAnsi="Times New Roman" w:cs="宋体"/>
                <w:color w:val="auto"/>
                <w:kern w:val="0"/>
                <w:sz w:val="24"/>
                <w:szCs w:val="24"/>
                <w:lang w:val="en-US" w:eastAsia="zh-CN" w:bidi="ar-SA"/>
              </w:rPr>
              <w:t>生产</w:t>
            </w:r>
            <w:r>
              <w:rPr>
                <w:rFonts w:hint="eastAsia" w:ascii="Times New Roman" w:hAnsi="Times New Roman" w:eastAsia="宋体" w:cs="宋体"/>
                <w:color w:val="auto"/>
                <w:kern w:val="0"/>
                <w:sz w:val="24"/>
                <w:szCs w:val="24"/>
                <w:lang w:val="en-US" w:eastAsia="zh-CN" w:bidi="ar-SA"/>
              </w:rPr>
              <w:t>设备安装：项目对所需要的设备进行采购、安装及调试。在此阶段项目产生的主要污染物为粉尘、</w:t>
            </w:r>
            <w:r>
              <w:rPr>
                <w:rFonts w:hint="eastAsia" w:ascii="Times New Roman" w:hAnsi="Times New Roman" w:cs="宋体"/>
                <w:color w:val="auto"/>
                <w:kern w:val="0"/>
                <w:sz w:val="24"/>
                <w:szCs w:val="24"/>
                <w:lang w:val="en-US" w:eastAsia="zh-CN" w:bidi="ar-SA"/>
              </w:rPr>
              <w:t>施工废水、</w:t>
            </w:r>
            <w:r>
              <w:rPr>
                <w:rFonts w:hint="eastAsia" w:ascii="Times New Roman" w:hAnsi="Times New Roman" w:eastAsia="宋体" w:cs="宋体"/>
                <w:color w:val="auto"/>
                <w:kern w:val="0"/>
                <w:sz w:val="24"/>
                <w:szCs w:val="24"/>
                <w:lang w:val="en-US" w:eastAsia="zh-CN" w:bidi="ar-SA"/>
              </w:rPr>
              <w:t>施工噪声及固废。</w:t>
            </w:r>
          </w:p>
          <w:p w14:paraId="27DFABB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（3）环保设施的建设：项目环保设施主要为污水处理设备、</w:t>
            </w:r>
            <w:r>
              <w:rPr>
                <w:rFonts w:hint="eastAsia" w:ascii="Times New Roman" w:hAnsi="Times New Roman" w:cs="宋体"/>
                <w:color w:val="auto"/>
                <w:kern w:val="0"/>
                <w:sz w:val="24"/>
                <w:szCs w:val="24"/>
                <w:lang w:val="en-US" w:eastAsia="zh-CN" w:bidi="ar-SA"/>
              </w:rPr>
              <w:t>生物质锅炉废气净化装置</w:t>
            </w:r>
            <w:r>
              <w:rPr>
                <w:rFonts w:hint="eastAsia" w:ascii="Times New Roman" w:hAnsi="Times New Roman" w:eastAsia="宋体" w:cs="宋体"/>
                <w:color w:val="auto"/>
                <w:kern w:val="0"/>
                <w:sz w:val="24"/>
                <w:szCs w:val="24"/>
                <w:lang w:val="en-US" w:eastAsia="zh-CN" w:bidi="ar-SA"/>
              </w:rPr>
              <w:t>的建设</w:t>
            </w:r>
            <w:r>
              <w:rPr>
                <w:rFonts w:hint="eastAsia" w:ascii="Times New Roman" w:hAnsi="Times New Roman" w:cs="宋体"/>
                <w:color w:val="auto"/>
                <w:kern w:val="0"/>
                <w:sz w:val="24"/>
                <w:szCs w:val="24"/>
                <w:lang w:val="en-US" w:eastAsia="zh-CN" w:bidi="ar-SA"/>
              </w:rPr>
              <w:t>、化粪池建设</w:t>
            </w:r>
            <w:r>
              <w:rPr>
                <w:rFonts w:hint="eastAsia" w:ascii="Times New Roman" w:hAnsi="Times New Roman" w:eastAsia="宋体" w:cs="宋体"/>
                <w:color w:val="auto"/>
                <w:kern w:val="0"/>
                <w:sz w:val="24"/>
                <w:szCs w:val="24"/>
                <w:lang w:val="en-US" w:eastAsia="zh-CN" w:bidi="ar-SA"/>
              </w:rPr>
              <w:t>等。在此阶段项目产生的主要污染物为</w:t>
            </w:r>
            <w:r>
              <w:rPr>
                <w:rFonts w:hint="eastAsia" w:ascii="Times New Roman" w:hAnsi="Times New Roman" w:cs="宋体"/>
                <w:color w:val="auto"/>
                <w:kern w:val="0"/>
                <w:sz w:val="24"/>
                <w:szCs w:val="24"/>
                <w:lang w:val="en-US" w:eastAsia="zh-CN" w:bidi="ar-SA"/>
              </w:rPr>
              <w:t>粉尘、</w:t>
            </w:r>
            <w:r>
              <w:rPr>
                <w:rFonts w:hint="eastAsia" w:ascii="Times New Roman" w:hAnsi="Times New Roman" w:eastAsia="宋体" w:cs="宋体"/>
                <w:color w:val="auto"/>
                <w:kern w:val="0"/>
                <w:sz w:val="24"/>
                <w:szCs w:val="24"/>
                <w:lang w:val="en-US" w:eastAsia="zh-CN" w:bidi="ar-SA"/>
              </w:rPr>
              <w:t>施工废气、 施工噪声及固废。</w:t>
            </w:r>
          </w:p>
          <w:p w14:paraId="344106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项目整个施工期均有施工人员生活污水和生活垃圾产生。</w:t>
            </w:r>
          </w:p>
          <w:p w14:paraId="445107C0">
            <w:pPr>
              <w:adjustRightInd w:val="0"/>
              <w:snapToGrid w:val="0"/>
              <w:spacing w:line="360" w:lineRule="auto"/>
              <w:rPr>
                <w:rFonts w:ascii="Times New Roman" w:hAnsi="Times New Roman"/>
                <w:color w:val="auto"/>
                <w:sz w:val="24"/>
                <w:szCs w:val="24"/>
              </w:rPr>
            </w:pPr>
            <w:r>
              <w:rPr>
                <w:rFonts w:hint="eastAsia" w:ascii="Times New Roman" w:hAnsi="Times New Roman"/>
                <w:color w:val="auto"/>
                <w:sz w:val="24"/>
                <w:szCs w:val="24"/>
              </w:rPr>
              <w:t>二</w:t>
            </w:r>
            <w:r>
              <w:rPr>
                <w:rFonts w:hint="eastAsia" w:ascii="Times New Roman" w:hAnsi="Times New Roman"/>
                <w:b/>
                <w:bCs/>
                <w:color w:val="auto"/>
                <w:sz w:val="24"/>
                <w:szCs w:val="24"/>
              </w:rPr>
              <w:t>、运营期</w:t>
            </w:r>
          </w:p>
          <w:p w14:paraId="3619448F">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rPr>
            </w:pPr>
            <w:r>
              <w:rPr>
                <w:rFonts w:hint="eastAsia" w:ascii="Times New Roman" w:hAnsi="Times New Roman" w:eastAsia="宋体" w:cs="宋体"/>
                <w:b/>
                <w:bCs/>
                <w:color w:val="auto"/>
                <w:sz w:val="24"/>
                <w:szCs w:val="24"/>
              </w:rPr>
              <w:t>1 、</w:t>
            </w:r>
            <w:r>
              <w:rPr>
                <w:rFonts w:hint="eastAsia" w:ascii="Times New Roman" w:hAnsi="Times New Roman" w:eastAsia="宋体" w:cs="宋体"/>
                <w:b/>
                <w:bCs/>
                <w:color w:val="auto"/>
                <w:sz w:val="24"/>
                <w:szCs w:val="24"/>
                <w:lang w:val="en-US" w:eastAsia="zh-CN"/>
              </w:rPr>
              <w:t>项目</w:t>
            </w:r>
            <w:r>
              <w:rPr>
                <w:rFonts w:hint="eastAsia" w:ascii="Times New Roman" w:hAnsi="Times New Roman" w:eastAsia="宋体" w:cs="宋体"/>
                <w:b/>
                <w:bCs/>
                <w:color w:val="auto"/>
                <w:sz w:val="24"/>
                <w:szCs w:val="24"/>
              </w:rPr>
              <w:t>洗涤工艺流程及产污节点图</w:t>
            </w:r>
          </w:p>
          <w:p w14:paraId="740042EA">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①检查分拣：建设单位委托货物运输单位排出货车从各酒店</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理发店</w:t>
            </w:r>
            <w:r>
              <w:rPr>
                <w:rFonts w:hint="eastAsia" w:ascii="Times New Roman" w:hAnsi="Times New Roman" w:eastAsia="宋体" w:cs="宋体"/>
                <w:color w:val="auto"/>
                <w:sz w:val="24"/>
                <w:szCs w:val="24"/>
              </w:rPr>
              <w:t>接收布草</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毛巾</w:t>
            </w:r>
            <w:r>
              <w:rPr>
                <w:rFonts w:hint="eastAsia" w:ascii="Times New Roman" w:hAnsi="Times New Roman" w:eastAsia="宋体" w:cs="宋体"/>
                <w:color w:val="auto"/>
                <w:sz w:val="24"/>
                <w:szCs w:val="24"/>
              </w:rPr>
              <w:t>后运至项目生产区，员工对接收的布草按颜色、类别、材质、规格、</w:t>
            </w:r>
            <w:r>
              <w:rPr>
                <w:rFonts w:hint="eastAsia" w:ascii="Times New Roman" w:hAnsi="Times New Roman" w:eastAsia="宋体" w:cs="宋体"/>
                <w:color w:val="auto"/>
                <w:sz w:val="24"/>
                <w:szCs w:val="24"/>
                <w:lang w:val="en-US" w:eastAsia="zh-CN"/>
              </w:rPr>
              <w:t>等</w:t>
            </w:r>
            <w:r>
              <w:rPr>
                <w:rFonts w:hint="eastAsia" w:ascii="Times New Roman" w:hAnsi="Times New Roman" w:eastAsia="宋体" w:cs="宋体"/>
                <w:color w:val="auto"/>
                <w:sz w:val="24"/>
                <w:szCs w:val="24"/>
              </w:rPr>
              <w:t>进行挑拣、分类存放和登记；</w:t>
            </w:r>
          </w:p>
          <w:p w14:paraId="789899FF">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cs="宋体"/>
                <w:color w:val="auto"/>
                <w:sz w:val="24"/>
                <w:szCs w:val="24"/>
                <w:lang w:eastAsia="zh-CN"/>
              </w:rPr>
            </w:pPr>
            <w:r>
              <w:rPr>
                <w:rFonts w:hint="eastAsia" w:ascii="Times New Roman" w:hAnsi="Times New Roman" w:eastAsia="宋体" w:cs="宋体"/>
                <w:color w:val="auto"/>
                <w:sz w:val="24"/>
                <w:szCs w:val="24"/>
              </w:rPr>
              <w:t>②洗涤、脱水：洗涤包括预洗、主洗、漂洗、清洗、中和、柔软等操作内容。预洗是用水润湿织物和污垢，同时在水的冲击和洗衣机反复揉搓、摔打的共同作用下，将部分污垢如盐、糖等水溶性污垢、新沾染在织物上的血渍、汗渍、果汁、饮料等污垢以及一些沙土、粉尘等固体颗粒污垢，部分或全部去除；主洗是布草水洗的关键工艺操作，通过选择适宜的洗涤剂、洗涤温度和时间，使布草类织物上沾染的污垢尽可能脱落下来，溶解、乳化、分散或悬浮在洗涤液中；漂洗是漂白处理，布草经过主洗后的某些污渍受多种因素影响，形成的色底仍残留在织物上，为此，采用氧漂液或氯漂液，利用其释放出氧化能力很强的初生态氧，从而破坏色素基因使色底消失；清洗是指投水和脱水，以减少织物的洗涤剂残留，保证清洗效果；中和是通过中和剂去除二次污染中钙镁离子和残留氯处理剂。柔软是指利用柔顺剂使织物柔软蓬松，有良好的手感，提高棉布、尼龙、人造和合成纤维的防静电性能，使熨衣更容易，减少起球。完成洗涤全部工序后再进行脱水，均由洗脱两用机自动</w:t>
            </w:r>
            <w:r>
              <w:rPr>
                <w:rFonts w:hint="eastAsia" w:ascii="Times New Roman" w:hAnsi="Times New Roman" w:eastAsia="宋体" w:cs="宋体"/>
                <w:color w:val="auto"/>
                <w:sz w:val="24"/>
                <w:szCs w:val="24"/>
                <w:lang w:val="en-US" w:eastAsia="zh-CN"/>
              </w:rPr>
              <w:t>完成</w:t>
            </w:r>
            <w:r>
              <w:rPr>
                <w:rFonts w:hint="eastAsia" w:ascii="Times New Roman" w:hAnsi="Times New Roman" w:eastAsia="宋体" w:cs="宋体"/>
                <w:color w:val="auto"/>
                <w:sz w:val="24"/>
                <w:szCs w:val="24"/>
              </w:rPr>
              <w:t>。该过程产生</w:t>
            </w:r>
            <w:r>
              <w:rPr>
                <w:rFonts w:hint="eastAsia" w:ascii="Times New Roman" w:hAnsi="Times New Roman" w:eastAsia="宋体" w:cs="宋体"/>
                <w:color w:val="auto"/>
                <w:sz w:val="24"/>
                <w:szCs w:val="24"/>
                <w:lang w:val="en-US" w:eastAsia="zh-CN"/>
              </w:rPr>
              <w:t>洗涤</w:t>
            </w:r>
            <w:r>
              <w:rPr>
                <w:rFonts w:hint="eastAsia" w:ascii="Times New Roman" w:hAnsi="Times New Roman" w:eastAsia="宋体" w:cs="宋体"/>
                <w:color w:val="auto"/>
                <w:sz w:val="24"/>
                <w:szCs w:val="24"/>
              </w:rPr>
              <w:t>废水和噪声</w:t>
            </w:r>
            <w:r>
              <w:rPr>
                <w:rFonts w:hint="eastAsia" w:ascii="Times New Roman" w:hAnsi="Times New Roman" w:cs="宋体"/>
                <w:color w:val="auto"/>
                <w:sz w:val="24"/>
                <w:szCs w:val="24"/>
                <w:lang w:eastAsia="zh-CN"/>
              </w:rPr>
              <w:t>。</w:t>
            </w:r>
          </w:p>
          <w:p w14:paraId="6B3943EC">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③烘干：将清洗干净并脱水后的布草移送至烘干区，送入自动烘干机烘干，烘干机通过蒸汽加热，加热方式为间接加热，利用蒸汽散热器散发的热量，通过抽风机不断的吸风而产生的一个热循环过程，使转筒内的物料在旋转的转筒内不断正反翻动，而逐渐烘干，烘干温度60℃~80℃。烘干过程中会产生噪声。蒸汽由蒸汽锅炉提供，项目使用锅炉为</w:t>
            </w:r>
            <w:r>
              <w:rPr>
                <w:rFonts w:hint="eastAsia" w:ascii="Times New Roman" w:hAnsi="Times New Roman" w:eastAsia="宋体" w:cs="宋体"/>
                <w:color w:val="auto"/>
                <w:sz w:val="24"/>
                <w:szCs w:val="24"/>
                <w:lang w:val="en-US" w:eastAsia="zh-CN"/>
              </w:rPr>
              <w:t>1</w:t>
            </w:r>
            <w:r>
              <w:rPr>
                <w:rFonts w:hint="eastAsia" w:ascii="Times New Roman" w:hAnsi="Times New Roman" w:eastAsia="宋体" w:cs="宋体"/>
                <w:color w:val="auto"/>
                <w:sz w:val="24"/>
                <w:szCs w:val="24"/>
              </w:rPr>
              <w:t>台</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t/h生物质蒸汽发生器，以成型生物质作为燃料，在燃烧过程供气过程中会产生烟气。</w:t>
            </w:r>
          </w:p>
          <w:p w14:paraId="20A03451">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④烫平：将烘干的布草送至烫平区进行烫平，该过程会产生噪声。烫平工序以蒸汽作为热源，加热方式为间接加热。蒸汽熨平机工作原理：蒸汽加热辊轴，达到一定温度后，当潮湿的衣物经过两个辊之间，可以除去大量的水分，达到烫平的效果。蒸汽亦由</w:t>
            </w:r>
            <w:r>
              <w:rPr>
                <w:rFonts w:hint="eastAsia" w:ascii="Times New Roman" w:hAnsi="Times New Roman" w:eastAsia="宋体" w:cs="宋体"/>
                <w:color w:val="auto"/>
                <w:sz w:val="24"/>
                <w:szCs w:val="24"/>
                <w:lang w:val="en-US" w:eastAsia="zh-CN"/>
              </w:rPr>
              <w:t>生物质</w:t>
            </w:r>
            <w:r>
              <w:rPr>
                <w:rFonts w:hint="eastAsia" w:ascii="Times New Roman" w:hAnsi="Times New Roman" w:eastAsia="宋体" w:cs="宋体"/>
                <w:color w:val="auto"/>
                <w:sz w:val="24"/>
                <w:szCs w:val="24"/>
              </w:rPr>
              <w:t>蒸汽锅炉提供，生物质在燃烧供气过程中会产生烟气。</w:t>
            </w:r>
          </w:p>
          <w:p w14:paraId="1729AE5F">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⑤折叠：将已烘干</w:t>
            </w:r>
            <w:r>
              <w:rPr>
                <w:rFonts w:hint="eastAsia" w:ascii="Times New Roman" w:hAnsi="Times New Roman" w:eastAsia="宋体" w:cs="宋体"/>
                <w:color w:val="auto"/>
                <w:sz w:val="24"/>
                <w:szCs w:val="24"/>
                <w:lang w:val="en-US" w:eastAsia="zh-CN"/>
              </w:rPr>
              <w:t>烫平</w:t>
            </w:r>
            <w:r>
              <w:rPr>
                <w:rFonts w:hint="eastAsia" w:ascii="Times New Roman" w:hAnsi="Times New Roman" w:eastAsia="宋体" w:cs="宋体"/>
                <w:color w:val="auto"/>
                <w:sz w:val="24"/>
                <w:szCs w:val="24"/>
              </w:rPr>
              <w:t>的布草</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毛巾</w:t>
            </w:r>
            <w:r>
              <w:rPr>
                <w:rFonts w:hint="eastAsia" w:ascii="Times New Roman" w:hAnsi="Times New Roman" w:eastAsia="宋体" w:cs="宋体"/>
                <w:color w:val="auto"/>
                <w:sz w:val="24"/>
                <w:szCs w:val="24"/>
              </w:rPr>
              <w:t>送至折叠区，利用折叠机对其进行折叠整理。</w:t>
            </w:r>
          </w:p>
          <w:p w14:paraId="6CABCEC4">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⑥包装入库：根据接收单据，用专用包布将布草分类进行打包包装，每个包装附上发放清单。由专人核对后入库暂存或直接发往客户。</w:t>
            </w:r>
          </w:p>
          <w:p w14:paraId="55CAAFFF">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具体工艺流程及产污环节详见图2-</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w:t>
            </w:r>
          </w:p>
          <w:p w14:paraId="519F885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color w:val="auto"/>
                <w:sz w:val="24"/>
                <w:szCs w:val="24"/>
                <w:lang w:val="en-US" w:eastAsia="zh-CN"/>
              </w:rPr>
            </w:pPr>
            <w:r>
              <w:rPr>
                <w:rFonts w:ascii="Times New Roman" w:hAnsi="Times New Roman"/>
                <w:color w:val="auto"/>
              </w:rPr>
              <w:drawing>
                <wp:inline distT="0" distB="0" distL="114300" distR="114300">
                  <wp:extent cx="4932680" cy="3644265"/>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4"/>
                          <a:srcRect b="3998"/>
                          <a:stretch>
                            <a:fillRect/>
                          </a:stretch>
                        </pic:blipFill>
                        <pic:spPr>
                          <a:xfrm>
                            <a:off x="0" y="0"/>
                            <a:ext cx="4932680" cy="3644265"/>
                          </a:xfrm>
                          <a:prstGeom prst="rect">
                            <a:avLst/>
                          </a:prstGeom>
                          <a:noFill/>
                          <a:ln>
                            <a:noFill/>
                          </a:ln>
                        </pic:spPr>
                      </pic:pic>
                    </a:graphicData>
                  </a:graphic>
                </wp:inline>
              </w:drawing>
            </w:r>
          </w:p>
          <w:p w14:paraId="0C4DECA3">
            <w:pPr>
              <w:adjustRightInd w:val="0"/>
              <w:snapToGrid w:val="0"/>
              <w:spacing w:line="360" w:lineRule="auto"/>
              <w:ind w:firstLine="446" w:firstLineChars="20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pacing w:val="6"/>
                <w:sz w:val="21"/>
                <w:szCs w:val="21"/>
              </w:rPr>
              <w:t>图2-</w:t>
            </w:r>
            <w:r>
              <w:rPr>
                <w:rFonts w:hint="eastAsia" w:ascii="Times New Roman" w:hAnsi="Times New Roman" w:cs="宋体"/>
                <w:b/>
                <w:bCs/>
                <w:color w:val="auto"/>
                <w:spacing w:val="6"/>
                <w:sz w:val="21"/>
                <w:szCs w:val="21"/>
                <w:lang w:val="en-US" w:eastAsia="zh-CN"/>
              </w:rPr>
              <w:t>3</w:t>
            </w:r>
            <w:r>
              <w:rPr>
                <w:rFonts w:hint="eastAsia" w:ascii="Times New Roman" w:hAnsi="Times New Roman" w:eastAsia="宋体" w:cs="宋体"/>
                <w:b/>
                <w:bCs/>
                <w:color w:val="auto"/>
                <w:spacing w:val="6"/>
                <w:sz w:val="21"/>
                <w:szCs w:val="21"/>
                <w:lang w:val="en-US" w:eastAsia="zh-CN"/>
              </w:rPr>
              <w:t xml:space="preserve"> </w:t>
            </w:r>
            <w:r>
              <w:rPr>
                <w:rFonts w:hint="eastAsia" w:ascii="Times New Roman" w:hAnsi="Times New Roman" w:eastAsia="宋体" w:cs="宋体"/>
                <w:b/>
                <w:bCs/>
                <w:color w:val="auto"/>
                <w:spacing w:val="6"/>
                <w:sz w:val="21"/>
                <w:szCs w:val="21"/>
              </w:rPr>
              <w:t>项目生产工艺流程及产污环节图</w:t>
            </w:r>
          </w:p>
          <w:p w14:paraId="190463A8">
            <w:pPr>
              <w:pStyle w:val="98"/>
              <w:spacing w:before="39" w:line="360" w:lineRule="auto"/>
              <w:ind w:left="583"/>
              <w:rPr>
                <w:rFonts w:ascii="Times New Roman" w:hAnsi="Times New Roman"/>
                <w:b/>
                <w:bCs/>
                <w:color w:val="auto"/>
                <w:spacing w:val="-5"/>
              </w:rPr>
            </w:pPr>
            <w:r>
              <w:rPr>
                <w:rFonts w:ascii="Times New Roman" w:hAnsi="Times New Roman" w:eastAsia="Times New Roman" w:cs="Times New Roman"/>
                <w:b/>
                <w:bCs/>
                <w:color w:val="auto"/>
                <w:spacing w:val="-5"/>
              </w:rPr>
              <w:t>2</w:t>
            </w:r>
            <w:r>
              <w:rPr>
                <w:rFonts w:ascii="Times New Roman" w:hAnsi="Times New Roman" w:eastAsia="Times New Roman" w:cs="Times New Roman"/>
                <w:b/>
                <w:bCs/>
                <w:color w:val="auto"/>
                <w:spacing w:val="-23"/>
              </w:rPr>
              <w:t xml:space="preserve"> </w:t>
            </w:r>
            <w:r>
              <w:rPr>
                <w:rFonts w:ascii="Times New Roman" w:hAnsi="Times New Roman"/>
                <w:b/>
                <w:bCs/>
                <w:color w:val="auto"/>
                <w:spacing w:val="-5"/>
              </w:rPr>
              <w:t>、锅炉工艺流程及产污节点</w:t>
            </w:r>
          </w:p>
          <w:p w14:paraId="30C969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eastAsiaTheme="minorEastAsia" w:cstheme="minorEastAsia"/>
                <w:color w:val="auto"/>
                <w:sz w:val="24"/>
                <w:szCs w:val="24"/>
                <w:lang w:val="en-US" w:eastAsia="zh-CN"/>
              </w:rPr>
              <w:t>项目配套设置1台3t/h的生物质锅炉提供蒸汽，蒸汽锅炉产生的蒸汽通过分气缸供给洗涤、烘干、熨烫工序。锅炉系统主要包括燃烧系统、送引风系统、汽水系统及辅助系。燃料和空气按一定比例进入燃烧室燃烧，生成的热量传给蒸汽发生系统，产生饱和蒸汽，然后经过过热器，形成一定温度和压力的蒸汽，汇集至蒸汽母管，然后送至各用气单元。</w:t>
            </w:r>
          </w:p>
          <w:p w14:paraId="133E3D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heme="minorEastAsia" w:cstheme="minorEastAsia"/>
                <w:color w:val="auto"/>
                <w:sz w:val="24"/>
                <w:szCs w:val="24"/>
                <w:lang w:val="en-US" w:eastAsia="zh-CN"/>
              </w:rPr>
            </w:pPr>
            <w:r>
              <w:rPr>
                <w:rFonts w:hint="eastAsia" w:ascii="Times New Roman" w:hAnsi="Times New Roman"/>
                <w:b w:val="0"/>
                <w:bCs/>
                <w:color w:val="auto"/>
                <w:kern w:val="2"/>
                <w:sz w:val="24"/>
                <w:szCs w:val="24"/>
              </w:rPr>
              <w:t>项目</w:t>
            </w:r>
            <w:r>
              <w:rPr>
                <w:rFonts w:hint="eastAsia" w:ascii="Times New Roman" w:hAnsi="Times New Roman" w:eastAsia="宋体" w:cs="宋体"/>
                <w:b w:val="0"/>
                <w:bCs/>
                <w:color w:val="auto"/>
                <w:sz w:val="24"/>
                <w:szCs w:val="24"/>
                <w:lang w:val="en-US" w:eastAsia="zh-CN"/>
              </w:rPr>
              <w:t>生物质蒸汽锅炉</w:t>
            </w:r>
            <w:r>
              <w:rPr>
                <w:rFonts w:hint="eastAsia" w:ascii="Times New Roman" w:hAnsi="Times New Roman"/>
                <w:b w:val="0"/>
                <w:bCs/>
                <w:color w:val="auto"/>
                <w:kern w:val="2"/>
                <w:sz w:val="24"/>
                <w:szCs w:val="24"/>
              </w:rPr>
              <w:t>配套建设了</w:t>
            </w:r>
            <w:r>
              <w:rPr>
                <w:rFonts w:hint="eastAsia" w:ascii="Times New Roman" w:hAnsi="Times New Roman"/>
                <w:b w:val="0"/>
                <w:bCs/>
                <w:color w:val="auto"/>
                <w:kern w:val="2"/>
                <w:sz w:val="24"/>
                <w:szCs w:val="24"/>
                <w:lang w:val="en-US" w:eastAsia="zh-CN"/>
              </w:rPr>
              <w:t>1</w:t>
            </w:r>
            <w:r>
              <w:rPr>
                <w:rFonts w:hint="eastAsia" w:ascii="Times New Roman" w:hAnsi="Times New Roman"/>
                <w:b w:val="0"/>
                <w:bCs/>
                <w:color w:val="auto"/>
                <w:kern w:val="2"/>
                <w:sz w:val="24"/>
                <w:szCs w:val="24"/>
              </w:rPr>
              <w:t>套软水制备系统，该系统为全自动软化水系统，</w:t>
            </w:r>
            <w:r>
              <w:rPr>
                <w:rFonts w:hint="eastAsia" w:ascii="Times New Roman" w:hAnsi="Times New Roman"/>
                <w:b w:val="0"/>
                <w:bCs/>
                <w:color w:val="auto"/>
                <w:kern w:val="2"/>
                <w:sz w:val="24"/>
                <w:szCs w:val="24"/>
                <w:lang w:val="en-US" w:eastAsia="zh-CN"/>
              </w:rPr>
              <w:t>采用</w:t>
            </w:r>
            <w:r>
              <w:rPr>
                <w:rFonts w:hint="eastAsia" w:ascii="Times New Roman" w:hAnsi="Times New Roman"/>
                <w:b w:val="0"/>
                <w:bCs/>
                <w:color w:val="auto"/>
                <w:kern w:val="2"/>
                <w:sz w:val="24"/>
                <w:szCs w:val="24"/>
              </w:rPr>
              <w:t>离子交换</w:t>
            </w:r>
            <w:r>
              <w:rPr>
                <w:rFonts w:hint="eastAsia" w:ascii="Times New Roman" w:hAnsi="Times New Roman"/>
                <w:b w:val="0"/>
                <w:bCs/>
                <w:color w:val="auto"/>
                <w:kern w:val="2"/>
                <w:sz w:val="24"/>
                <w:szCs w:val="24"/>
                <w:lang w:val="en-US" w:eastAsia="zh-CN"/>
              </w:rPr>
              <w:t>树脂制备</w:t>
            </w:r>
            <w:r>
              <w:rPr>
                <w:rFonts w:hint="eastAsia" w:ascii="Times New Roman" w:hAnsi="Times New Roman"/>
                <w:b w:val="0"/>
                <w:bCs/>
                <w:color w:val="auto"/>
                <w:kern w:val="2"/>
                <w:sz w:val="24"/>
                <w:szCs w:val="24"/>
              </w:rPr>
              <w:t>，去除水中的钙、镁结垢离子，使得水质软化。</w:t>
            </w:r>
            <w:r>
              <w:rPr>
                <w:rFonts w:hint="eastAsia" w:ascii="Times New Roman" w:hAnsi="Times New Roman" w:eastAsia="宋体" w:cs="宋体"/>
                <w:color w:val="auto"/>
                <w:sz w:val="24"/>
                <w:szCs w:val="24"/>
              </w:rPr>
              <w:t>软水制备过程加入软化盐对树脂进行再生，以恢复树脂的软化交换能力</w:t>
            </w:r>
            <w:r>
              <w:rPr>
                <w:rFonts w:hint="eastAsia" w:ascii="Times New Roman" w:hAnsi="Times New Roman" w:eastAsia="宋体" w:cs="宋体"/>
                <w:color w:val="auto"/>
                <w:sz w:val="24"/>
                <w:szCs w:val="24"/>
                <w:lang w:eastAsia="zh-CN"/>
              </w:rPr>
              <w:t>。</w:t>
            </w:r>
          </w:p>
          <w:p w14:paraId="328D99CA">
            <w:pPr>
              <w:adjustRightInd w:val="0"/>
              <w:snapToGrid w:val="0"/>
              <w:spacing w:line="360" w:lineRule="auto"/>
              <w:ind w:firstLine="480" w:firstLineChars="20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drawing>
                <wp:inline distT="0" distB="0" distL="114300" distR="114300">
                  <wp:extent cx="4624070" cy="3649980"/>
                  <wp:effectExtent l="0" t="0" r="0" b="0"/>
                  <wp:docPr id="6" name="图片 6" descr="锅炉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锅炉工艺流程"/>
                          <pic:cNvPicPr>
                            <a:picLocks noChangeAspect="1"/>
                          </pic:cNvPicPr>
                        </pic:nvPicPr>
                        <pic:blipFill>
                          <a:blip r:embed="rId15"/>
                          <a:srcRect b="4024"/>
                          <a:stretch>
                            <a:fillRect/>
                          </a:stretch>
                        </pic:blipFill>
                        <pic:spPr>
                          <a:xfrm>
                            <a:off x="0" y="0"/>
                            <a:ext cx="4624070" cy="3649980"/>
                          </a:xfrm>
                          <a:prstGeom prst="rect">
                            <a:avLst/>
                          </a:prstGeom>
                        </pic:spPr>
                      </pic:pic>
                    </a:graphicData>
                  </a:graphic>
                </wp:inline>
              </w:drawing>
            </w:r>
          </w:p>
          <w:p w14:paraId="154C4F25">
            <w:pPr>
              <w:adjustRightInd w:val="0"/>
              <w:snapToGrid w:val="0"/>
              <w:spacing w:line="360" w:lineRule="auto"/>
              <w:jc w:val="center"/>
              <w:rPr>
                <w:rFonts w:hint="eastAsia" w:ascii="Times New Roman" w:hAnsi="Times New Roman" w:eastAsia="宋体"/>
                <w:color w:val="auto"/>
                <w:sz w:val="24"/>
                <w:szCs w:val="24"/>
                <w:lang w:val="en-US" w:eastAsia="zh-CN"/>
              </w:rPr>
            </w:pPr>
            <w:r>
              <w:rPr>
                <w:rFonts w:ascii="Times New Roman" w:hAnsi="Times New Roman"/>
                <w:b/>
                <w:bCs/>
                <w:color w:val="auto"/>
                <w:spacing w:val="-4"/>
              </w:rPr>
              <w:t>图</w:t>
            </w:r>
            <w:r>
              <w:rPr>
                <w:rFonts w:ascii="Times New Roman" w:hAnsi="Times New Roman"/>
                <w:color w:val="auto"/>
                <w:spacing w:val="-41"/>
              </w:rPr>
              <w:t xml:space="preserve"> </w:t>
            </w:r>
            <w:r>
              <w:rPr>
                <w:rFonts w:ascii="Times New Roman" w:hAnsi="Times New Roman" w:eastAsia="Times New Roman" w:cs="Times New Roman"/>
                <w:b/>
                <w:bCs/>
                <w:color w:val="auto"/>
                <w:spacing w:val="-4"/>
              </w:rPr>
              <w:t>2-</w:t>
            </w:r>
            <w:r>
              <w:rPr>
                <w:rFonts w:hint="eastAsia" w:ascii="Times New Roman" w:hAnsi="Times New Roman" w:eastAsia="宋体" w:cs="Times New Roman"/>
                <w:b/>
                <w:bCs/>
                <w:color w:val="auto"/>
                <w:spacing w:val="-4"/>
                <w:lang w:val="en-US" w:eastAsia="zh-CN"/>
              </w:rPr>
              <w:t>4</w:t>
            </w:r>
            <w:r>
              <w:rPr>
                <w:rFonts w:ascii="Times New Roman" w:hAnsi="Times New Roman" w:eastAsia="Times New Roman" w:cs="Times New Roman"/>
                <w:b/>
                <w:bCs/>
                <w:color w:val="auto"/>
                <w:spacing w:val="-4"/>
              </w:rPr>
              <w:t xml:space="preserve">  </w:t>
            </w:r>
            <w:r>
              <w:rPr>
                <w:rFonts w:ascii="Times New Roman" w:hAnsi="Times New Roman"/>
                <w:b/>
                <w:bCs/>
                <w:color w:val="auto"/>
                <w:spacing w:val="-4"/>
              </w:rPr>
              <w:t>锅炉工艺流程及排污节点示意图</w:t>
            </w:r>
          </w:p>
          <w:p w14:paraId="629638F5">
            <w:pPr>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产污情况分析</w:t>
            </w:r>
          </w:p>
          <w:p w14:paraId="5FC6AAC8">
            <w:pPr>
              <w:adjustRightInd w:val="0"/>
              <w:snapToGrid w:val="0"/>
              <w:spacing w:line="360" w:lineRule="auto"/>
              <w:ind w:firstLine="480" w:firstLineChars="200"/>
              <w:rPr>
                <w:rFonts w:ascii="Times New Roman" w:hAnsi="Times New Roman"/>
                <w:b/>
                <w:color w:val="auto"/>
                <w:kern w:val="0"/>
                <w:sz w:val="24"/>
                <w:szCs w:val="24"/>
              </w:rPr>
            </w:pPr>
            <w:r>
              <w:rPr>
                <w:rFonts w:hint="eastAsia" w:ascii="Times New Roman" w:hAnsi="Times New Roman"/>
                <w:color w:val="auto"/>
                <w:sz w:val="24"/>
                <w:szCs w:val="24"/>
              </w:rPr>
              <w:t>项目各工序污染物产生情况详见表2-</w:t>
            </w:r>
            <w:r>
              <w:rPr>
                <w:rFonts w:hint="eastAsia" w:ascii="Times New Roman" w:hAnsi="Times New Roman"/>
                <w:color w:val="auto"/>
                <w:sz w:val="24"/>
                <w:szCs w:val="24"/>
                <w:lang w:val="en-US" w:eastAsia="zh-CN"/>
              </w:rPr>
              <w:t>8</w:t>
            </w:r>
            <w:r>
              <w:rPr>
                <w:rFonts w:hint="eastAsia" w:ascii="Times New Roman" w:hAnsi="Times New Roman"/>
                <w:color w:val="auto"/>
                <w:sz w:val="24"/>
                <w:szCs w:val="24"/>
              </w:rPr>
              <w:t>。</w:t>
            </w:r>
          </w:p>
          <w:p w14:paraId="6A217060">
            <w:pPr>
              <w:adjustRightInd w:val="0"/>
              <w:snapToGrid w:val="0"/>
              <w:spacing w:line="360" w:lineRule="auto"/>
              <w:ind w:firstLine="422" w:firstLineChars="200"/>
              <w:jc w:val="center"/>
              <w:rPr>
                <w:rFonts w:ascii="Times New Roman" w:hAnsi="Times New Roman"/>
                <w:color w:val="auto"/>
                <w:sz w:val="21"/>
                <w:szCs w:val="21"/>
              </w:rPr>
            </w:pPr>
            <w:r>
              <w:rPr>
                <w:rFonts w:hint="eastAsia" w:ascii="Times New Roman" w:hAnsi="Times New Roman"/>
                <w:b/>
                <w:color w:val="auto"/>
                <w:kern w:val="0"/>
                <w:sz w:val="21"/>
                <w:szCs w:val="21"/>
              </w:rPr>
              <w:t>表2-</w:t>
            </w:r>
            <w:r>
              <w:rPr>
                <w:rFonts w:hint="eastAsia" w:ascii="Times New Roman" w:hAnsi="Times New Roman"/>
                <w:b/>
                <w:color w:val="auto"/>
                <w:kern w:val="0"/>
                <w:sz w:val="21"/>
                <w:szCs w:val="21"/>
                <w:lang w:val="en-US" w:eastAsia="zh-CN"/>
              </w:rPr>
              <w:t xml:space="preserve">8 </w:t>
            </w:r>
            <w:r>
              <w:rPr>
                <w:rFonts w:hint="eastAsia" w:ascii="Times New Roman" w:hAnsi="Times New Roman"/>
                <w:b/>
                <w:color w:val="auto"/>
                <w:kern w:val="0"/>
                <w:sz w:val="21"/>
                <w:szCs w:val="21"/>
              </w:rPr>
              <w:t>产污环节分析表</w:t>
            </w:r>
          </w:p>
          <w:tbl>
            <w:tblPr>
              <w:tblStyle w:val="80"/>
              <w:tblW w:w="8097"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4"/>
              <w:gridCol w:w="436"/>
              <w:gridCol w:w="609"/>
              <w:gridCol w:w="1572"/>
              <w:gridCol w:w="1500"/>
              <w:gridCol w:w="2530"/>
              <w:gridCol w:w="946"/>
            </w:tblGrid>
            <w:tr w14:paraId="4007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504" w:type="dxa"/>
                  <w:textDirection w:val="tbRlV"/>
                  <w:vAlign w:val="center"/>
                </w:tcPr>
                <w:p w14:paraId="755F21B0">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1045" w:type="dxa"/>
                  <w:gridSpan w:val="2"/>
                  <w:vAlign w:val="center"/>
                </w:tcPr>
                <w:p w14:paraId="050B0BD2">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产生种类</w:t>
                  </w:r>
                </w:p>
              </w:tc>
              <w:tc>
                <w:tcPr>
                  <w:tcW w:w="1572" w:type="dxa"/>
                  <w:vAlign w:val="center"/>
                </w:tcPr>
                <w:p w14:paraId="53395047">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产污位置</w:t>
                  </w:r>
                </w:p>
              </w:tc>
              <w:tc>
                <w:tcPr>
                  <w:tcW w:w="1500" w:type="dxa"/>
                  <w:vAlign w:val="center"/>
                </w:tcPr>
                <w:p w14:paraId="6D6A456B">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主要污染物</w:t>
                  </w:r>
                </w:p>
              </w:tc>
              <w:tc>
                <w:tcPr>
                  <w:tcW w:w="2530" w:type="dxa"/>
                  <w:vAlign w:val="center"/>
                </w:tcPr>
                <w:p w14:paraId="7CD4CCAE">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处理措施</w:t>
                  </w:r>
                </w:p>
              </w:tc>
              <w:tc>
                <w:tcPr>
                  <w:tcW w:w="946" w:type="dxa"/>
                  <w:vAlign w:val="center"/>
                </w:tcPr>
                <w:p w14:paraId="1AFAAA7B">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排放方式</w:t>
                  </w:r>
                </w:p>
              </w:tc>
            </w:tr>
            <w:tr w14:paraId="11E7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3" w:hRule="atLeast"/>
              </w:trPr>
              <w:tc>
                <w:tcPr>
                  <w:tcW w:w="504" w:type="dxa"/>
                  <w:vMerge w:val="restart"/>
                  <w:vAlign w:val="center"/>
                </w:tcPr>
                <w:p w14:paraId="3EE7930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436" w:type="dxa"/>
                  <w:vMerge w:val="restart"/>
                  <w:textDirection w:val="tbRlV"/>
                  <w:vAlign w:val="center"/>
                </w:tcPr>
                <w:p w14:paraId="6A4DEB3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废气</w:t>
                  </w:r>
                </w:p>
              </w:tc>
              <w:tc>
                <w:tcPr>
                  <w:tcW w:w="609" w:type="dxa"/>
                  <w:vAlign w:val="center"/>
                </w:tcPr>
                <w:p w14:paraId="676B635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燃烧废气</w:t>
                  </w:r>
                </w:p>
              </w:tc>
              <w:tc>
                <w:tcPr>
                  <w:tcW w:w="1572" w:type="dxa"/>
                  <w:vAlign w:val="center"/>
                </w:tcPr>
                <w:p w14:paraId="26B0A46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生物质蒸汽发生器</w:t>
                  </w:r>
                </w:p>
              </w:tc>
              <w:tc>
                <w:tcPr>
                  <w:tcW w:w="1500" w:type="dxa"/>
                  <w:vAlign w:val="center"/>
                </w:tcPr>
                <w:p w14:paraId="222C29FA">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颗粒物、SO</w:t>
                  </w:r>
                  <w:r>
                    <w:rPr>
                      <w:rFonts w:hint="eastAsia" w:ascii="Times New Roman" w:hAnsi="Times New Roman" w:eastAsia="宋体" w:cs="宋体"/>
                      <w:color w:val="auto"/>
                      <w:sz w:val="21"/>
                      <w:szCs w:val="21"/>
                      <w:vertAlign w:val="subscript"/>
                    </w:rPr>
                    <w:t>2</w:t>
                  </w:r>
                  <w:r>
                    <w:rPr>
                      <w:rFonts w:hint="eastAsia" w:ascii="Times New Roman" w:hAnsi="Times New Roman" w:eastAsia="宋体" w:cs="宋体"/>
                      <w:color w:val="auto"/>
                      <w:sz w:val="21"/>
                      <w:szCs w:val="21"/>
                    </w:rPr>
                    <w:t>、NOx</w:t>
                  </w:r>
                  <w:r>
                    <w:rPr>
                      <w:rFonts w:hint="eastAsia" w:ascii="Times New Roman" w:hAnsi="Times New Roman" w:cs="宋体"/>
                      <w:color w:val="auto"/>
                      <w:sz w:val="21"/>
                      <w:szCs w:val="21"/>
                      <w:lang w:eastAsia="zh-CN"/>
                    </w:rPr>
                    <w:t>、</w:t>
                  </w:r>
                  <w:r>
                    <w:rPr>
                      <w:rFonts w:hint="eastAsia" w:ascii="Times New Roman" w:hAnsi="Times New Roman" w:cs="宋体"/>
                      <w:color w:val="auto"/>
                      <w:sz w:val="21"/>
                      <w:szCs w:val="21"/>
                      <w:lang w:val="en-US" w:eastAsia="zh-CN"/>
                    </w:rPr>
                    <w:t>林格曼黑度</w:t>
                  </w:r>
                </w:p>
              </w:tc>
              <w:tc>
                <w:tcPr>
                  <w:tcW w:w="2530" w:type="dxa"/>
                  <w:vAlign w:val="center"/>
                </w:tcPr>
                <w:p w14:paraId="073C7028">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生物质蒸汽发生器</w:t>
                  </w:r>
                  <w:r>
                    <w:rPr>
                      <w:rFonts w:hint="eastAsia" w:ascii="Times New Roman" w:hAnsi="Times New Roman" w:eastAsia="宋体" w:cs="宋体"/>
                      <w:color w:val="auto"/>
                      <w:sz w:val="21"/>
                      <w:szCs w:val="21"/>
                      <w:lang w:val="en-US" w:eastAsia="zh-CN"/>
                    </w:rPr>
                    <w:t>燃烧</w:t>
                  </w:r>
                  <w:r>
                    <w:rPr>
                      <w:rFonts w:hint="eastAsia" w:ascii="Times New Roman" w:hAnsi="Times New Roman" w:eastAsia="宋体" w:cs="宋体"/>
                      <w:color w:val="auto"/>
                      <w:sz w:val="21"/>
                      <w:szCs w:val="21"/>
                    </w:rPr>
                    <w:t>废气经布袋除尘器处理达标后由一个30m高的排气筒（DA001）排放。</w:t>
                  </w:r>
                </w:p>
              </w:tc>
              <w:tc>
                <w:tcPr>
                  <w:tcW w:w="946" w:type="dxa"/>
                  <w:vAlign w:val="center"/>
                </w:tcPr>
                <w:p w14:paraId="38FC9DD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有组织</w:t>
                  </w:r>
                </w:p>
              </w:tc>
            </w:tr>
            <w:tr w14:paraId="17B7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continue"/>
                  <w:vAlign w:val="center"/>
                </w:tcPr>
                <w:p w14:paraId="3993CFA8">
                  <w:pPr>
                    <w:jc w:val="center"/>
                    <w:rPr>
                      <w:rFonts w:hint="eastAsia" w:ascii="Times New Roman" w:hAnsi="Times New Roman" w:eastAsia="宋体" w:cs="宋体"/>
                      <w:color w:val="auto"/>
                      <w:sz w:val="21"/>
                      <w:szCs w:val="21"/>
                    </w:rPr>
                  </w:pPr>
                </w:p>
              </w:tc>
              <w:tc>
                <w:tcPr>
                  <w:tcW w:w="436" w:type="dxa"/>
                  <w:vMerge w:val="continue"/>
                  <w:textDirection w:val="tbRlV"/>
                  <w:vAlign w:val="center"/>
                </w:tcPr>
                <w:p w14:paraId="4C33B423">
                  <w:pPr>
                    <w:jc w:val="center"/>
                    <w:rPr>
                      <w:rFonts w:hint="eastAsia" w:ascii="Times New Roman" w:hAnsi="Times New Roman" w:eastAsia="宋体" w:cs="宋体"/>
                      <w:color w:val="auto"/>
                      <w:sz w:val="21"/>
                      <w:szCs w:val="21"/>
                    </w:rPr>
                  </w:pPr>
                </w:p>
              </w:tc>
              <w:tc>
                <w:tcPr>
                  <w:tcW w:w="609" w:type="dxa"/>
                  <w:vAlign w:val="center"/>
                </w:tcPr>
                <w:p w14:paraId="66A8B2CC">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颗粒物</w:t>
                  </w:r>
                </w:p>
              </w:tc>
              <w:tc>
                <w:tcPr>
                  <w:tcW w:w="1572" w:type="dxa"/>
                  <w:vAlign w:val="center"/>
                </w:tcPr>
                <w:p w14:paraId="1EC270A3">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生物质燃料储存仓库</w:t>
                  </w:r>
                </w:p>
              </w:tc>
              <w:tc>
                <w:tcPr>
                  <w:tcW w:w="1500" w:type="dxa"/>
                  <w:vAlign w:val="center"/>
                </w:tcPr>
                <w:p w14:paraId="7E433B88">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颗粒物</w:t>
                  </w:r>
                </w:p>
              </w:tc>
              <w:tc>
                <w:tcPr>
                  <w:tcW w:w="2530" w:type="dxa"/>
                  <w:vAlign w:val="center"/>
                </w:tcPr>
                <w:p w14:paraId="0A5C5E37">
                  <w:pPr>
                    <w:jc w:val="center"/>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袋装存储，</w:t>
                  </w:r>
                  <w:r>
                    <w:rPr>
                      <w:rFonts w:hint="eastAsia" w:ascii="Times New Roman" w:hAnsi="Times New Roman" w:eastAsia="宋体" w:cs="宋体"/>
                      <w:color w:val="auto"/>
                      <w:sz w:val="21"/>
                      <w:szCs w:val="21"/>
                      <w:lang w:val="en-US" w:eastAsia="zh-CN"/>
                    </w:rPr>
                    <w:t>厂房隔挡</w:t>
                  </w:r>
                  <w:r>
                    <w:rPr>
                      <w:rFonts w:hint="eastAsia" w:ascii="Times New Roman" w:hAnsi="Times New Roman" w:eastAsia="宋体" w:cs="宋体"/>
                      <w:color w:val="auto"/>
                      <w:sz w:val="21"/>
                      <w:szCs w:val="21"/>
                    </w:rPr>
                    <w:t>，</w:t>
                  </w:r>
                  <w:r>
                    <w:rPr>
                      <w:rFonts w:hint="eastAsia" w:ascii="Times New Roman" w:hAnsi="Times New Roman" w:eastAsia="宋体" w:cs="宋体"/>
                      <w:color w:val="auto"/>
                      <w:sz w:val="21"/>
                      <w:szCs w:val="21"/>
                      <w:lang w:val="en-US" w:eastAsia="zh-CN"/>
                    </w:rPr>
                    <w:t>自然沉降</w:t>
                  </w:r>
                  <w:r>
                    <w:rPr>
                      <w:rFonts w:hint="eastAsia" w:ascii="Times New Roman" w:hAnsi="Times New Roman" w:eastAsia="宋体" w:cs="宋体"/>
                      <w:color w:val="auto"/>
                      <w:sz w:val="21"/>
                      <w:szCs w:val="21"/>
                    </w:rPr>
                    <w:t>后</w:t>
                  </w:r>
                  <w:r>
                    <w:rPr>
                      <w:rFonts w:hint="eastAsia" w:ascii="Times New Roman" w:hAnsi="Times New Roman" w:eastAsia="宋体" w:cs="宋体"/>
                      <w:color w:val="auto"/>
                      <w:sz w:val="21"/>
                      <w:szCs w:val="21"/>
                      <w:lang w:val="en-US" w:eastAsia="zh-CN"/>
                    </w:rPr>
                    <w:t>无组织</w:t>
                  </w:r>
                  <w:r>
                    <w:rPr>
                      <w:rFonts w:hint="eastAsia" w:ascii="Times New Roman" w:hAnsi="Times New Roman" w:eastAsia="宋体" w:cs="宋体"/>
                      <w:color w:val="auto"/>
                      <w:sz w:val="21"/>
                      <w:szCs w:val="21"/>
                    </w:rPr>
                    <w:t>排放。</w:t>
                  </w:r>
                </w:p>
              </w:tc>
              <w:tc>
                <w:tcPr>
                  <w:tcW w:w="946" w:type="dxa"/>
                  <w:vAlign w:val="center"/>
                </w:tcPr>
                <w:p w14:paraId="7C5EF2D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无组织</w:t>
                  </w:r>
                </w:p>
              </w:tc>
            </w:tr>
            <w:tr w14:paraId="409D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trPr>
              <w:tc>
                <w:tcPr>
                  <w:tcW w:w="504" w:type="dxa"/>
                  <w:vMerge w:val="restart"/>
                  <w:vAlign w:val="center"/>
                </w:tcPr>
                <w:p w14:paraId="0E4B5F4D">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2</w:t>
                  </w:r>
                </w:p>
              </w:tc>
              <w:tc>
                <w:tcPr>
                  <w:tcW w:w="436" w:type="dxa"/>
                  <w:vMerge w:val="restart"/>
                  <w:textDirection w:val="tbRlV"/>
                  <w:vAlign w:val="center"/>
                </w:tcPr>
                <w:p w14:paraId="1CD1958C">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w:t>
                  </w:r>
                </w:p>
              </w:tc>
              <w:tc>
                <w:tcPr>
                  <w:tcW w:w="609" w:type="dxa"/>
                  <w:vMerge w:val="restart"/>
                  <w:vAlign w:val="center"/>
                </w:tcPr>
                <w:p w14:paraId="407F2C4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生产</w:t>
                  </w:r>
                  <w:r>
                    <w:rPr>
                      <w:rFonts w:hint="eastAsia" w:ascii="Times New Roman" w:hAnsi="Times New Roman" w:cs="宋体"/>
                      <w:color w:val="auto"/>
                      <w:sz w:val="21"/>
                      <w:szCs w:val="21"/>
                      <w:lang w:val="en-US" w:eastAsia="zh-CN"/>
                    </w:rPr>
                    <w:t>废</w:t>
                  </w:r>
                  <w:r>
                    <w:rPr>
                      <w:rFonts w:hint="eastAsia" w:ascii="Times New Roman" w:hAnsi="Times New Roman" w:eastAsia="宋体" w:cs="宋体"/>
                      <w:color w:val="auto"/>
                      <w:sz w:val="21"/>
                      <w:szCs w:val="21"/>
                    </w:rPr>
                    <w:t>水</w:t>
                  </w:r>
                </w:p>
              </w:tc>
              <w:tc>
                <w:tcPr>
                  <w:tcW w:w="1572" w:type="dxa"/>
                  <w:vAlign w:val="center"/>
                </w:tcPr>
                <w:p w14:paraId="38C0084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洗涤废水</w:t>
                  </w:r>
                </w:p>
              </w:tc>
              <w:tc>
                <w:tcPr>
                  <w:tcW w:w="1500" w:type="dxa"/>
                  <w:vAlign w:val="center"/>
                </w:tcPr>
                <w:p w14:paraId="208FF7C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SS、COD、</w:t>
                  </w:r>
                </w:p>
                <w:p w14:paraId="51FE0C1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BOD</w:t>
                  </w:r>
                  <w:r>
                    <w:rPr>
                      <w:rFonts w:hint="eastAsia" w:ascii="Times New Roman" w:hAnsi="Times New Roman" w:eastAsia="宋体" w:cs="宋体"/>
                      <w:color w:val="auto"/>
                      <w:sz w:val="21"/>
                      <w:szCs w:val="21"/>
                      <w:vertAlign w:val="subscript"/>
                    </w:rPr>
                    <w:t>5</w:t>
                  </w:r>
                  <w:r>
                    <w:rPr>
                      <w:rFonts w:hint="eastAsia" w:ascii="Times New Roman" w:hAnsi="Times New Roman" w:eastAsia="宋体" w:cs="宋体"/>
                      <w:color w:val="auto"/>
                      <w:sz w:val="21"/>
                      <w:szCs w:val="21"/>
                    </w:rPr>
                    <w:t>、氨氮、</w:t>
                  </w:r>
                  <w:r>
                    <w:rPr>
                      <w:rFonts w:hint="eastAsia" w:ascii="Times New Roman" w:hAnsi="Times New Roman" w:cs="宋体"/>
                      <w:color w:val="auto"/>
                      <w:sz w:val="21"/>
                      <w:szCs w:val="21"/>
                      <w:lang w:val="en-US" w:eastAsia="zh-CN"/>
                    </w:rPr>
                    <w:t>总磷、总氮、</w:t>
                  </w:r>
                  <w:r>
                    <w:rPr>
                      <w:rFonts w:hint="eastAsia" w:ascii="Times New Roman" w:hAnsi="Times New Roman" w:eastAsia="宋体" w:cs="宋体"/>
                      <w:color w:val="auto"/>
                      <w:sz w:val="21"/>
                      <w:szCs w:val="21"/>
                    </w:rPr>
                    <w:t>阴</w:t>
                  </w:r>
                </w:p>
                <w:p w14:paraId="7348B5F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离子表面活性剂</w:t>
                  </w:r>
                </w:p>
                <w:p w14:paraId="07B0416F">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（LAS）</w:t>
                  </w:r>
                </w:p>
              </w:tc>
              <w:tc>
                <w:tcPr>
                  <w:tcW w:w="2530" w:type="dxa"/>
                  <w:vAlign w:val="center"/>
                </w:tcPr>
                <w:p w14:paraId="2DA0764A">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洗涤废水经三级沉淀</w:t>
                  </w:r>
                  <w:r>
                    <w:rPr>
                      <w:rFonts w:hint="eastAsia" w:ascii="Times New Roman" w:hAnsi="Times New Roman" w:cs="宋体"/>
                      <w:color w:val="auto"/>
                      <w:sz w:val="21"/>
                      <w:szCs w:val="21"/>
                      <w:lang w:val="en-US" w:eastAsia="zh-CN"/>
                    </w:rPr>
                    <w:t>池（40m³）</w:t>
                  </w:r>
                  <w:r>
                    <w:rPr>
                      <w:rFonts w:hint="eastAsia" w:ascii="Times New Roman" w:hAnsi="Times New Roman" w:eastAsia="宋体" w:cs="宋体"/>
                      <w:color w:val="auto"/>
                      <w:sz w:val="21"/>
                      <w:szCs w:val="21"/>
                      <w:lang w:val="en-US" w:eastAsia="zh-CN"/>
                    </w:rPr>
                    <w:t>处理达标后</w:t>
                  </w:r>
                  <w:r>
                    <w:rPr>
                      <w:rFonts w:hint="eastAsia" w:ascii="Times New Roman" w:hAnsi="Times New Roman" w:cs="宋体"/>
                      <w:color w:val="auto"/>
                      <w:sz w:val="21"/>
                      <w:szCs w:val="21"/>
                      <w:lang w:val="en-US" w:eastAsia="zh-CN"/>
                    </w:rPr>
                    <w:t>经综合废水排放口（DW001）</w:t>
                  </w:r>
                  <w:r>
                    <w:rPr>
                      <w:rFonts w:hint="eastAsia" w:ascii="Times New Roman" w:hAnsi="Times New Roman" w:eastAsia="宋体" w:cs="宋体"/>
                      <w:color w:val="auto"/>
                      <w:sz w:val="21"/>
                      <w:szCs w:val="21"/>
                      <w:lang w:val="en-US" w:eastAsia="zh-CN"/>
                    </w:rPr>
                    <w:t>排入易天线市政污水管网，最终进入寻甸县污水处理厂统一处理。</w:t>
                  </w:r>
                </w:p>
              </w:tc>
              <w:tc>
                <w:tcPr>
                  <w:tcW w:w="946" w:type="dxa"/>
                  <w:vMerge w:val="restart"/>
                  <w:vAlign w:val="center"/>
                </w:tcPr>
                <w:p w14:paraId="53EB7E49">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易天线</w:t>
                  </w:r>
                  <w:r>
                    <w:rPr>
                      <w:rFonts w:hint="eastAsia" w:ascii="Times New Roman" w:hAnsi="Times New Roman" w:eastAsia="宋体" w:cs="宋体"/>
                      <w:color w:val="auto"/>
                      <w:sz w:val="21"/>
                      <w:szCs w:val="21"/>
                    </w:rPr>
                    <w:t>市政污水管网</w:t>
                  </w:r>
                  <w:r>
                    <w:rPr>
                      <w:rFonts w:hint="eastAsia" w:ascii="Times New Roman" w:hAnsi="Times New Roman" w:cs="宋体"/>
                      <w:color w:val="auto"/>
                      <w:sz w:val="21"/>
                      <w:szCs w:val="21"/>
                      <w:lang w:eastAsia="zh-CN"/>
                    </w:rPr>
                    <w:t>，</w:t>
                  </w:r>
                  <w:r>
                    <w:rPr>
                      <w:rFonts w:hint="eastAsia" w:ascii="Times New Roman" w:hAnsi="Times New Roman" w:eastAsia="宋体" w:cs="宋体"/>
                      <w:color w:val="auto"/>
                      <w:sz w:val="21"/>
                      <w:szCs w:val="21"/>
                      <w:lang w:val="en-US" w:eastAsia="zh-CN"/>
                    </w:rPr>
                    <w:t>最终进入寻甸县污水处理厂统一处理</w:t>
                  </w:r>
                </w:p>
              </w:tc>
            </w:tr>
            <w:tr w14:paraId="614D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5" w:hRule="atLeast"/>
              </w:trPr>
              <w:tc>
                <w:tcPr>
                  <w:tcW w:w="504" w:type="dxa"/>
                  <w:vMerge w:val="continue"/>
                  <w:vAlign w:val="center"/>
                </w:tcPr>
                <w:p w14:paraId="5FD1C126">
                  <w:pPr>
                    <w:jc w:val="center"/>
                    <w:rPr>
                      <w:rFonts w:hint="eastAsia" w:ascii="Times New Roman" w:hAnsi="Times New Roman" w:eastAsia="宋体" w:cs="宋体"/>
                      <w:color w:val="auto"/>
                      <w:sz w:val="21"/>
                      <w:szCs w:val="21"/>
                    </w:rPr>
                  </w:pPr>
                </w:p>
              </w:tc>
              <w:tc>
                <w:tcPr>
                  <w:tcW w:w="436" w:type="dxa"/>
                  <w:vMerge w:val="continue"/>
                  <w:textDirection w:val="tbRlV"/>
                  <w:vAlign w:val="center"/>
                </w:tcPr>
                <w:p w14:paraId="026FDA56">
                  <w:pPr>
                    <w:jc w:val="center"/>
                    <w:rPr>
                      <w:rFonts w:hint="eastAsia" w:ascii="Times New Roman" w:hAnsi="Times New Roman" w:eastAsia="宋体" w:cs="宋体"/>
                      <w:color w:val="auto"/>
                      <w:sz w:val="21"/>
                      <w:szCs w:val="21"/>
                    </w:rPr>
                  </w:pPr>
                </w:p>
              </w:tc>
              <w:tc>
                <w:tcPr>
                  <w:tcW w:w="609" w:type="dxa"/>
                  <w:vMerge w:val="continue"/>
                  <w:vAlign w:val="center"/>
                </w:tcPr>
                <w:p w14:paraId="4D81D45C">
                  <w:pPr>
                    <w:jc w:val="center"/>
                    <w:rPr>
                      <w:rFonts w:hint="eastAsia" w:ascii="Times New Roman" w:hAnsi="Times New Roman" w:eastAsia="宋体" w:cs="宋体"/>
                      <w:color w:val="auto"/>
                      <w:sz w:val="21"/>
                      <w:szCs w:val="21"/>
                    </w:rPr>
                  </w:pPr>
                </w:p>
              </w:tc>
              <w:tc>
                <w:tcPr>
                  <w:tcW w:w="1572" w:type="dxa"/>
                  <w:vAlign w:val="center"/>
                </w:tcPr>
                <w:p w14:paraId="0D20F6D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纯水制备废水、锅炉排污水</w:t>
                  </w:r>
                </w:p>
                <w:p w14:paraId="031AA982">
                  <w:pPr>
                    <w:jc w:val="center"/>
                    <w:rPr>
                      <w:rFonts w:hint="eastAsia" w:ascii="Times New Roman" w:hAnsi="Times New Roman" w:eastAsia="宋体" w:cs="宋体"/>
                      <w:color w:val="auto"/>
                      <w:sz w:val="21"/>
                      <w:szCs w:val="21"/>
                    </w:rPr>
                  </w:pPr>
                </w:p>
              </w:tc>
              <w:tc>
                <w:tcPr>
                  <w:tcW w:w="1500" w:type="dxa"/>
                  <w:vAlign w:val="center"/>
                </w:tcPr>
                <w:p w14:paraId="1FC5139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含盐类物质（Ca</w:t>
                  </w:r>
                  <w:r>
                    <w:rPr>
                      <w:rFonts w:hint="eastAsia" w:ascii="Times New Roman" w:hAnsi="Times New Roman" w:eastAsia="宋体" w:cs="宋体"/>
                      <w:color w:val="auto"/>
                      <w:sz w:val="21"/>
                      <w:szCs w:val="21"/>
                      <w:vertAlign w:val="superscript"/>
                    </w:rPr>
                    <w:t>2+</w:t>
                  </w:r>
                  <w:r>
                    <w:rPr>
                      <w:rFonts w:hint="eastAsia" w:ascii="Times New Roman" w:hAnsi="Times New Roman" w:eastAsia="宋体" w:cs="宋体"/>
                      <w:color w:val="auto"/>
                      <w:sz w:val="21"/>
                      <w:szCs w:val="21"/>
                    </w:rPr>
                    <w:t>、Mg</w:t>
                  </w:r>
                  <w:r>
                    <w:rPr>
                      <w:rFonts w:hint="eastAsia" w:ascii="Times New Roman" w:hAnsi="Times New Roman" w:eastAsia="宋体" w:cs="宋体"/>
                      <w:color w:val="auto"/>
                      <w:sz w:val="21"/>
                      <w:szCs w:val="21"/>
                      <w:vertAlign w:val="superscript"/>
                    </w:rPr>
                    <w:t>2+</w:t>
                  </w:r>
                  <w:r>
                    <w:rPr>
                      <w:rFonts w:hint="eastAsia" w:ascii="Times New Roman" w:hAnsi="Times New Roman" w:eastAsia="宋体" w:cs="宋体"/>
                      <w:color w:val="auto"/>
                      <w:sz w:val="21"/>
                      <w:szCs w:val="21"/>
                    </w:rPr>
                    <w:t>）</w:t>
                  </w:r>
                </w:p>
              </w:tc>
              <w:tc>
                <w:tcPr>
                  <w:tcW w:w="2530" w:type="dxa"/>
                  <w:vAlign w:val="center"/>
                </w:tcPr>
                <w:p w14:paraId="6215339F">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软水制备废水汇同洗涤废水一起排入三级沉淀</w:t>
                  </w:r>
                  <w:r>
                    <w:rPr>
                      <w:rFonts w:hint="eastAsia" w:ascii="Times New Roman" w:hAnsi="Times New Roman" w:cs="宋体"/>
                      <w:color w:val="auto"/>
                      <w:sz w:val="21"/>
                      <w:szCs w:val="21"/>
                      <w:lang w:val="en-US" w:eastAsia="zh-CN"/>
                    </w:rPr>
                    <w:t>池（40m³）</w:t>
                  </w:r>
                  <w:r>
                    <w:rPr>
                      <w:rFonts w:hint="eastAsia" w:ascii="Times New Roman" w:hAnsi="Times New Roman" w:eastAsia="宋体" w:cs="宋体"/>
                      <w:color w:val="auto"/>
                      <w:sz w:val="21"/>
                      <w:szCs w:val="21"/>
                      <w:lang w:val="en-US" w:eastAsia="zh-CN"/>
                    </w:rPr>
                    <w:t>处理达标后</w:t>
                  </w:r>
                  <w:r>
                    <w:rPr>
                      <w:rFonts w:hint="eastAsia" w:ascii="Times New Roman" w:hAnsi="Times New Roman" w:cs="宋体"/>
                      <w:color w:val="auto"/>
                      <w:sz w:val="21"/>
                      <w:szCs w:val="21"/>
                      <w:lang w:val="en-US" w:eastAsia="zh-CN"/>
                    </w:rPr>
                    <w:t>经综合废水排放口（DW001）</w:t>
                  </w:r>
                  <w:r>
                    <w:rPr>
                      <w:rFonts w:hint="eastAsia" w:ascii="Times New Roman" w:hAnsi="Times New Roman" w:eastAsia="宋体" w:cs="宋体"/>
                      <w:color w:val="auto"/>
                      <w:sz w:val="21"/>
                      <w:szCs w:val="21"/>
                      <w:lang w:val="en-US" w:eastAsia="zh-CN"/>
                    </w:rPr>
                    <w:t>排入易天线市政污水管网，最终进入寻甸县污水处理厂统一处理。</w:t>
                  </w:r>
                </w:p>
              </w:tc>
              <w:tc>
                <w:tcPr>
                  <w:tcW w:w="946" w:type="dxa"/>
                  <w:vMerge w:val="continue"/>
                  <w:vAlign w:val="center"/>
                </w:tcPr>
                <w:p w14:paraId="4E2F6594">
                  <w:pPr>
                    <w:jc w:val="center"/>
                    <w:rPr>
                      <w:rFonts w:hint="eastAsia" w:ascii="Times New Roman" w:hAnsi="Times New Roman" w:eastAsia="宋体" w:cs="宋体"/>
                      <w:color w:val="auto"/>
                      <w:sz w:val="21"/>
                      <w:szCs w:val="21"/>
                    </w:rPr>
                  </w:pPr>
                </w:p>
              </w:tc>
            </w:tr>
            <w:tr w14:paraId="45B2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trPr>
              <w:tc>
                <w:tcPr>
                  <w:tcW w:w="504" w:type="dxa"/>
                  <w:vMerge w:val="continue"/>
                  <w:vAlign w:val="center"/>
                </w:tcPr>
                <w:p w14:paraId="56344E6D">
                  <w:pPr>
                    <w:jc w:val="center"/>
                    <w:rPr>
                      <w:rFonts w:hint="eastAsia" w:ascii="Times New Roman" w:hAnsi="Times New Roman" w:eastAsia="宋体" w:cs="宋体"/>
                      <w:color w:val="auto"/>
                      <w:sz w:val="21"/>
                      <w:szCs w:val="21"/>
                    </w:rPr>
                  </w:pPr>
                </w:p>
              </w:tc>
              <w:tc>
                <w:tcPr>
                  <w:tcW w:w="436" w:type="dxa"/>
                  <w:vMerge w:val="continue"/>
                  <w:textDirection w:val="tbRlV"/>
                  <w:vAlign w:val="center"/>
                </w:tcPr>
                <w:p w14:paraId="1CC80CB3">
                  <w:pPr>
                    <w:jc w:val="center"/>
                    <w:rPr>
                      <w:rFonts w:hint="eastAsia" w:ascii="Times New Roman" w:hAnsi="Times New Roman" w:eastAsia="宋体" w:cs="宋体"/>
                      <w:color w:val="auto"/>
                      <w:sz w:val="21"/>
                      <w:szCs w:val="21"/>
                    </w:rPr>
                  </w:pPr>
                </w:p>
              </w:tc>
              <w:tc>
                <w:tcPr>
                  <w:tcW w:w="609" w:type="dxa"/>
                  <w:vAlign w:val="center"/>
                </w:tcPr>
                <w:p w14:paraId="4CF7118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生活</w:t>
                  </w:r>
                  <w:r>
                    <w:rPr>
                      <w:rFonts w:hint="eastAsia" w:ascii="Times New Roman" w:hAnsi="Times New Roman" w:cs="宋体"/>
                      <w:color w:val="auto"/>
                      <w:sz w:val="21"/>
                      <w:szCs w:val="21"/>
                      <w:lang w:val="en-US" w:eastAsia="zh-CN"/>
                    </w:rPr>
                    <w:t>废</w:t>
                  </w:r>
                  <w:r>
                    <w:rPr>
                      <w:rFonts w:hint="eastAsia" w:ascii="Times New Roman" w:hAnsi="Times New Roman" w:eastAsia="宋体" w:cs="宋体"/>
                      <w:color w:val="auto"/>
                      <w:sz w:val="21"/>
                      <w:szCs w:val="21"/>
                    </w:rPr>
                    <w:t>水</w:t>
                  </w:r>
                </w:p>
              </w:tc>
              <w:tc>
                <w:tcPr>
                  <w:tcW w:w="1572" w:type="dxa"/>
                  <w:vAlign w:val="center"/>
                </w:tcPr>
                <w:p w14:paraId="053DA313">
                  <w:pPr>
                    <w:jc w:val="center"/>
                    <w:rPr>
                      <w:rFonts w:hint="eastAsia" w:ascii="Times New Roman" w:hAnsi="Times New Roman" w:eastAsia="宋体" w:cs="宋体"/>
                      <w:color w:val="auto"/>
                      <w:sz w:val="21"/>
                      <w:szCs w:val="21"/>
                      <w:lang w:eastAsia="zh-CN"/>
                    </w:rPr>
                  </w:pPr>
                  <w:r>
                    <w:rPr>
                      <w:rFonts w:hint="eastAsia" w:ascii="Times New Roman" w:hAnsi="Times New Roman" w:cs="宋体"/>
                      <w:color w:val="auto"/>
                      <w:sz w:val="21"/>
                      <w:szCs w:val="21"/>
                      <w:lang w:val="en-US" w:eastAsia="zh-CN"/>
                    </w:rPr>
                    <w:t>生活废水</w:t>
                  </w:r>
                </w:p>
              </w:tc>
              <w:tc>
                <w:tcPr>
                  <w:tcW w:w="1500" w:type="dxa"/>
                  <w:vAlign w:val="center"/>
                </w:tcPr>
                <w:p w14:paraId="72A21D45">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SS、COD、</w:t>
                  </w:r>
                </w:p>
                <w:p w14:paraId="2EB491C4">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BOD5、氨氮</w:t>
                  </w:r>
                </w:p>
              </w:tc>
              <w:tc>
                <w:tcPr>
                  <w:tcW w:w="2530" w:type="dxa"/>
                  <w:vAlign w:val="center"/>
                </w:tcPr>
                <w:p w14:paraId="3817AF2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生活污水经化粪池</w:t>
                  </w:r>
                  <w:r>
                    <w:rPr>
                      <w:rFonts w:hint="eastAsia" w:ascii="Times New Roman" w:hAnsi="Times New Roman" w:cs="宋体"/>
                      <w:color w:val="auto"/>
                      <w:sz w:val="21"/>
                      <w:szCs w:val="21"/>
                      <w:lang w:val="en-US" w:eastAsia="zh-CN"/>
                    </w:rPr>
                    <w:t>（2m³）</w:t>
                  </w:r>
                  <w:r>
                    <w:rPr>
                      <w:rFonts w:hint="eastAsia" w:ascii="Times New Roman" w:hAnsi="Times New Roman" w:eastAsia="宋体" w:cs="宋体"/>
                      <w:color w:val="auto"/>
                      <w:sz w:val="21"/>
                      <w:szCs w:val="21"/>
                      <w:lang w:val="en-US" w:eastAsia="zh-CN"/>
                    </w:rPr>
                    <w:t>处理后</w:t>
                  </w:r>
                  <w:r>
                    <w:rPr>
                      <w:rFonts w:hint="eastAsia" w:ascii="Times New Roman" w:hAnsi="Times New Roman" w:cs="宋体"/>
                      <w:color w:val="auto"/>
                      <w:sz w:val="21"/>
                      <w:szCs w:val="21"/>
                      <w:lang w:val="en-US" w:eastAsia="zh-CN"/>
                    </w:rPr>
                    <w:t>经综合废水排放口（DW001）</w:t>
                  </w:r>
                  <w:r>
                    <w:rPr>
                      <w:rFonts w:hint="eastAsia" w:ascii="Times New Roman" w:hAnsi="Times New Roman" w:eastAsia="宋体" w:cs="宋体"/>
                      <w:color w:val="auto"/>
                      <w:sz w:val="21"/>
                      <w:szCs w:val="21"/>
                      <w:lang w:val="en-US" w:eastAsia="zh-CN"/>
                    </w:rPr>
                    <w:t>排入易天线市政污水管网，最终进入寻甸县污水处理厂统一处理。</w:t>
                  </w:r>
                </w:p>
              </w:tc>
              <w:tc>
                <w:tcPr>
                  <w:tcW w:w="946" w:type="dxa"/>
                  <w:vMerge w:val="continue"/>
                  <w:vAlign w:val="center"/>
                </w:tcPr>
                <w:p w14:paraId="1DCA0325">
                  <w:pPr>
                    <w:jc w:val="center"/>
                    <w:rPr>
                      <w:rFonts w:hint="eastAsia" w:ascii="Times New Roman" w:hAnsi="Times New Roman" w:eastAsia="宋体" w:cs="宋体"/>
                      <w:color w:val="auto"/>
                      <w:sz w:val="21"/>
                      <w:szCs w:val="21"/>
                    </w:rPr>
                  </w:pPr>
                </w:p>
              </w:tc>
            </w:tr>
            <w:tr w14:paraId="0382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trPr>
              <w:tc>
                <w:tcPr>
                  <w:tcW w:w="504" w:type="dxa"/>
                  <w:vAlign w:val="center"/>
                </w:tcPr>
                <w:p w14:paraId="6B9D215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w:t>
                  </w:r>
                </w:p>
              </w:tc>
              <w:tc>
                <w:tcPr>
                  <w:tcW w:w="436" w:type="dxa"/>
                  <w:textDirection w:val="tbRlV"/>
                  <w:vAlign w:val="center"/>
                </w:tcPr>
                <w:p w14:paraId="46876591">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噪声</w:t>
                  </w:r>
                </w:p>
              </w:tc>
              <w:tc>
                <w:tcPr>
                  <w:tcW w:w="609" w:type="dxa"/>
                  <w:vAlign w:val="center"/>
                </w:tcPr>
                <w:p w14:paraId="7C893FD3">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设备</w:t>
                  </w:r>
                </w:p>
              </w:tc>
              <w:tc>
                <w:tcPr>
                  <w:tcW w:w="1572" w:type="dxa"/>
                  <w:vAlign w:val="center"/>
                </w:tcPr>
                <w:p w14:paraId="306F213B">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洗</w:t>
                  </w:r>
                  <w:r>
                    <w:rPr>
                      <w:rFonts w:hint="eastAsia" w:ascii="Times New Roman" w:hAnsi="Times New Roman" w:cs="宋体"/>
                      <w:color w:val="auto"/>
                      <w:sz w:val="21"/>
                      <w:szCs w:val="21"/>
                      <w:lang w:val="en-US" w:eastAsia="zh-CN"/>
                    </w:rPr>
                    <w:t>脱</w:t>
                  </w:r>
                  <w:r>
                    <w:rPr>
                      <w:rFonts w:hint="eastAsia" w:ascii="Times New Roman" w:hAnsi="Times New Roman" w:eastAsia="宋体" w:cs="宋体"/>
                      <w:color w:val="auto"/>
                      <w:sz w:val="21"/>
                      <w:szCs w:val="21"/>
                    </w:rPr>
                    <w:t>机、烘干机、</w:t>
                  </w:r>
                </w:p>
                <w:p w14:paraId="02783F7E">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烫平机、折叠机</w:t>
                  </w:r>
                </w:p>
                <w:p w14:paraId="6E9F3A89">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等设备噪声</w:t>
                  </w:r>
                </w:p>
              </w:tc>
              <w:tc>
                <w:tcPr>
                  <w:tcW w:w="1500" w:type="dxa"/>
                  <w:vAlign w:val="center"/>
                </w:tcPr>
                <w:p w14:paraId="38D12B7C">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噪声</w:t>
                  </w:r>
                </w:p>
              </w:tc>
              <w:tc>
                <w:tcPr>
                  <w:tcW w:w="2530" w:type="dxa"/>
                  <w:vAlign w:val="center"/>
                </w:tcPr>
                <w:p w14:paraId="54148341">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选用低噪声设备、减振、厂房隔声及合理布局。</w:t>
                  </w:r>
                </w:p>
              </w:tc>
              <w:tc>
                <w:tcPr>
                  <w:tcW w:w="946" w:type="dxa"/>
                  <w:vAlign w:val="center"/>
                </w:tcPr>
                <w:p w14:paraId="60504C0A">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r>
            <w:tr w14:paraId="22D0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restart"/>
                  <w:vAlign w:val="center"/>
                </w:tcPr>
                <w:p w14:paraId="429E4C5F">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4</w:t>
                  </w:r>
                </w:p>
              </w:tc>
              <w:tc>
                <w:tcPr>
                  <w:tcW w:w="436" w:type="dxa"/>
                  <w:vMerge w:val="restart"/>
                  <w:textDirection w:val="tbRlV"/>
                  <w:vAlign w:val="center"/>
                </w:tcPr>
                <w:p w14:paraId="71C874E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固废</w:t>
                  </w:r>
                </w:p>
              </w:tc>
              <w:tc>
                <w:tcPr>
                  <w:tcW w:w="609" w:type="dxa"/>
                  <w:vMerge w:val="restart"/>
                  <w:vAlign w:val="center"/>
                </w:tcPr>
                <w:p w14:paraId="4FE32EAC">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一般固废</w:t>
                  </w:r>
                </w:p>
              </w:tc>
              <w:tc>
                <w:tcPr>
                  <w:tcW w:w="1572" w:type="dxa"/>
                  <w:vAlign w:val="center"/>
                </w:tcPr>
                <w:p w14:paraId="6D3C3CF8">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生产过程</w:t>
                  </w:r>
                </w:p>
              </w:tc>
              <w:tc>
                <w:tcPr>
                  <w:tcW w:w="1500" w:type="dxa"/>
                  <w:vAlign w:val="center"/>
                </w:tcPr>
                <w:p w14:paraId="58D7B50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废包装袋</w:t>
                  </w:r>
                </w:p>
              </w:tc>
              <w:tc>
                <w:tcPr>
                  <w:tcW w:w="2530" w:type="dxa"/>
                  <w:vAlign w:val="center"/>
                </w:tcPr>
                <w:p w14:paraId="0993371B">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收集后</w:t>
                  </w:r>
                  <w:r>
                    <w:rPr>
                      <w:rFonts w:hint="eastAsia" w:ascii="Times New Roman" w:hAnsi="Times New Roman" w:eastAsia="宋体" w:cs="宋体"/>
                      <w:color w:val="auto"/>
                      <w:sz w:val="21"/>
                      <w:szCs w:val="21"/>
                      <w:lang w:val="en-US" w:eastAsia="zh-CN"/>
                    </w:rPr>
                    <w:t>暂存于一般固废间，</w:t>
                  </w:r>
                  <w:r>
                    <w:rPr>
                      <w:rFonts w:hint="default" w:ascii="Times New Roman" w:hAnsi="Times New Roman" w:eastAsia="宋体" w:cs="宋体"/>
                      <w:color w:val="auto"/>
                      <w:sz w:val="21"/>
                      <w:szCs w:val="21"/>
                      <w:lang w:val="en-US" w:eastAsia="zh-CN"/>
                    </w:rPr>
                    <w:t>外售</w:t>
                  </w:r>
                  <w:r>
                    <w:rPr>
                      <w:rFonts w:hint="eastAsia" w:ascii="Times New Roman" w:hAnsi="Times New Roman" w:eastAsia="宋体" w:cs="宋体"/>
                      <w:color w:val="auto"/>
                      <w:sz w:val="21"/>
                      <w:szCs w:val="21"/>
                      <w:lang w:val="en-US" w:eastAsia="zh-CN"/>
                    </w:rPr>
                    <w:t>废品收购站</w:t>
                  </w:r>
                </w:p>
              </w:tc>
              <w:tc>
                <w:tcPr>
                  <w:tcW w:w="946" w:type="dxa"/>
                  <w:vMerge w:val="restart"/>
                  <w:vAlign w:val="center"/>
                </w:tcPr>
                <w:p w14:paraId="1B8ADAC7">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100%处置率</w:t>
                  </w:r>
                </w:p>
              </w:tc>
            </w:tr>
            <w:tr w14:paraId="5159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continue"/>
                  <w:vAlign w:val="center"/>
                </w:tcPr>
                <w:p w14:paraId="61A33A44">
                  <w:pPr>
                    <w:jc w:val="center"/>
                    <w:rPr>
                      <w:rFonts w:hint="eastAsia" w:ascii="Times New Roman" w:hAnsi="Times New Roman" w:eastAsia="宋体" w:cs="宋体"/>
                      <w:color w:val="auto"/>
                      <w:sz w:val="21"/>
                      <w:szCs w:val="21"/>
                    </w:rPr>
                  </w:pPr>
                </w:p>
              </w:tc>
              <w:tc>
                <w:tcPr>
                  <w:tcW w:w="436" w:type="dxa"/>
                  <w:vMerge w:val="continue"/>
                  <w:textDirection w:val="tbRlV"/>
                  <w:vAlign w:val="center"/>
                </w:tcPr>
                <w:p w14:paraId="6112F3AD">
                  <w:pPr>
                    <w:jc w:val="center"/>
                    <w:rPr>
                      <w:rFonts w:hint="eastAsia" w:ascii="Times New Roman" w:hAnsi="Times New Roman" w:eastAsia="宋体" w:cs="宋体"/>
                      <w:color w:val="auto"/>
                      <w:sz w:val="21"/>
                      <w:szCs w:val="21"/>
                    </w:rPr>
                  </w:pPr>
                </w:p>
              </w:tc>
              <w:tc>
                <w:tcPr>
                  <w:tcW w:w="609" w:type="dxa"/>
                  <w:vMerge w:val="continue"/>
                  <w:vAlign w:val="center"/>
                </w:tcPr>
                <w:p w14:paraId="147D7F90">
                  <w:pPr>
                    <w:jc w:val="center"/>
                    <w:rPr>
                      <w:rFonts w:hint="eastAsia" w:ascii="Times New Roman" w:hAnsi="Times New Roman" w:eastAsia="宋体" w:cs="宋体"/>
                      <w:color w:val="auto"/>
                      <w:sz w:val="21"/>
                      <w:szCs w:val="21"/>
                      <w:lang w:val="en-US" w:eastAsia="zh-CN"/>
                    </w:rPr>
                  </w:pPr>
                </w:p>
              </w:tc>
              <w:tc>
                <w:tcPr>
                  <w:tcW w:w="1572" w:type="dxa"/>
                  <w:vAlign w:val="center"/>
                </w:tcPr>
                <w:p w14:paraId="424ED4D4">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生物质蒸汽发生器</w:t>
                  </w:r>
                </w:p>
              </w:tc>
              <w:tc>
                <w:tcPr>
                  <w:tcW w:w="1500" w:type="dxa"/>
                  <w:vAlign w:val="center"/>
                </w:tcPr>
                <w:p w14:paraId="66770019">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生物质燃烧灰渣</w:t>
                  </w:r>
                </w:p>
              </w:tc>
              <w:tc>
                <w:tcPr>
                  <w:tcW w:w="2530" w:type="dxa"/>
                  <w:vAlign w:val="center"/>
                </w:tcPr>
                <w:p w14:paraId="6562297F">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经</w:t>
                  </w:r>
                  <w:r>
                    <w:rPr>
                      <w:rFonts w:hint="eastAsia" w:ascii="Times New Roman" w:hAnsi="Times New Roman" w:cs="宋体"/>
                      <w:color w:val="auto"/>
                      <w:sz w:val="21"/>
                      <w:szCs w:val="21"/>
                      <w:lang w:val="en-US" w:eastAsia="zh-CN"/>
                    </w:rPr>
                    <w:t>编织袋</w:t>
                  </w:r>
                  <w:r>
                    <w:rPr>
                      <w:rFonts w:hint="default" w:ascii="Times New Roman" w:hAnsi="Times New Roman" w:eastAsia="宋体" w:cs="宋体"/>
                      <w:color w:val="auto"/>
                      <w:sz w:val="21"/>
                      <w:szCs w:val="21"/>
                      <w:lang w:val="en-US" w:eastAsia="zh-CN"/>
                    </w:rPr>
                    <w:t>统一收集后</w:t>
                  </w:r>
                  <w:r>
                    <w:rPr>
                      <w:rFonts w:hint="eastAsia" w:ascii="Times New Roman" w:hAnsi="Times New Roman" w:eastAsia="宋体" w:cs="宋体"/>
                      <w:color w:val="auto"/>
                      <w:sz w:val="21"/>
                      <w:szCs w:val="21"/>
                      <w:lang w:val="en-US" w:eastAsia="zh-CN"/>
                    </w:rPr>
                    <w:t>暂存于一般固废间，</w:t>
                  </w:r>
                  <w:r>
                    <w:rPr>
                      <w:rFonts w:hint="default" w:ascii="Times New Roman" w:hAnsi="Times New Roman" w:eastAsia="宋体" w:cs="宋体"/>
                      <w:color w:val="auto"/>
                      <w:sz w:val="21"/>
                      <w:szCs w:val="21"/>
                      <w:lang w:val="en-US" w:eastAsia="zh-CN"/>
                    </w:rPr>
                    <w:t>作为肥料给附近村民农田施用</w:t>
                  </w:r>
                </w:p>
              </w:tc>
              <w:tc>
                <w:tcPr>
                  <w:tcW w:w="946" w:type="dxa"/>
                  <w:vMerge w:val="continue"/>
                  <w:vAlign w:val="center"/>
                </w:tcPr>
                <w:p w14:paraId="7BC9DBF4">
                  <w:pPr>
                    <w:jc w:val="center"/>
                    <w:rPr>
                      <w:rFonts w:hint="eastAsia" w:ascii="Times New Roman" w:hAnsi="Times New Roman" w:eastAsia="宋体" w:cs="宋体"/>
                      <w:color w:val="auto"/>
                      <w:sz w:val="21"/>
                      <w:szCs w:val="21"/>
                      <w:lang w:val="en-US" w:eastAsia="zh-CN"/>
                    </w:rPr>
                  </w:pPr>
                </w:p>
              </w:tc>
            </w:tr>
            <w:tr w14:paraId="0BE4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continue"/>
                  <w:vAlign w:val="center"/>
                </w:tcPr>
                <w:p w14:paraId="7C1DC43E">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643FD7BB">
                  <w:pPr>
                    <w:jc w:val="center"/>
                    <w:rPr>
                      <w:rFonts w:hint="eastAsia" w:ascii="Times New Roman" w:hAnsi="Times New Roman" w:eastAsia="宋体" w:cs="宋体"/>
                      <w:color w:val="auto"/>
                      <w:sz w:val="21"/>
                      <w:szCs w:val="21"/>
                      <w:lang w:val="en-US" w:eastAsia="zh-CN"/>
                    </w:rPr>
                  </w:pPr>
                </w:p>
              </w:tc>
              <w:tc>
                <w:tcPr>
                  <w:tcW w:w="609" w:type="dxa"/>
                  <w:vMerge w:val="continue"/>
                  <w:vAlign w:val="center"/>
                </w:tcPr>
                <w:p w14:paraId="5FE9C48D">
                  <w:pPr>
                    <w:jc w:val="center"/>
                    <w:rPr>
                      <w:rFonts w:hint="eastAsia" w:ascii="Times New Roman" w:hAnsi="Times New Roman" w:eastAsia="宋体" w:cs="宋体"/>
                      <w:color w:val="auto"/>
                      <w:sz w:val="21"/>
                      <w:szCs w:val="21"/>
                      <w:lang w:val="en-US" w:eastAsia="zh-CN"/>
                    </w:rPr>
                  </w:pPr>
                </w:p>
              </w:tc>
              <w:tc>
                <w:tcPr>
                  <w:tcW w:w="1572" w:type="dxa"/>
                  <w:vAlign w:val="center"/>
                </w:tcPr>
                <w:p w14:paraId="317F99E7">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锅炉</w:t>
                  </w:r>
                  <w:r>
                    <w:rPr>
                      <w:rFonts w:hint="default" w:ascii="Times New Roman" w:hAnsi="Times New Roman" w:eastAsia="宋体" w:cs="宋体"/>
                      <w:color w:val="auto"/>
                      <w:sz w:val="21"/>
                      <w:szCs w:val="21"/>
                      <w:lang w:val="en-US" w:eastAsia="zh-CN"/>
                    </w:rPr>
                    <w:t>废气治理设施</w:t>
                  </w:r>
                </w:p>
              </w:tc>
              <w:tc>
                <w:tcPr>
                  <w:tcW w:w="1500" w:type="dxa"/>
                  <w:vAlign w:val="center"/>
                </w:tcPr>
                <w:p w14:paraId="1D8F61C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布袋除尘器收尘灰</w:t>
                  </w:r>
                </w:p>
              </w:tc>
              <w:tc>
                <w:tcPr>
                  <w:tcW w:w="2530" w:type="dxa"/>
                  <w:vAlign w:val="center"/>
                </w:tcPr>
                <w:p w14:paraId="5C9EF990">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经</w:t>
                  </w:r>
                  <w:r>
                    <w:rPr>
                      <w:rFonts w:hint="eastAsia" w:ascii="Times New Roman" w:hAnsi="Times New Roman" w:cs="宋体"/>
                      <w:color w:val="auto"/>
                      <w:sz w:val="21"/>
                      <w:szCs w:val="21"/>
                      <w:lang w:val="en-US" w:eastAsia="zh-CN"/>
                    </w:rPr>
                    <w:t>编织袋</w:t>
                  </w:r>
                  <w:r>
                    <w:rPr>
                      <w:rFonts w:hint="default" w:ascii="Times New Roman" w:hAnsi="Times New Roman" w:eastAsia="宋体" w:cs="宋体"/>
                      <w:color w:val="auto"/>
                      <w:sz w:val="21"/>
                      <w:szCs w:val="21"/>
                      <w:lang w:val="en-US" w:eastAsia="zh-CN"/>
                    </w:rPr>
                    <w:t>统一收集后</w:t>
                  </w:r>
                  <w:r>
                    <w:rPr>
                      <w:rFonts w:hint="eastAsia" w:ascii="Times New Roman" w:hAnsi="Times New Roman" w:eastAsia="宋体" w:cs="宋体"/>
                      <w:color w:val="auto"/>
                      <w:sz w:val="21"/>
                      <w:szCs w:val="21"/>
                      <w:lang w:val="en-US" w:eastAsia="zh-CN"/>
                    </w:rPr>
                    <w:t>暂存于一般固废间，</w:t>
                  </w:r>
                  <w:r>
                    <w:rPr>
                      <w:rFonts w:hint="default" w:ascii="Times New Roman" w:hAnsi="Times New Roman" w:eastAsia="宋体" w:cs="宋体"/>
                      <w:color w:val="auto"/>
                      <w:sz w:val="21"/>
                      <w:szCs w:val="21"/>
                      <w:lang w:val="en-US" w:eastAsia="zh-CN"/>
                    </w:rPr>
                    <w:t>作为肥料给附近村民农田施用</w:t>
                  </w:r>
                </w:p>
              </w:tc>
              <w:tc>
                <w:tcPr>
                  <w:tcW w:w="946" w:type="dxa"/>
                  <w:vMerge w:val="continue"/>
                  <w:vAlign w:val="center"/>
                </w:tcPr>
                <w:p w14:paraId="321B3B8B">
                  <w:pPr>
                    <w:jc w:val="center"/>
                    <w:rPr>
                      <w:rFonts w:hint="eastAsia" w:ascii="Times New Roman" w:hAnsi="Times New Roman" w:eastAsia="宋体" w:cs="宋体"/>
                      <w:color w:val="auto"/>
                      <w:sz w:val="21"/>
                      <w:szCs w:val="21"/>
                      <w:lang w:val="en-US" w:eastAsia="zh-CN"/>
                    </w:rPr>
                  </w:pPr>
                </w:p>
              </w:tc>
            </w:tr>
            <w:tr w14:paraId="0D7A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504" w:type="dxa"/>
                  <w:vMerge w:val="continue"/>
                  <w:vAlign w:val="center"/>
                </w:tcPr>
                <w:p w14:paraId="74850115">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66ED49C3">
                  <w:pPr>
                    <w:jc w:val="center"/>
                    <w:rPr>
                      <w:rFonts w:hint="eastAsia" w:ascii="Times New Roman" w:hAnsi="Times New Roman" w:eastAsia="宋体" w:cs="宋体"/>
                      <w:color w:val="auto"/>
                      <w:sz w:val="21"/>
                      <w:szCs w:val="21"/>
                      <w:lang w:val="en-US" w:eastAsia="zh-CN"/>
                    </w:rPr>
                  </w:pPr>
                </w:p>
              </w:tc>
              <w:tc>
                <w:tcPr>
                  <w:tcW w:w="609" w:type="dxa"/>
                  <w:vMerge w:val="continue"/>
                  <w:vAlign w:val="center"/>
                </w:tcPr>
                <w:p w14:paraId="53B6B979">
                  <w:pPr>
                    <w:jc w:val="center"/>
                    <w:rPr>
                      <w:rFonts w:hint="eastAsia" w:ascii="Times New Roman" w:hAnsi="Times New Roman" w:eastAsia="宋体" w:cs="宋体"/>
                      <w:color w:val="auto"/>
                      <w:sz w:val="21"/>
                      <w:szCs w:val="21"/>
                      <w:lang w:val="en-US" w:eastAsia="zh-CN"/>
                    </w:rPr>
                  </w:pPr>
                </w:p>
              </w:tc>
              <w:tc>
                <w:tcPr>
                  <w:tcW w:w="1572" w:type="dxa"/>
                  <w:vAlign w:val="center"/>
                </w:tcPr>
                <w:p w14:paraId="761DDB70">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软水制备</w:t>
                  </w:r>
                </w:p>
              </w:tc>
              <w:tc>
                <w:tcPr>
                  <w:tcW w:w="1500" w:type="dxa"/>
                  <w:vAlign w:val="center"/>
                </w:tcPr>
                <w:p w14:paraId="6E41FFF9">
                  <w:pPr>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废离子交换树脂</w:t>
                  </w:r>
                </w:p>
              </w:tc>
              <w:tc>
                <w:tcPr>
                  <w:tcW w:w="2530" w:type="dxa"/>
                  <w:vAlign w:val="center"/>
                </w:tcPr>
                <w:p w14:paraId="6CD0BE3C">
                  <w:pPr>
                    <w:jc w:val="center"/>
                    <w:rPr>
                      <w:rFonts w:hint="default" w:ascii="Times New Roman" w:hAnsi="Times New Roman" w:eastAsia="宋体" w:cs="宋体"/>
                      <w:color w:val="auto"/>
                      <w:sz w:val="21"/>
                      <w:szCs w:val="21"/>
                      <w:lang w:val="en-US" w:eastAsia="zh-CN"/>
                    </w:rPr>
                  </w:pPr>
                  <w:r>
                    <w:rPr>
                      <w:rFonts w:ascii="Times New Roman" w:hAnsi="Times New Roman"/>
                      <w:color w:val="auto"/>
                      <w:spacing w:val="12"/>
                      <w:sz w:val="20"/>
                      <w:szCs w:val="20"/>
                    </w:rPr>
                    <w:t>厂家更换后直接带走</w:t>
                  </w:r>
                </w:p>
              </w:tc>
              <w:tc>
                <w:tcPr>
                  <w:tcW w:w="946" w:type="dxa"/>
                  <w:vMerge w:val="continue"/>
                  <w:vAlign w:val="center"/>
                </w:tcPr>
                <w:p w14:paraId="248DEDDE">
                  <w:pPr>
                    <w:jc w:val="center"/>
                    <w:rPr>
                      <w:rFonts w:hint="eastAsia" w:ascii="Times New Roman" w:hAnsi="Times New Roman" w:eastAsia="宋体" w:cs="宋体"/>
                      <w:color w:val="auto"/>
                      <w:sz w:val="21"/>
                      <w:szCs w:val="21"/>
                      <w:lang w:val="en-US" w:eastAsia="zh-CN"/>
                    </w:rPr>
                  </w:pPr>
                </w:p>
              </w:tc>
            </w:tr>
            <w:tr w14:paraId="5BB6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504" w:type="dxa"/>
                  <w:vMerge w:val="continue"/>
                  <w:vAlign w:val="center"/>
                </w:tcPr>
                <w:p w14:paraId="2E3A2A43">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6E0D4441">
                  <w:pPr>
                    <w:jc w:val="center"/>
                    <w:rPr>
                      <w:rFonts w:hint="eastAsia" w:ascii="Times New Roman" w:hAnsi="Times New Roman" w:eastAsia="宋体" w:cs="宋体"/>
                      <w:color w:val="auto"/>
                      <w:sz w:val="21"/>
                      <w:szCs w:val="21"/>
                      <w:lang w:val="en-US" w:eastAsia="zh-CN"/>
                    </w:rPr>
                  </w:pPr>
                </w:p>
              </w:tc>
              <w:tc>
                <w:tcPr>
                  <w:tcW w:w="609" w:type="dxa"/>
                  <w:vMerge w:val="continue"/>
                  <w:vAlign w:val="center"/>
                </w:tcPr>
                <w:p w14:paraId="2FD4D32E">
                  <w:pPr>
                    <w:jc w:val="center"/>
                    <w:rPr>
                      <w:rFonts w:hint="eastAsia" w:ascii="Times New Roman" w:hAnsi="Times New Roman" w:eastAsia="宋体" w:cs="宋体"/>
                      <w:color w:val="auto"/>
                      <w:sz w:val="21"/>
                      <w:szCs w:val="21"/>
                      <w:lang w:val="en-US" w:eastAsia="zh-CN"/>
                    </w:rPr>
                  </w:pPr>
                </w:p>
              </w:tc>
              <w:tc>
                <w:tcPr>
                  <w:tcW w:w="1572" w:type="dxa"/>
                  <w:vAlign w:val="center"/>
                </w:tcPr>
                <w:p w14:paraId="29249359">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污水处理设施</w:t>
                  </w:r>
                </w:p>
              </w:tc>
              <w:tc>
                <w:tcPr>
                  <w:tcW w:w="1500" w:type="dxa"/>
                  <w:vAlign w:val="center"/>
                </w:tcPr>
                <w:p w14:paraId="7DEBC038">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污水处理设施污泥</w:t>
                  </w:r>
                </w:p>
              </w:tc>
              <w:tc>
                <w:tcPr>
                  <w:tcW w:w="2530" w:type="dxa"/>
                  <w:vAlign w:val="center"/>
                </w:tcPr>
                <w:p w14:paraId="02D0FD1C">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委托当地环卫部门清运处置</w:t>
                  </w:r>
                </w:p>
              </w:tc>
              <w:tc>
                <w:tcPr>
                  <w:tcW w:w="946" w:type="dxa"/>
                  <w:vMerge w:val="continue"/>
                  <w:vAlign w:val="center"/>
                </w:tcPr>
                <w:p w14:paraId="12508E32">
                  <w:pPr>
                    <w:jc w:val="center"/>
                    <w:rPr>
                      <w:rFonts w:hint="eastAsia" w:ascii="Times New Roman" w:hAnsi="Times New Roman" w:eastAsia="宋体" w:cs="宋体"/>
                      <w:color w:val="auto"/>
                      <w:sz w:val="21"/>
                      <w:szCs w:val="21"/>
                      <w:lang w:val="en-US" w:eastAsia="zh-CN"/>
                    </w:rPr>
                  </w:pPr>
                </w:p>
              </w:tc>
            </w:tr>
            <w:tr w14:paraId="7488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atLeast"/>
              </w:trPr>
              <w:tc>
                <w:tcPr>
                  <w:tcW w:w="504" w:type="dxa"/>
                  <w:vMerge w:val="continue"/>
                  <w:vAlign w:val="center"/>
                </w:tcPr>
                <w:p w14:paraId="5FB08C99">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1FE43DAE">
                  <w:pPr>
                    <w:jc w:val="center"/>
                    <w:rPr>
                      <w:rFonts w:hint="eastAsia" w:ascii="Times New Roman" w:hAnsi="Times New Roman" w:eastAsia="宋体" w:cs="宋体"/>
                      <w:color w:val="auto"/>
                      <w:sz w:val="21"/>
                      <w:szCs w:val="21"/>
                      <w:lang w:val="en-US" w:eastAsia="zh-CN"/>
                    </w:rPr>
                  </w:pPr>
                </w:p>
              </w:tc>
              <w:tc>
                <w:tcPr>
                  <w:tcW w:w="609" w:type="dxa"/>
                  <w:vAlign w:val="center"/>
                </w:tcPr>
                <w:p w14:paraId="3F85EE81">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危险废物</w:t>
                  </w:r>
                </w:p>
              </w:tc>
              <w:tc>
                <w:tcPr>
                  <w:tcW w:w="1572" w:type="dxa"/>
                  <w:vAlign w:val="center"/>
                </w:tcPr>
                <w:p w14:paraId="1C82F0F5">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设备维修保养</w:t>
                  </w:r>
                </w:p>
              </w:tc>
              <w:tc>
                <w:tcPr>
                  <w:tcW w:w="1500" w:type="dxa"/>
                  <w:vAlign w:val="center"/>
                </w:tcPr>
                <w:p w14:paraId="2C2106C3">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废机油</w:t>
                  </w:r>
                </w:p>
              </w:tc>
              <w:tc>
                <w:tcPr>
                  <w:tcW w:w="2530" w:type="dxa"/>
                  <w:vAlign w:val="center"/>
                </w:tcPr>
                <w:p w14:paraId="32C8A182">
                  <w:pPr>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lang w:val="en-US" w:eastAsia="zh-CN"/>
                    </w:rPr>
                    <w:t>收集后暂存于危废暂存间后交由有资质的单位清运处置</w:t>
                  </w:r>
                </w:p>
              </w:tc>
              <w:tc>
                <w:tcPr>
                  <w:tcW w:w="946" w:type="dxa"/>
                  <w:vMerge w:val="continue"/>
                  <w:vAlign w:val="center"/>
                </w:tcPr>
                <w:p w14:paraId="37E12CF9">
                  <w:pPr>
                    <w:jc w:val="center"/>
                    <w:rPr>
                      <w:rFonts w:hint="eastAsia" w:ascii="Times New Roman" w:hAnsi="Times New Roman" w:eastAsia="宋体" w:cs="宋体"/>
                      <w:color w:val="auto"/>
                      <w:sz w:val="21"/>
                      <w:szCs w:val="21"/>
                    </w:rPr>
                  </w:pPr>
                </w:p>
              </w:tc>
            </w:tr>
            <w:tr w14:paraId="68FB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3" w:hRule="atLeast"/>
              </w:trPr>
              <w:tc>
                <w:tcPr>
                  <w:tcW w:w="504" w:type="dxa"/>
                  <w:vMerge w:val="continue"/>
                  <w:vAlign w:val="center"/>
                </w:tcPr>
                <w:p w14:paraId="6181C0D3">
                  <w:pPr>
                    <w:jc w:val="center"/>
                    <w:rPr>
                      <w:rFonts w:hint="eastAsia" w:ascii="Times New Roman" w:hAnsi="Times New Roman" w:eastAsia="宋体" w:cs="宋体"/>
                      <w:color w:val="auto"/>
                      <w:sz w:val="21"/>
                      <w:szCs w:val="21"/>
                      <w:lang w:val="en-US" w:eastAsia="zh-CN"/>
                    </w:rPr>
                  </w:pPr>
                </w:p>
              </w:tc>
              <w:tc>
                <w:tcPr>
                  <w:tcW w:w="436" w:type="dxa"/>
                  <w:vMerge w:val="continue"/>
                  <w:textDirection w:val="tbRlV"/>
                  <w:vAlign w:val="center"/>
                </w:tcPr>
                <w:p w14:paraId="589DEF89">
                  <w:pPr>
                    <w:jc w:val="center"/>
                    <w:rPr>
                      <w:rFonts w:hint="eastAsia" w:ascii="Times New Roman" w:hAnsi="Times New Roman" w:eastAsia="宋体" w:cs="宋体"/>
                      <w:color w:val="auto"/>
                      <w:sz w:val="21"/>
                      <w:szCs w:val="21"/>
                      <w:lang w:val="en-US" w:eastAsia="zh-CN"/>
                    </w:rPr>
                  </w:pPr>
                </w:p>
              </w:tc>
              <w:tc>
                <w:tcPr>
                  <w:tcW w:w="609" w:type="dxa"/>
                  <w:vAlign w:val="center"/>
                </w:tcPr>
                <w:p w14:paraId="2290B141">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生活垃圾</w:t>
                  </w:r>
                </w:p>
              </w:tc>
              <w:tc>
                <w:tcPr>
                  <w:tcW w:w="1572" w:type="dxa"/>
                  <w:vAlign w:val="center"/>
                </w:tcPr>
                <w:p w14:paraId="56FFBE8A">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员工办公生活</w:t>
                  </w:r>
                </w:p>
              </w:tc>
              <w:tc>
                <w:tcPr>
                  <w:tcW w:w="1500" w:type="dxa"/>
                  <w:vAlign w:val="center"/>
                </w:tcPr>
                <w:p w14:paraId="556CDF1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生活垃圾</w:t>
                  </w:r>
                </w:p>
              </w:tc>
              <w:tc>
                <w:tcPr>
                  <w:tcW w:w="2530" w:type="dxa"/>
                  <w:vAlign w:val="center"/>
                </w:tcPr>
                <w:p w14:paraId="1F32CA84">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生活垃圾经垃圾桶统一收集后，</w:t>
                  </w:r>
                  <w:r>
                    <w:rPr>
                      <w:rFonts w:hint="default" w:ascii="Times New Roman" w:hAnsi="Times New Roman" w:eastAsia="宋体" w:cs="宋体"/>
                      <w:color w:val="auto"/>
                      <w:sz w:val="21"/>
                      <w:szCs w:val="21"/>
                      <w:lang w:val="en-US" w:eastAsia="zh-CN"/>
                    </w:rPr>
                    <w:t>清运至最近的生活垃圾收集点</w:t>
                  </w:r>
                  <w:r>
                    <w:rPr>
                      <w:rFonts w:hint="eastAsia" w:ascii="Times New Roman" w:hAnsi="Times New Roman" w:eastAsia="宋体" w:cs="宋体"/>
                      <w:color w:val="auto"/>
                      <w:sz w:val="21"/>
                      <w:szCs w:val="21"/>
                      <w:lang w:val="en-US" w:eastAsia="zh-CN"/>
                    </w:rPr>
                    <w:t>由</w:t>
                  </w:r>
                  <w:r>
                    <w:rPr>
                      <w:rFonts w:hint="default" w:ascii="Times New Roman" w:hAnsi="Times New Roman" w:eastAsia="宋体" w:cs="宋体"/>
                      <w:color w:val="auto"/>
                      <w:sz w:val="21"/>
                      <w:szCs w:val="21"/>
                      <w:lang w:val="en-US" w:eastAsia="zh-CN"/>
                    </w:rPr>
                    <w:t>环卫部门清运处置</w:t>
                  </w:r>
                </w:p>
              </w:tc>
              <w:tc>
                <w:tcPr>
                  <w:tcW w:w="946" w:type="dxa"/>
                  <w:vMerge w:val="continue"/>
                  <w:vAlign w:val="center"/>
                </w:tcPr>
                <w:p w14:paraId="6903A95D">
                  <w:pPr>
                    <w:jc w:val="center"/>
                    <w:rPr>
                      <w:rFonts w:hint="eastAsia" w:ascii="Times New Roman" w:hAnsi="Times New Roman" w:eastAsia="宋体" w:cs="宋体"/>
                      <w:color w:val="auto"/>
                      <w:sz w:val="21"/>
                      <w:szCs w:val="21"/>
                    </w:rPr>
                  </w:pPr>
                </w:p>
              </w:tc>
            </w:tr>
          </w:tbl>
          <w:p w14:paraId="276DFC1C">
            <w:pPr>
              <w:adjustRightInd w:val="0"/>
              <w:snapToGrid w:val="0"/>
              <w:spacing w:line="360" w:lineRule="auto"/>
              <w:rPr>
                <w:rFonts w:ascii="Times New Roman" w:hAnsi="Times New Roman"/>
                <w:color w:val="auto"/>
                <w:sz w:val="24"/>
                <w:szCs w:val="24"/>
              </w:rPr>
            </w:pPr>
          </w:p>
        </w:tc>
      </w:tr>
      <w:tr w14:paraId="61C90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44" w:type="dxa"/>
            <w:vAlign w:val="center"/>
          </w:tcPr>
          <w:p w14:paraId="732A344B">
            <w:pPr>
              <w:pStyle w:val="26"/>
              <w:adjustRightInd w:val="0"/>
              <w:snapToGrid w:val="0"/>
              <w:spacing w:before="0" w:beforeAutospacing="0" w:after="0" w:afterAutospacing="0"/>
              <w:jc w:val="center"/>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与项目有关的原有环境污染问题</w:t>
            </w:r>
          </w:p>
        </w:tc>
        <w:tc>
          <w:tcPr>
            <w:tcW w:w="8416" w:type="dxa"/>
          </w:tcPr>
          <w:p w14:paraId="776AE6DD">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宋体"/>
                <w:bCs/>
                <w:color w:val="auto"/>
                <w:kern w:val="2"/>
                <w:sz w:val="24"/>
                <w:szCs w:val="22"/>
                <w:lang w:val="en-US" w:eastAsia="zh-CN" w:bidi="ar-SA"/>
              </w:rPr>
            </w:pPr>
          </w:p>
          <w:p w14:paraId="7DCF241B">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宋体" w:cs="宋体"/>
                <w:bCs/>
                <w:color w:val="auto"/>
                <w:kern w:val="2"/>
                <w:sz w:val="24"/>
                <w:szCs w:val="22"/>
                <w:lang w:val="en-US" w:eastAsia="zh-CN" w:bidi="ar-SA"/>
              </w:rPr>
              <w:t>本项目为新建项目，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租用昆明市寻甸县仁德街道办事处易天线小功山寻甸仁德子超养殖场内已建厂房作为项目生产使用，根据</w:t>
            </w:r>
            <w:r>
              <w:rPr>
                <w:rFonts w:hint="eastAsia" w:ascii="Times New Roman" w:hAnsi="Times New Roman" w:eastAsia="Times New Roman" w:cs="宋体"/>
                <w:b w:val="0"/>
                <w:bCs/>
                <w:color w:val="auto"/>
                <w:sz w:val="24"/>
                <w:szCs w:val="24"/>
                <w:lang w:val="en-US" w:eastAsia="zh-CN"/>
              </w:rPr>
              <w:t>现场踏勘，</w:t>
            </w:r>
            <w:r>
              <w:rPr>
                <w:rFonts w:hint="eastAsia" w:ascii="Times New Roman" w:hAnsi="Times New Roman" w:eastAsia="宋体" w:cs="宋体"/>
                <w:bCs/>
                <w:color w:val="auto"/>
                <w:kern w:val="2"/>
                <w:sz w:val="24"/>
                <w:szCs w:val="22"/>
                <w:lang w:val="en-US" w:eastAsia="zh-CN" w:bidi="ar-SA"/>
              </w:rPr>
              <w:t>租用</w:t>
            </w:r>
            <w:r>
              <w:rPr>
                <w:rFonts w:hint="eastAsia" w:ascii="Times New Roman" w:hAnsi="Times New Roman" w:cs="宋体"/>
                <w:bCs/>
                <w:color w:val="auto"/>
                <w:kern w:val="2"/>
                <w:sz w:val="24"/>
                <w:szCs w:val="22"/>
                <w:lang w:val="en-US" w:eastAsia="zh-CN" w:bidi="ar-SA"/>
              </w:rPr>
              <w:t>前</w:t>
            </w:r>
            <w:r>
              <w:rPr>
                <w:rFonts w:hint="eastAsia" w:ascii="Times New Roman" w:hAnsi="Times New Roman" w:eastAsia="宋体" w:cs="宋体"/>
                <w:bCs/>
                <w:color w:val="auto"/>
                <w:kern w:val="2"/>
                <w:sz w:val="24"/>
                <w:szCs w:val="22"/>
                <w:lang w:val="en-US" w:eastAsia="zh-CN" w:bidi="ar-SA"/>
              </w:rPr>
              <w:t>厂房</w:t>
            </w:r>
            <w:r>
              <w:rPr>
                <w:rFonts w:hint="eastAsia" w:ascii="Times New Roman" w:hAnsi="Times New Roman" w:cs="宋体"/>
                <w:bCs/>
                <w:color w:val="auto"/>
                <w:kern w:val="2"/>
                <w:sz w:val="24"/>
                <w:szCs w:val="22"/>
                <w:lang w:val="en-US" w:eastAsia="zh-CN" w:bidi="ar-SA"/>
              </w:rPr>
              <w:t>为</w:t>
            </w:r>
            <w:r>
              <w:rPr>
                <w:rFonts w:hint="eastAsia" w:ascii="Times New Roman" w:hAnsi="Times New Roman" w:eastAsia="宋体" w:cs="宋体"/>
                <w:bCs/>
                <w:color w:val="auto"/>
                <w:kern w:val="2"/>
                <w:sz w:val="24"/>
                <w:szCs w:val="22"/>
                <w:lang w:val="en-US" w:eastAsia="zh-CN" w:bidi="ar-SA"/>
              </w:rPr>
              <w:t>空置厂房，</w:t>
            </w:r>
            <w:r>
              <w:rPr>
                <w:rFonts w:hint="eastAsia" w:ascii="Times New Roman" w:hAnsi="Times New Roman" w:cs="宋体"/>
                <w:bCs/>
                <w:color w:val="auto"/>
                <w:kern w:val="2"/>
                <w:sz w:val="24"/>
                <w:szCs w:val="22"/>
                <w:lang w:val="en-US" w:eastAsia="zh-CN" w:bidi="ar-SA"/>
              </w:rPr>
              <w:t>厂房内</w:t>
            </w:r>
            <w:r>
              <w:rPr>
                <w:rFonts w:hint="eastAsia" w:ascii="Times New Roman" w:hAnsi="Times New Roman" w:eastAsia="Times New Roman" w:cs="宋体"/>
                <w:b w:val="0"/>
                <w:bCs/>
                <w:color w:val="auto"/>
                <w:sz w:val="24"/>
                <w:szCs w:val="24"/>
                <w:lang w:val="en-US" w:eastAsia="zh-CN"/>
              </w:rPr>
              <w:t>遗留原有养殖厂的混凝土隔档以及废弃饲料包装袋等，无</w:t>
            </w:r>
            <w:r>
              <w:rPr>
                <w:rFonts w:hint="eastAsia" w:ascii="Times New Roman" w:hAnsi="Times New Roman"/>
                <w:color w:val="auto"/>
              </w:rPr>
              <w:t>粪污</w:t>
            </w:r>
            <w:r>
              <w:rPr>
                <w:rFonts w:hint="eastAsia" w:ascii="Times New Roman" w:hAnsi="Times New Roman"/>
                <w:color w:val="auto"/>
                <w:lang w:val="en-US" w:eastAsia="zh-CN"/>
              </w:rPr>
              <w:t>及养殖废水遗留。</w:t>
            </w:r>
            <w:r>
              <w:rPr>
                <w:rFonts w:hint="eastAsia" w:ascii="Times New Roman" w:hAnsi="Times New Roman" w:eastAsia="Times New Roman" w:cs="宋体"/>
                <w:b w:val="0"/>
                <w:bCs/>
                <w:color w:val="auto"/>
                <w:sz w:val="24"/>
                <w:szCs w:val="24"/>
                <w:lang w:val="en-US" w:eastAsia="zh-CN"/>
              </w:rPr>
              <w:t>混凝土隔档及废弃饲料包装袋等由本项目负责拆除及清理。</w:t>
            </w:r>
          </w:p>
          <w:p w14:paraId="1F3AACC5">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宋体"/>
                <w:bCs/>
                <w:color w:val="auto"/>
                <w:kern w:val="2"/>
                <w:sz w:val="24"/>
                <w:szCs w:val="22"/>
                <w:lang w:val="en-US" w:eastAsia="zh-CN" w:bidi="ar-SA"/>
              </w:rPr>
            </w:pPr>
            <w:r>
              <w:rPr>
                <w:rFonts w:hint="eastAsia" w:ascii="Times New Roman" w:hAnsi="Times New Roman" w:eastAsia="Times New Roman" w:cs="宋体"/>
                <w:b w:val="0"/>
                <w:bCs/>
                <w:color w:val="auto"/>
                <w:sz w:val="24"/>
                <w:szCs w:val="24"/>
                <w:lang w:val="en-US" w:eastAsia="zh-CN"/>
              </w:rPr>
              <w:t>本环评要求围挡拆除过程产生的</w:t>
            </w:r>
            <w:r>
              <w:rPr>
                <w:rFonts w:ascii="Times New Roman" w:hAnsi="Times New Roman"/>
                <w:color w:val="auto"/>
                <w:kern w:val="0"/>
                <w:sz w:val="24"/>
              </w:rPr>
              <w:t>建筑垃圾可再生利用部分回收出售给有资质的废品收购站，不可回收部分由施工方统一清运至住建部门指定堆放点</w:t>
            </w:r>
            <w:r>
              <w:rPr>
                <w:rFonts w:hint="eastAsia" w:ascii="Times New Roman" w:hAnsi="Times New Roman"/>
                <w:color w:val="auto"/>
                <w:kern w:val="0"/>
                <w:sz w:val="24"/>
                <w:lang w:eastAsia="zh-CN"/>
              </w:rPr>
              <w:t>，</w:t>
            </w:r>
            <w:r>
              <w:rPr>
                <w:rFonts w:ascii="Times New Roman" w:hAnsi="Times New Roman"/>
                <w:color w:val="auto"/>
              </w:rPr>
              <w:t>严禁随意丢弃、倾倒</w:t>
            </w:r>
            <w:r>
              <w:rPr>
                <w:rFonts w:hint="eastAsia" w:ascii="Times New Roman" w:hAnsi="Times New Roman"/>
                <w:color w:val="auto"/>
                <w:kern w:val="0"/>
                <w:sz w:val="24"/>
                <w:lang w:eastAsia="zh-CN"/>
              </w:rPr>
              <w:t>；</w:t>
            </w:r>
            <w:r>
              <w:rPr>
                <w:rFonts w:hint="eastAsia" w:ascii="Times New Roman" w:hAnsi="Times New Roman"/>
                <w:color w:val="auto"/>
                <w:kern w:val="0"/>
                <w:sz w:val="24"/>
                <w:lang w:val="en-US" w:eastAsia="zh-CN"/>
              </w:rPr>
              <w:t>废弃饲料包装袋等可回收利用的外售废品收购站，不可利用的委托当地环卫部门清运处置。</w:t>
            </w:r>
          </w:p>
        </w:tc>
      </w:tr>
    </w:tbl>
    <w:p w14:paraId="2A0BA9E8">
      <w:pPr>
        <w:pStyle w:val="26"/>
        <w:jc w:val="center"/>
        <w:rPr>
          <w:rFonts w:ascii="Times New Roman" w:hAnsi="Times New Roman" w:eastAsia="黑体"/>
          <w:snapToGrid w:val="0"/>
          <w:color w:val="auto"/>
          <w:sz w:val="36"/>
          <w:szCs w:val="36"/>
        </w:rPr>
        <w:sectPr>
          <w:pgSz w:w="11906" w:h="16838"/>
          <w:pgMar w:top="1440" w:right="1800" w:bottom="1440" w:left="1800" w:header="851" w:footer="851" w:gutter="0"/>
          <w:pgNumType w:fmt="decimal"/>
          <w:cols w:space="720" w:num="1"/>
          <w:docGrid w:linePitch="312" w:charSpace="0"/>
        </w:sectPr>
      </w:pPr>
    </w:p>
    <w:p w14:paraId="2E8137F4">
      <w:pPr>
        <w:pStyle w:val="26"/>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43A5A3F5">
      <w:pPr>
        <w:pStyle w:val="2"/>
        <w:jc w:val="center"/>
        <w:rPr>
          <w:rFonts w:ascii="Times New Roman" w:hAnsi="Times New Roman"/>
          <w:color w:val="auto"/>
        </w:rPr>
      </w:pPr>
      <w:bookmarkStart w:id="7" w:name="_Toc5497"/>
      <w:bookmarkStart w:id="8" w:name="_Toc9938"/>
      <w:r>
        <w:rPr>
          <w:rFonts w:hint="eastAsia" w:ascii="Times New Roman" w:hAnsi="Times New Roman"/>
          <w:color w:val="auto"/>
        </w:rPr>
        <w:t>三、区域环境质量现状、环境保护目标及评价标准</w:t>
      </w:r>
      <w:bookmarkEnd w:id="7"/>
      <w:bookmarkEnd w:id="8"/>
    </w:p>
    <w:tbl>
      <w:tblPr>
        <w:tblStyle w:val="28"/>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F095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00" w:type="dxa"/>
            <w:vAlign w:val="center"/>
          </w:tcPr>
          <w:p w14:paraId="28EE7894">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区域</w:t>
            </w:r>
          </w:p>
          <w:p w14:paraId="2209F7BF">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环境</w:t>
            </w:r>
          </w:p>
          <w:p w14:paraId="11237C83">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质量</w:t>
            </w:r>
          </w:p>
          <w:p w14:paraId="4E612DA5">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现状</w:t>
            </w:r>
          </w:p>
        </w:tc>
        <w:tc>
          <w:tcPr>
            <w:tcW w:w="8190" w:type="dxa"/>
            <w:vAlign w:val="center"/>
          </w:tcPr>
          <w:p w14:paraId="4B64FB4B">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1、环境空气质量现状</w:t>
            </w:r>
          </w:p>
          <w:p w14:paraId="30A15DD5">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（1）达标区判定</w:t>
            </w:r>
          </w:p>
          <w:p w14:paraId="53F891D4">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项目所处区域属于环境空气质量功能区划为二类区，执行《环境空气质量标准》（GB3095－2012）中二级标准。</w:t>
            </w:r>
          </w:p>
          <w:p w14:paraId="00E6D935">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lang w:val="zh-CN"/>
              </w:rPr>
            </w:pPr>
            <w:r>
              <w:rPr>
                <w:rFonts w:hint="eastAsia" w:ascii="Times New Roman" w:hAnsi="Times New Roman" w:eastAsia="宋体" w:cs="Times New Roman"/>
                <w:color w:val="auto"/>
                <w:kern w:val="0"/>
                <w:sz w:val="24"/>
                <w:szCs w:val="24"/>
                <w:highlight w:val="none"/>
                <w:lang w:val="zh-CN"/>
              </w:rPr>
              <w:t>根据《202</w:t>
            </w:r>
            <w:r>
              <w:rPr>
                <w:rFonts w:hint="eastAsia" w:ascii="Times New Roman" w:hAnsi="Times New Roman" w:eastAsia="宋体"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val="zh-CN"/>
              </w:rPr>
              <w:t>年度昆明市生态环境状况公报》可知，</w:t>
            </w:r>
            <w:r>
              <w:rPr>
                <w:rFonts w:hint="eastAsia" w:ascii="Times New Roman" w:hAnsi="Times New Roman" w:eastAsia="宋体" w:cs="Times New Roman"/>
                <w:color w:val="auto"/>
                <w:kern w:val="0"/>
                <w:sz w:val="24"/>
                <w:szCs w:val="24"/>
                <w:highlight w:val="none"/>
                <w:lang w:val="en-US" w:eastAsia="zh-CN"/>
              </w:rPr>
              <w:t>昆明市主城区环境空气优良率97.53%，其中优189天、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r>
              <w:rPr>
                <w:rFonts w:hint="eastAsia" w:ascii="Times New Roman" w:hAnsi="Times New Roman" w:eastAsia="宋体" w:cs="Times New Roman"/>
                <w:color w:val="auto"/>
                <w:kern w:val="0"/>
                <w:sz w:val="24"/>
                <w:szCs w:val="24"/>
                <w:highlight w:val="none"/>
                <w:lang w:val="zh-CN"/>
              </w:rPr>
              <w:t>因此，2022年寻甸县全年环境空气质量达到《环境空气质量标准》（GB3095-2012）二级标准，属于达标区。</w:t>
            </w:r>
          </w:p>
          <w:p w14:paraId="4C16D6D1">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（2）特征污染物环境质量现状</w:t>
            </w:r>
          </w:p>
          <w:p w14:paraId="334A1B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本项目特征污染物主要为颗粒物、NOx，为了解项目区特征污染物的颗粒物、NOx环境质量现状，建设单位委托云南鼎祺检测有限公司于2024年</w:t>
            </w:r>
            <w:r>
              <w:rPr>
                <w:rFonts w:hint="eastAsia" w:ascii="Times New Roman" w:hAnsi="Times New Roman" w:cs="Times New Roman"/>
                <w:color w:val="auto"/>
                <w:kern w:val="0"/>
                <w:sz w:val="24"/>
                <w:szCs w:val="24"/>
                <w:highlight w:val="none"/>
                <w:lang w:val="en-US" w:eastAsia="zh-CN" w:bidi="ar-SA"/>
              </w:rPr>
              <w:t>12</w:t>
            </w:r>
            <w:r>
              <w:rPr>
                <w:rFonts w:hint="eastAsia" w:ascii="Times New Roman" w:hAnsi="Times New Roman" w:eastAsia="宋体" w:cs="Times New Roman"/>
                <w:color w:val="auto"/>
                <w:kern w:val="0"/>
                <w:sz w:val="24"/>
                <w:szCs w:val="24"/>
                <w:highlight w:val="none"/>
                <w:lang w:val="en-US" w:eastAsia="zh-CN" w:bidi="ar-SA"/>
              </w:rPr>
              <w:t>月</w:t>
            </w:r>
            <w:r>
              <w:rPr>
                <w:rFonts w:hint="eastAsia" w:ascii="Times New Roman" w:hAnsi="Times New Roman" w:cs="Times New Roman"/>
                <w:color w:val="auto"/>
                <w:kern w:val="0"/>
                <w:sz w:val="24"/>
                <w:szCs w:val="24"/>
                <w:highlight w:val="none"/>
                <w:lang w:val="en-US" w:eastAsia="zh-CN" w:bidi="ar-SA"/>
              </w:rPr>
              <w:t>6</w:t>
            </w:r>
            <w:r>
              <w:rPr>
                <w:rFonts w:hint="eastAsia" w:ascii="Times New Roman" w:hAnsi="Times New Roman" w:eastAsia="宋体" w:cs="Times New Roman"/>
                <w:color w:val="auto"/>
                <w:kern w:val="0"/>
                <w:sz w:val="24"/>
                <w:szCs w:val="24"/>
                <w:highlight w:val="none"/>
                <w:lang w:val="en-US" w:eastAsia="zh-CN" w:bidi="ar-SA"/>
              </w:rPr>
              <w:t>日~</w:t>
            </w:r>
            <w:r>
              <w:rPr>
                <w:rFonts w:hint="eastAsia" w:ascii="Times New Roman" w:hAnsi="Times New Roman" w:cs="Times New Roman"/>
                <w:color w:val="auto"/>
                <w:kern w:val="0"/>
                <w:sz w:val="24"/>
                <w:szCs w:val="24"/>
                <w:highlight w:val="none"/>
                <w:lang w:val="en-US" w:eastAsia="zh-CN" w:bidi="ar-SA"/>
              </w:rPr>
              <w:t>9</w:t>
            </w:r>
            <w:r>
              <w:rPr>
                <w:rFonts w:hint="eastAsia" w:ascii="Times New Roman" w:hAnsi="Times New Roman" w:eastAsia="宋体" w:cs="Times New Roman"/>
                <w:color w:val="auto"/>
                <w:kern w:val="0"/>
                <w:sz w:val="24"/>
                <w:szCs w:val="24"/>
                <w:highlight w:val="none"/>
                <w:lang w:val="en-US" w:eastAsia="zh-CN" w:bidi="ar-SA"/>
              </w:rPr>
              <w:t>日对项目区下风向进行了为期3天的监测，监测结果如下表所示：</w:t>
            </w:r>
          </w:p>
          <w:p w14:paraId="0CE0C495">
            <w:pPr>
              <w:spacing w:line="360" w:lineRule="auto"/>
              <w:jc w:val="center"/>
              <w:rPr>
                <w:rFonts w:ascii="Times New Roman" w:hAnsi="Times New Roman" w:eastAsia="黑体" w:cs="黑体"/>
                <w:color w:val="auto"/>
                <w:spacing w:val="6"/>
                <w:sz w:val="20"/>
                <w:szCs w:val="20"/>
              </w:rPr>
            </w:pPr>
            <w:r>
              <w:rPr>
                <w:rFonts w:hint="eastAsia" w:ascii="Times New Roman" w:hAnsi="Times New Roman" w:eastAsia="宋体" w:cs="宋体"/>
                <w:b/>
                <w:bCs/>
                <w:color w:val="auto"/>
                <w:spacing w:val="6"/>
                <w:sz w:val="21"/>
                <w:szCs w:val="21"/>
              </w:rPr>
              <w:t>表</w:t>
            </w:r>
            <w:r>
              <w:rPr>
                <w:rFonts w:hint="eastAsia" w:ascii="Times New Roman" w:hAnsi="Times New Roman" w:eastAsia="宋体" w:cs="宋体"/>
                <w:b/>
                <w:bCs/>
                <w:color w:val="auto"/>
                <w:spacing w:val="-35"/>
                <w:sz w:val="21"/>
                <w:szCs w:val="21"/>
              </w:rPr>
              <w:t xml:space="preserve"> </w:t>
            </w:r>
            <w:r>
              <w:rPr>
                <w:rFonts w:hint="eastAsia" w:ascii="Times New Roman" w:hAnsi="Times New Roman" w:eastAsia="宋体" w:cs="宋体"/>
                <w:b/>
                <w:bCs/>
                <w:color w:val="auto"/>
                <w:spacing w:val="6"/>
                <w:sz w:val="21"/>
                <w:szCs w:val="21"/>
              </w:rPr>
              <w:t>3-</w:t>
            </w:r>
            <w:r>
              <w:rPr>
                <w:rFonts w:hint="eastAsia" w:ascii="Times New Roman" w:hAnsi="Times New Roman" w:eastAsia="宋体" w:cs="宋体"/>
                <w:b/>
                <w:bCs/>
                <w:color w:val="auto"/>
                <w:spacing w:val="6"/>
                <w:sz w:val="21"/>
                <w:szCs w:val="21"/>
                <w:lang w:val="en-US" w:eastAsia="zh-CN"/>
              </w:rPr>
              <w:t>1</w:t>
            </w:r>
            <w:r>
              <w:rPr>
                <w:rFonts w:hint="eastAsia" w:ascii="Times New Roman" w:hAnsi="Times New Roman" w:eastAsia="宋体" w:cs="宋体"/>
                <w:b/>
                <w:bCs/>
                <w:color w:val="auto"/>
                <w:spacing w:val="6"/>
                <w:sz w:val="21"/>
                <w:szCs w:val="21"/>
              </w:rPr>
              <w:t xml:space="preserve"> 环境空气日均值检测结果一览表</w:t>
            </w:r>
          </w:p>
          <w:tbl>
            <w:tblPr>
              <w:tblStyle w:val="80"/>
              <w:tblW w:w="7537"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6"/>
              <w:gridCol w:w="3529"/>
              <w:gridCol w:w="1238"/>
              <w:gridCol w:w="986"/>
              <w:gridCol w:w="758"/>
            </w:tblGrid>
            <w:tr w14:paraId="3ECB0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026" w:type="dxa"/>
                  <w:vAlign w:val="center"/>
                </w:tcPr>
                <w:p w14:paraId="0C6D837A">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监测项目</w:t>
                  </w:r>
                </w:p>
              </w:tc>
              <w:tc>
                <w:tcPr>
                  <w:tcW w:w="3529" w:type="dxa"/>
                  <w:vAlign w:val="center"/>
                </w:tcPr>
                <w:p w14:paraId="134B3DB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采样时间</w:t>
                  </w:r>
                </w:p>
              </w:tc>
              <w:tc>
                <w:tcPr>
                  <w:tcW w:w="1238" w:type="dxa"/>
                  <w:vAlign w:val="center"/>
                </w:tcPr>
                <w:p w14:paraId="1BCE925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lang w:val="en-US" w:eastAsia="zh-CN"/>
                    </w:rPr>
                    <w:t>项目区下风向</w:t>
                  </w:r>
                  <w:r>
                    <w:rPr>
                      <w:rFonts w:hint="eastAsia" w:ascii="Times New Roman" w:hAnsi="Times New Roman" w:eastAsia="宋体" w:cs="宋体"/>
                      <w:color w:val="auto"/>
                      <w:sz w:val="18"/>
                      <w:szCs w:val="18"/>
                    </w:rPr>
                    <w:t>现状监测值</w:t>
                  </w:r>
                </w:p>
                <w:p w14:paraId="176A0BA1">
                  <w:pPr>
                    <w:jc w:val="center"/>
                    <w:rPr>
                      <w:rFonts w:hint="eastAsia" w:ascii="Times New Roman" w:hAnsi="Times New Roman" w:eastAsia="宋体" w:cs="宋体"/>
                      <w:color w:val="auto"/>
                      <w:sz w:val="18"/>
                      <w:szCs w:val="18"/>
                    </w:rPr>
                  </w:pPr>
                </w:p>
              </w:tc>
              <w:tc>
                <w:tcPr>
                  <w:tcW w:w="986" w:type="dxa"/>
                  <w:vAlign w:val="center"/>
                </w:tcPr>
                <w:p w14:paraId="4D13A9E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标准值</w:t>
                  </w:r>
                </w:p>
                <w:p w14:paraId="0606C680">
                  <w:pPr>
                    <w:jc w:val="center"/>
                    <w:rPr>
                      <w:rFonts w:hint="eastAsia" w:ascii="Times New Roman" w:hAnsi="Times New Roman" w:eastAsia="宋体" w:cs="宋体"/>
                      <w:color w:val="auto"/>
                      <w:sz w:val="18"/>
                      <w:szCs w:val="18"/>
                    </w:rPr>
                  </w:pPr>
                </w:p>
              </w:tc>
              <w:tc>
                <w:tcPr>
                  <w:tcW w:w="758" w:type="dxa"/>
                  <w:vAlign w:val="center"/>
                </w:tcPr>
                <w:p w14:paraId="2B414DF3">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达标情况</w:t>
                  </w:r>
                </w:p>
              </w:tc>
            </w:tr>
            <w:tr w14:paraId="664E3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26" w:type="dxa"/>
                  <w:vMerge w:val="restart"/>
                  <w:tcBorders>
                    <w:bottom w:val="nil"/>
                  </w:tcBorders>
                  <w:vAlign w:val="center"/>
                </w:tcPr>
                <w:p w14:paraId="103683AB">
                  <w:pPr>
                    <w:jc w:val="center"/>
                    <w:rPr>
                      <w:rFonts w:hint="eastAsia" w:ascii="Times New Roman" w:hAnsi="Times New Roman" w:eastAsia="宋体" w:cs="宋体"/>
                      <w:color w:val="auto"/>
                      <w:sz w:val="18"/>
                      <w:szCs w:val="18"/>
                    </w:rPr>
                  </w:pPr>
                </w:p>
                <w:p w14:paraId="5ED306F7">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总悬浮颗粒 物</w:t>
                  </w:r>
                </w:p>
              </w:tc>
              <w:tc>
                <w:tcPr>
                  <w:tcW w:w="3529" w:type="dxa"/>
                  <w:vAlign w:val="center"/>
                </w:tcPr>
                <w:p w14:paraId="787A5A58">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2024.12.06(02:00)~2024.12.07(02:00)</w:t>
                  </w:r>
                </w:p>
              </w:tc>
              <w:tc>
                <w:tcPr>
                  <w:tcW w:w="1238" w:type="dxa"/>
                  <w:vAlign w:val="center"/>
                </w:tcPr>
                <w:p w14:paraId="46315F75">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195μg/m</w:t>
                  </w:r>
                  <w:r>
                    <w:rPr>
                      <w:rFonts w:hint="eastAsia" w:ascii="Times New Roman" w:hAnsi="Times New Roman" w:eastAsia="宋体" w:cs="宋体"/>
                      <w:color w:val="auto"/>
                      <w:sz w:val="18"/>
                      <w:szCs w:val="18"/>
                      <w:vertAlign w:val="superscript"/>
                      <w:lang w:val="en-US" w:eastAsia="zh-CN"/>
                    </w:rPr>
                    <w:t>3</w:t>
                  </w:r>
                </w:p>
              </w:tc>
              <w:tc>
                <w:tcPr>
                  <w:tcW w:w="986" w:type="dxa"/>
                  <w:vMerge w:val="restart"/>
                  <w:tcBorders>
                    <w:bottom w:val="nil"/>
                  </w:tcBorders>
                  <w:vAlign w:val="center"/>
                </w:tcPr>
                <w:p w14:paraId="1D1B2122">
                  <w:pPr>
                    <w:jc w:val="center"/>
                    <w:rPr>
                      <w:rFonts w:hint="eastAsia" w:ascii="Times New Roman" w:hAnsi="Times New Roman" w:eastAsia="宋体" w:cs="宋体"/>
                      <w:color w:val="auto"/>
                      <w:sz w:val="18"/>
                      <w:szCs w:val="18"/>
                      <w:lang w:val="en-US" w:eastAsia="zh-CN"/>
                    </w:rPr>
                  </w:pPr>
                </w:p>
                <w:p w14:paraId="63CE9C3B">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300μg/m</w:t>
                  </w:r>
                  <w:r>
                    <w:rPr>
                      <w:rFonts w:hint="eastAsia" w:ascii="Times New Roman" w:hAnsi="Times New Roman" w:eastAsia="宋体" w:cs="宋体"/>
                      <w:color w:val="auto"/>
                      <w:sz w:val="18"/>
                      <w:szCs w:val="18"/>
                      <w:vertAlign w:val="superscript"/>
                      <w:lang w:val="en-US" w:eastAsia="zh-CN"/>
                    </w:rPr>
                    <w:t>3</w:t>
                  </w:r>
                </w:p>
              </w:tc>
              <w:tc>
                <w:tcPr>
                  <w:tcW w:w="758" w:type="dxa"/>
                  <w:vAlign w:val="center"/>
                </w:tcPr>
                <w:p w14:paraId="5D642201">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63552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6" w:type="dxa"/>
                  <w:vMerge w:val="continue"/>
                  <w:tcBorders>
                    <w:top w:val="nil"/>
                    <w:bottom w:val="nil"/>
                  </w:tcBorders>
                  <w:vAlign w:val="center"/>
                </w:tcPr>
                <w:p w14:paraId="0EA75B76">
                  <w:pPr>
                    <w:jc w:val="center"/>
                    <w:rPr>
                      <w:rFonts w:hint="eastAsia" w:ascii="Times New Roman" w:hAnsi="Times New Roman" w:eastAsia="宋体" w:cs="宋体"/>
                      <w:color w:val="auto"/>
                      <w:sz w:val="18"/>
                      <w:szCs w:val="18"/>
                    </w:rPr>
                  </w:pPr>
                </w:p>
              </w:tc>
              <w:tc>
                <w:tcPr>
                  <w:tcW w:w="3529" w:type="dxa"/>
                  <w:vAlign w:val="center"/>
                </w:tcPr>
                <w:p w14:paraId="5D570F39">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2024.12.07(02:00)~2024.12.08(02:00)</w:t>
                  </w:r>
                </w:p>
              </w:tc>
              <w:tc>
                <w:tcPr>
                  <w:tcW w:w="1238" w:type="dxa"/>
                  <w:vAlign w:val="center"/>
                </w:tcPr>
                <w:p w14:paraId="2C61D30A">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182μg/m</w:t>
                  </w:r>
                  <w:r>
                    <w:rPr>
                      <w:rFonts w:hint="eastAsia" w:ascii="Times New Roman" w:hAnsi="Times New Roman" w:eastAsia="宋体" w:cs="宋体"/>
                      <w:color w:val="auto"/>
                      <w:sz w:val="18"/>
                      <w:szCs w:val="18"/>
                      <w:vertAlign w:val="superscript"/>
                      <w:lang w:val="en-US" w:eastAsia="zh-CN"/>
                    </w:rPr>
                    <w:t>3</w:t>
                  </w:r>
                </w:p>
              </w:tc>
              <w:tc>
                <w:tcPr>
                  <w:tcW w:w="986" w:type="dxa"/>
                  <w:vMerge w:val="continue"/>
                  <w:tcBorders>
                    <w:top w:val="nil"/>
                    <w:bottom w:val="nil"/>
                  </w:tcBorders>
                  <w:vAlign w:val="center"/>
                </w:tcPr>
                <w:p w14:paraId="26481AC5">
                  <w:pPr>
                    <w:jc w:val="center"/>
                    <w:rPr>
                      <w:rFonts w:hint="eastAsia" w:ascii="Times New Roman" w:hAnsi="Times New Roman" w:eastAsia="宋体" w:cs="宋体"/>
                      <w:color w:val="auto"/>
                      <w:sz w:val="18"/>
                      <w:szCs w:val="18"/>
                      <w:lang w:val="en-US" w:eastAsia="zh-CN"/>
                    </w:rPr>
                  </w:pPr>
                </w:p>
              </w:tc>
              <w:tc>
                <w:tcPr>
                  <w:tcW w:w="758" w:type="dxa"/>
                  <w:vAlign w:val="center"/>
                </w:tcPr>
                <w:p w14:paraId="43F028B6">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6AD04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6" w:type="dxa"/>
                  <w:vMerge w:val="continue"/>
                  <w:tcBorders>
                    <w:top w:val="nil"/>
                  </w:tcBorders>
                  <w:vAlign w:val="center"/>
                </w:tcPr>
                <w:p w14:paraId="534FC075">
                  <w:pPr>
                    <w:jc w:val="center"/>
                    <w:rPr>
                      <w:rFonts w:hint="eastAsia" w:ascii="Times New Roman" w:hAnsi="Times New Roman" w:eastAsia="宋体" w:cs="宋体"/>
                      <w:color w:val="auto"/>
                      <w:sz w:val="18"/>
                      <w:szCs w:val="18"/>
                    </w:rPr>
                  </w:pPr>
                </w:p>
              </w:tc>
              <w:tc>
                <w:tcPr>
                  <w:tcW w:w="3529" w:type="dxa"/>
                  <w:vAlign w:val="center"/>
                </w:tcPr>
                <w:p w14:paraId="4AFC4047">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2024.12.08(02:00)~2024.12.09(02:00)</w:t>
                  </w:r>
                </w:p>
              </w:tc>
              <w:tc>
                <w:tcPr>
                  <w:tcW w:w="1238" w:type="dxa"/>
                  <w:vAlign w:val="center"/>
                </w:tcPr>
                <w:p w14:paraId="33ADD04F">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213μg/m</w:t>
                  </w:r>
                  <w:r>
                    <w:rPr>
                      <w:rFonts w:hint="eastAsia" w:ascii="Times New Roman" w:hAnsi="Times New Roman" w:eastAsia="宋体" w:cs="宋体"/>
                      <w:color w:val="auto"/>
                      <w:sz w:val="18"/>
                      <w:szCs w:val="18"/>
                      <w:vertAlign w:val="superscript"/>
                      <w:lang w:val="en-US" w:eastAsia="zh-CN"/>
                    </w:rPr>
                    <w:t>3</w:t>
                  </w:r>
                </w:p>
              </w:tc>
              <w:tc>
                <w:tcPr>
                  <w:tcW w:w="986" w:type="dxa"/>
                  <w:vMerge w:val="continue"/>
                  <w:tcBorders>
                    <w:top w:val="nil"/>
                  </w:tcBorders>
                  <w:vAlign w:val="center"/>
                </w:tcPr>
                <w:p w14:paraId="461E8205">
                  <w:pPr>
                    <w:jc w:val="center"/>
                    <w:rPr>
                      <w:rFonts w:hint="eastAsia" w:ascii="Times New Roman" w:hAnsi="Times New Roman" w:eastAsia="宋体" w:cs="宋体"/>
                      <w:color w:val="auto"/>
                      <w:sz w:val="18"/>
                      <w:szCs w:val="18"/>
                      <w:lang w:val="en-US" w:eastAsia="zh-CN"/>
                    </w:rPr>
                  </w:pPr>
                </w:p>
              </w:tc>
              <w:tc>
                <w:tcPr>
                  <w:tcW w:w="758" w:type="dxa"/>
                  <w:vAlign w:val="center"/>
                </w:tcPr>
                <w:p w14:paraId="102C952F">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025C5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026" w:type="dxa"/>
                  <w:vMerge w:val="restart"/>
                  <w:tcBorders>
                    <w:bottom w:val="nil"/>
                  </w:tcBorders>
                  <w:vAlign w:val="center"/>
                </w:tcPr>
                <w:p w14:paraId="4C6EC111">
                  <w:pPr>
                    <w:jc w:val="center"/>
                    <w:rPr>
                      <w:rFonts w:hint="eastAsia" w:ascii="Times New Roman" w:hAnsi="Times New Roman" w:eastAsia="宋体" w:cs="宋体"/>
                      <w:color w:val="auto"/>
                      <w:sz w:val="18"/>
                      <w:szCs w:val="18"/>
                    </w:rPr>
                  </w:pPr>
                </w:p>
                <w:p w14:paraId="3F74D233">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氮氧化物</w:t>
                  </w:r>
                </w:p>
              </w:tc>
              <w:tc>
                <w:tcPr>
                  <w:tcW w:w="3529" w:type="dxa"/>
                  <w:vAlign w:val="center"/>
                </w:tcPr>
                <w:p w14:paraId="2EA68E6B">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2024.12.06(02:00)~2024.12.07(02:00)</w:t>
                  </w:r>
                </w:p>
              </w:tc>
              <w:tc>
                <w:tcPr>
                  <w:tcW w:w="1238" w:type="dxa"/>
                  <w:vAlign w:val="center"/>
                </w:tcPr>
                <w:p w14:paraId="35C61FAD">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0.017mg/m</w:t>
                  </w:r>
                  <w:r>
                    <w:rPr>
                      <w:rFonts w:hint="eastAsia" w:ascii="Times New Roman" w:hAnsi="Times New Roman" w:eastAsia="宋体" w:cs="宋体"/>
                      <w:color w:val="auto"/>
                      <w:sz w:val="18"/>
                      <w:szCs w:val="18"/>
                      <w:vertAlign w:val="superscript"/>
                      <w:lang w:val="en-US" w:eastAsia="zh-CN"/>
                    </w:rPr>
                    <w:t>3</w:t>
                  </w:r>
                </w:p>
              </w:tc>
              <w:tc>
                <w:tcPr>
                  <w:tcW w:w="986" w:type="dxa"/>
                  <w:vMerge w:val="restart"/>
                  <w:tcBorders>
                    <w:bottom w:val="nil"/>
                  </w:tcBorders>
                  <w:vAlign w:val="center"/>
                </w:tcPr>
                <w:p w14:paraId="2F34EAF6">
                  <w:pPr>
                    <w:jc w:val="center"/>
                    <w:rPr>
                      <w:rFonts w:hint="eastAsia" w:ascii="Times New Roman" w:hAnsi="Times New Roman" w:eastAsia="宋体" w:cs="宋体"/>
                      <w:color w:val="auto"/>
                      <w:sz w:val="18"/>
                      <w:szCs w:val="18"/>
                      <w:lang w:val="en-US" w:eastAsia="zh-CN"/>
                    </w:rPr>
                  </w:pPr>
                </w:p>
                <w:p w14:paraId="04463722">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0.1mg/m</w:t>
                  </w:r>
                  <w:r>
                    <w:rPr>
                      <w:rFonts w:hint="eastAsia" w:ascii="Times New Roman" w:hAnsi="Times New Roman" w:eastAsia="宋体" w:cs="宋体"/>
                      <w:color w:val="auto"/>
                      <w:sz w:val="18"/>
                      <w:szCs w:val="18"/>
                      <w:vertAlign w:val="superscript"/>
                      <w:lang w:val="en-US" w:eastAsia="zh-CN"/>
                    </w:rPr>
                    <w:t>3</w:t>
                  </w:r>
                </w:p>
              </w:tc>
              <w:tc>
                <w:tcPr>
                  <w:tcW w:w="758" w:type="dxa"/>
                  <w:vAlign w:val="center"/>
                </w:tcPr>
                <w:p w14:paraId="469E7BF2">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00261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026" w:type="dxa"/>
                  <w:vMerge w:val="continue"/>
                  <w:tcBorders>
                    <w:top w:val="nil"/>
                    <w:bottom w:val="nil"/>
                  </w:tcBorders>
                  <w:vAlign w:val="center"/>
                </w:tcPr>
                <w:p w14:paraId="322DCC68">
                  <w:pPr>
                    <w:jc w:val="center"/>
                    <w:rPr>
                      <w:rFonts w:hint="eastAsia" w:ascii="Times New Roman" w:hAnsi="Times New Roman" w:eastAsia="宋体" w:cs="宋体"/>
                      <w:color w:val="auto"/>
                      <w:sz w:val="18"/>
                      <w:szCs w:val="18"/>
                    </w:rPr>
                  </w:pPr>
                </w:p>
              </w:tc>
              <w:tc>
                <w:tcPr>
                  <w:tcW w:w="3529" w:type="dxa"/>
                  <w:vAlign w:val="center"/>
                </w:tcPr>
                <w:p w14:paraId="5CBC57DB">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2024.12.07(02:00)~2024.12.08(02:00)</w:t>
                  </w:r>
                </w:p>
              </w:tc>
              <w:tc>
                <w:tcPr>
                  <w:tcW w:w="1238" w:type="dxa"/>
                  <w:vAlign w:val="center"/>
                </w:tcPr>
                <w:p w14:paraId="370ADCA4">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0.021mg/m</w:t>
                  </w:r>
                  <w:r>
                    <w:rPr>
                      <w:rFonts w:hint="eastAsia" w:ascii="Times New Roman" w:hAnsi="Times New Roman" w:eastAsia="宋体" w:cs="宋体"/>
                      <w:color w:val="auto"/>
                      <w:sz w:val="18"/>
                      <w:szCs w:val="18"/>
                      <w:vertAlign w:val="superscript"/>
                      <w:lang w:val="en-US" w:eastAsia="zh-CN"/>
                    </w:rPr>
                    <w:t>3</w:t>
                  </w:r>
                </w:p>
              </w:tc>
              <w:tc>
                <w:tcPr>
                  <w:tcW w:w="986" w:type="dxa"/>
                  <w:vMerge w:val="continue"/>
                  <w:tcBorders>
                    <w:top w:val="nil"/>
                    <w:bottom w:val="nil"/>
                  </w:tcBorders>
                  <w:vAlign w:val="center"/>
                </w:tcPr>
                <w:p w14:paraId="3A78F1BC">
                  <w:pPr>
                    <w:jc w:val="center"/>
                    <w:rPr>
                      <w:rFonts w:hint="eastAsia" w:ascii="Times New Roman" w:hAnsi="Times New Roman" w:eastAsia="宋体" w:cs="宋体"/>
                      <w:color w:val="auto"/>
                      <w:sz w:val="18"/>
                      <w:szCs w:val="18"/>
                      <w:lang w:val="en-US" w:eastAsia="zh-CN"/>
                    </w:rPr>
                  </w:pPr>
                </w:p>
              </w:tc>
              <w:tc>
                <w:tcPr>
                  <w:tcW w:w="758" w:type="dxa"/>
                  <w:vAlign w:val="center"/>
                </w:tcPr>
                <w:p w14:paraId="3F94550D">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r w14:paraId="6676D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026" w:type="dxa"/>
                  <w:vMerge w:val="continue"/>
                  <w:tcBorders>
                    <w:top w:val="nil"/>
                  </w:tcBorders>
                  <w:vAlign w:val="center"/>
                </w:tcPr>
                <w:p w14:paraId="649FD7BF">
                  <w:pPr>
                    <w:jc w:val="center"/>
                    <w:rPr>
                      <w:rFonts w:hint="eastAsia" w:ascii="Times New Roman" w:hAnsi="Times New Roman" w:eastAsia="宋体" w:cs="宋体"/>
                      <w:color w:val="auto"/>
                      <w:sz w:val="18"/>
                      <w:szCs w:val="18"/>
                    </w:rPr>
                  </w:pPr>
                </w:p>
              </w:tc>
              <w:tc>
                <w:tcPr>
                  <w:tcW w:w="3529" w:type="dxa"/>
                  <w:vAlign w:val="center"/>
                </w:tcPr>
                <w:p w14:paraId="7DE39061">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2024.12.08(02:00)~2024.12.09(02:00)</w:t>
                  </w:r>
                </w:p>
              </w:tc>
              <w:tc>
                <w:tcPr>
                  <w:tcW w:w="1238" w:type="dxa"/>
                  <w:vAlign w:val="center"/>
                </w:tcPr>
                <w:p w14:paraId="74C5C18C">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0.019mgm</w:t>
                  </w:r>
                  <w:r>
                    <w:rPr>
                      <w:rFonts w:hint="eastAsia" w:ascii="Times New Roman" w:hAnsi="Times New Roman" w:eastAsia="宋体" w:cs="宋体"/>
                      <w:color w:val="auto"/>
                      <w:sz w:val="18"/>
                      <w:szCs w:val="18"/>
                      <w:vertAlign w:val="superscript"/>
                      <w:lang w:val="en-US" w:eastAsia="zh-CN"/>
                    </w:rPr>
                    <w:t>3</w:t>
                  </w:r>
                </w:p>
              </w:tc>
              <w:tc>
                <w:tcPr>
                  <w:tcW w:w="986" w:type="dxa"/>
                  <w:vMerge w:val="continue"/>
                  <w:tcBorders>
                    <w:top w:val="nil"/>
                  </w:tcBorders>
                  <w:vAlign w:val="center"/>
                </w:tcPr>
                <w:p w14:paraId="65CAABC0">
                  <w:pPr>
                    <w:jc w:val="center"/>
                    <w:rPr>
                      <w:rFonts w:hint="eastAsia" w:ascii="Times New Roman" w:hAnsi="Times New Roman" w:eastAsia="宋体" w:cs="宋体"/>
                      <w:color w:val="auto"/>
                      <w:sz w:val="18"/>
                      <w:szCs w:val="18"/>
                      <w:lang w:val="en-US" w:eastAsia="zh-CN"/>
                    </w:rPr>
                  </w:pPr>
                </w:p>
              </w:tc>
              <w:tc>
                <w:tcPr>
                  <w:tcW w:w="758" w:type="dxa"/>
                  <w:vAlign w:val="center"/>
                </w:tcPr>
                <w:p w14:paraId="06E0107C">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达标</w:t>
                  </w:r>
                </w:p>
              </w:tc>
            </w:tr>
          </w:tbl>
          <w:p w14:paraId="60743003">
            <w:pPr>
              <w:rPr>
                <w:rFonts w:ascii="Times New Roman" w:hAnsi="Times New Roman" w:eastAsia="黑体" w:cs="黑体"/>
                <w:color w:val="auto"/>
                <w:spacing w:val="6"/>
                <w:sz w:val="20"/>
                <w:szCs w:val="20"/>
              </w:rPr>
            </w:pPr>
          </w:p>
          <w:p w14:paraId="257413EE">
            <w:pPr>
              <w:spacing w:line="360" w:lineRule="auto"/>
              <w:jc w:val="center"/>
              <w:rPr>
                <w:rFonts w:hint="eastAsia" w:ascii="Times New Roman" w:hAnsi="Times New Roman" w:eastAsia="宋体" w:cs="宋体"/>
                <w:b/>
                <w:bCs/>
                <w:color w:val="auto"/>
                <w:spacing w:val="6"/>
                <w:sz w:val="21"/>
                <w:szCs w:val="21"/>
              </w:rPr>
            </w:pPr>
            <w:r>
              <w:rPr>
                <w:rFonts w:hint="eastAsia" w:ascii="Times New Roman" w:hAnsi="Times New Roman" w:eastAsia="宋体" w:cs="宋体"/>
                <w:b/>
                <w:bCs/>
                <w:color w:val="auto"/>
                <w:spacing w:val="6"/>
                <w:sz w:val="21"/>
                <w:szCs w:val="21"/>
              </w:rPr>
              <w:t>表3-</w:t>
            </w:r>
            <w:r>
              <w:rPr>
                <w:rFonts w:hint="eastAsia" w:ascii="Times New Roman" w:hAnsi="Times New Roman" w:eastAsia="宋体" w:cs="宋体"/>
                <w:b/>
                <w:bCs/>
                <w:color w:val="auto"/>
                <w:spacing w:val="6"/>
                <w:sz w:val="21"/>
                <w:szCs w:val="21"/>
                <w:lang w:val="en-US" w:eastAsia="zh-CN"/>
              </w:rPr>
              <w:t>2 氮氧化物</w:t>
            </w:r>
            <w:r>
              <w:rPr>
                <w:rFonts w:hint="eastAsia" w:ascii="Times New Roman" w:hAnsi="Times New Roman" w:eastAsia="宋体" w:cs="宋体"/>
                <w:b/>
                <w:bCs/>
                <w:color w:val="auto"/>
                <w:spacing w:val="6"/>
                <w:sz w:val="21"/>
                <w:szCs w:val="21"/>
              </w:rPr>
              <w:t>小时值检测结果一览表</w:t>
            </w:r>
          </w:p>
          <w:tbl>
            <w:tblPr>
              <w:tblStyle w:val="80"/>
              <w:tblW w:w="77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2"/>
              <w:gridCol w:w="1047"/>
              <w:gridCol w:w="1435"/>
              <w:gridCol w:w="1640"/>
              <w:gridCol w:w="1087"/>
              <w:gridCol w:w="905"/>
              <w:gridCol w:w="854"/>
            </w:tblGrid>
            <w:tr w14:paraId="538E4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Align w:val="center"/>
                </w:tcPr>
                <w:p w14:paraId="6B0923C9">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分析项目</w:t>
                  </w:r>
                </w:p>
              </w:tc>
              <w:tc>
                <w:tcPr>
                  <w:tcW w:w="1047" w:type="dxa"/>
                  <w:vAlign w:val="center"/>
                </w:tcPr>
                <w:p w14:paraId="13234432">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采样日期</w:t>
                  </w:r>
                </w:p>
              </w:tc>
              <w:tc>
                <w:tcPr>
                  <w:tcW w:w="1435" w:type="dxa"/>
                  <w:vAlign w:val="center"/>
                </w:tcPr>
                <w:p w14:paraId="3F43E8C7">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采样时段</w:t>
                  </w:r>
                </w:p>
              </w:tc>
              <w:tc>
                <w:tcPr>
                  <w:tcW w:w="1640" w:type="dxa"/>
                  <w:vAlign w:val="center"/>
                </w:tcPr>
                <w:p w14:paraId="5A4D83C1">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项目区下风向</w:t>
                  </w:r>
                </w:p>
                <w:p w14:paraId="5BF80CFC">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现状监测值</w:t>
                  </w:r>
                </w:p>
              </w:tc>
              <w:tc>
                <w:tcPr>
                  <w:tcW w:w="1087" w:type="dxa"/>
                  <w:vAlign w:val="center"/>
                </w:tcPr>
                <w:p w14:paraId="76046FF5">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标准值</w:t>
                  </w:r>
                </w:p>
              </w:tc>
              <w:tc>
                <w:tcPr>
                  <w:tcW w:w="905" w:type="dxa"/>
                  <w:vAlign w:val="center"/>
                </w:tcPr>
                <w:p w14:paraId="38150E3A">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达标情况</w:t>
                  </w:r>
                </w:p>
              </w:tc>
              <w:tc>
                <w:tcPr>
                  <w:tcW w:w="854" w:type="dxa"/>
                  <w:tcBorders>
                    <w:right w:val="single" w:color="000000" w:sz="6" w:space="0"/>
                  </w:tcBorders>
                  <w:vAlign w:val="center"/>
                </w:tcPr>
                <w:p w14:paraId="0673BB39">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单位</w:t>
                  </w:r>
                </w:p>
              </w:tc>
            </w:tr>
            <w:tr w14:paraId="2731A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732" w:type="dxa"/>
                  <w:vMerge w:val="restart"/>
                  <w:tcBorders>
                    <w:bottom w:val="nil"/>
                  </w:tcBorders>
                  <w:vAlign w:val="center"/>
                </w:tcPr>
                <w:p w14:paraId="63EAACD5">
                  <w:pPr>
                    <w:jc w:val="center"/>
                    <w:rPr>
                      <w:rFonts w:hint="eastAsia" w:ascii="Times New Roman" w:hAnsi="Times New Roman" w:eastAsia="宋体" w:cs="宋体"/>
                      <w:color w:val="auto"/>
                      <w:sz w:val="18"/>
                      <w:szCs w:val="18"/>
                    </w:rPr>
                  </w:pPr>
                </w:p>
                <w:p w14:paraId="18F20476">
                  <w:pPr>
                    <w:jc w:val="center"/>
                    <w:rPr>
                      <w:rFonts w:hint="eastAsia" w:ascii="Times New Roman" w:hAnsi="Times New Roman" w:eastAsia="宋体" w:cs="宋体"/>
                      <w:color w:val="auto"/>
                      <w:sz w:val="18"/>
                      <w:szCs w:val="18"/>
                    </w:rPr>
                  </w:pPr>
                </w:p>
                <w:p w14:paraId="2FE8EEDB">
                  <w:pPr>
                    <w:jc w:val="center"/>
                    <w:rPr>
                      <w:rFonts w:hint="eastAsia" w:ascii="Times New Roman" w:hAnsi="Times New Roman" w:eastAsia="宋体" w:cs="宋体"/>
                      <w:color w:val="auto"/>
                      <w:sz w:val="18"/>
                      <w:szCs w:val="18"/>
                    </w:rPr>
                  </w:pPr>
                </w:p>
                <w:p w14:paraId="1ED806D8">
                  <w:pPr>
                    <w:jc w:val="center"/>
                    <w:rPr>
                      <w:rFonts w:hint="eastAsia" w:ascii="Times New Roman" w:hAnsi="Times New Roman" w:eastAsia="宋体" w:cs="宋体"/>
                      <w:color w:val="auto"/>
                      <w:sz w:val="18"/>
                      <w:szCs w:val="18"/>
                    </w:rPr>
                  </w:pPr>
                </w:p>
                <w:p w14:paraId="282BD20C">
                  <w:pPr>
                    <w:jc w:val="center"/>
                    <w:rPr>
                      <w:rFonts w:hint="eastAsia" w:ascii="Times New Roman" w:hAnsi="Times New Roman" w:eastAsia="宋体" w:cs="宋体"/>
                      <w:color w:val="auto"/>
                      <w:sz w:val="18"/>
                      <w:szCs w:val="18"/>
                    </w:rPr>
                  </w:pPr>
                </w:p>
                <w:p w14:paraId="4D6CE77F">
                  <w:pPr>
                    <w:jc w:val="center"/>
                    <w:rPr>
                      <w:rFonts w:hint="eastAsia" w:ascii="Times New Roman" w:hAnsi="Times New Roman" w:eastAsia="宋体" w:cs="宋体"/>
                      <w:color w:val="auto"/>
                      <w:sz w:val="18"/>
                      <w:szCs w:val="18"/>
                    </w:rPr>
                  </w:pPr>
                </w:p>
                <w:p w14:paraId="27532B4F">
                  <w:pPr>
                    <w:jc w:val="center"/>
                    <w:rPr>
                      <w:rFonts w:hint="eastAsia" w:ascii="Times New Roman" w:hAnsi="Times New Roman" w:eastAsia="宋体" w:cs="宋体"/>
                      <w:color w:val="auto"/>
                      <w:sz w:val="18"/>
                      <w:szCs w:val="18"/>
                    </w:rPr>
                  </w:pPr>
                </w:p>
                <w:p w14:paraId="008364F4">
                  <w:pPr>
                    <w:jc w:val="center"/>
                    <w:rPr>
                      <w:rFonts w:hint="eastAsia" w:ascii="Times New Roman" w:hAnsi="Times New Roman" w:eastAsia="宋体" w:cs="宋体"/>
                      <w:color w:val="auto"/>
                      <w:sz w:val="18"/>
                      <w:szCs w:val="18"/>
                    </w:rPr>
                  </w:pPr>
                </w:p>
                <w:p w14:paraId="5061A856">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氮氧化物</w:t>
                  </w:r>
                </w:p>
              </w:tc>
              <w:tc>
                <w:tcPr>
                  <w:tcW w:w="1047" w:type="dxa"/>
                  <w:vMerge w:val="restart"/>
                  <w:tcBorders>
                    <w:bottom w:val="nil"/>
                  </w:tcBorders>
                  <w:vAlign w:val="center"/>
                </w:tcPr>
                <w:p w14:paraId="0B3F4249">
                  <w:pPr>
                    <w:jc w:val="center"/>
                    <w:rPr>
                      <w:rFonts w:hint="eastAsia" w:ascii="Times New Roman" w:hAnsi="Times New Roman" w:eastAsia="宋体" w:cs="宋体"/>
                      <w:color w:val="auto"/>
                      <w:sz w:val="18"/>
                      <w:szCs w:val="18"/>
                    </w:rPr>
                  </w:pPr>
                </w:p>
                <w:p w14:paraId="0EBB0CAC">
                  <w:pPr>
                    <w:jc w:val="center"/>
                    <w:rPr>
                      <w:rFonts w:hint="eastAsia" w:ascii="Times New Roman" w:hAnsi="Times New Roman" w:eastAsia="宋体" w:cs="宋体"/>
                      <w:color w:val="auto"/>
                      <w:sz w:val="18"/>
                      <w:szCs w:val="18"/>
                    </w:rPr>
                  </w:pPr>
                </w:p>
                <w:p w14:paraId="1A7BC364">
                  <w:pPr>
                    <w:jc w:val="center"/>
                    <w:rPr>
                      <w:rFonts w:hint="default"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rPr>
                    <w:t>2024.</w:t>
                  </w:r>
                  <w:r>
                    <w:rPr>
                      <w:rFonts w:hint="eastAsia" w:ascii="Times New Roman" w:hAnsi="Times New Roman" w:cs="宋体"/>
                      <w:color w:val="auto"/>
                      <w:sz w:val="18"/>
                      <w:szCs w:val="18"/>
                      <w:lang w:val="en-US" w:eastAsia="zh-CN"/>
                    </w:rPr>
                    <w:t>12</w:t>
                  </w:r>
                  <w:r>
                    <w:rPr>
                      <w:rFonts w:hint="eastAsia" w:ascii="Times New Roman" w:hAnsi="Times New Roman" w:eastAsia="宋体" w:cs="宋体"/>
                      <w:color w:val="auto"/>
                      <w:sz w:val="18"/>
                      <w:szCs w:val="18"/>
                    </w:rPr>
                    <w:t>.</w:t>
                  </w:r>
                  <w:r>
                    <w:rPr>
                      <w:rFonts w:hint="eastAsia" w:ascii="Times New Roman" w:hAnsi="Times New Roman" w:cs="宋体"/>
                      <w:color w:val="auto"/>
                      <w:sz w:val="18"/>
                      <w:szCs w:val="18"/>
                      <w:lang w:val="en-US" w:eastAsia="zh-CN"/>
                    </w:rPr>
                    <w:t>06</w:t>
                  </w:r>
                </w:p>
              </w:tc>
              <w:tc>
                <w:tcPr>
                  <w:tcW w:w="1435" w:type="dxa"/>
                  <w:vAlign w:val="center"/>
                </w:tcPr>
                <w:p w14:paraId="42FC27EB">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02:00</w:t>
                  </w:r>
                </w:p>
              </w:tc>
              <w:tc>
                <w:tcPr>
                  <w:tcW w:w="1640" w:type="dxa"/>
                  <w:vAlign w:val="center"/>
                </w:tcPr>
                <w:p w14:paraId="70E59192">
                  <w:pPr>
                    <w:jc w:val="center"/>
                    <w:rPr>
                      <w:rFonts w:hint="default" w:ascii="Times New Roman" w:hAnsi="Times New Roman" w:eastAsia="宋体" w:cs="宋体"/>
                      <w:color w:val="auto"/>
                      <w:sz w:val="18"/>
                      <w:szCs w:val="18"/>
                      <w:lang w:val="en-US" w:eastAsia="zh-CN"/>
                    </w:rPr>
                  </w:pPr>
                  <w:r>
                    <w:rPr>
                      <w:rFonts w:hint="eastAsia" w:ascii="Times New Roman" w:hAnsi="Times New Roman" w:cs="宋体"/>
                      <w:color w:val="auto"/>
                      <w:sz w:val="18"/>
                      <w:szCs w:val="18"/>
                      <w:lang w:val="en-US" w:eastAsia="zh-CN"/>
                    </w:rPr>
                    <w:t>0.033</w:t>
                  </w:r>
                </w:p>
              </w:tc>
              <w:tc>
                <w:tcPr>
                  <w:tcW w:w="1087" w:type="dxa"/>
                  <w:vMerge w:val="restart"/>
                  <w:tcBorders>
                    <w:bottom w:val="nil"/>
                  </w:tcBorders>
                  <w:vAlign w:val="center"/>
                </w:tcPr>
                <w:p w14:paraId="54626F6F">
                  <w:pPr>
                    <w:jc w:val="center"/>
                    <w:rPr>
                      <w:rFonts w:hint="eastAsia" w:ascii="Times New Roman" w:hAnsi="Times New Roman" w:eastAsia="宋体" w:cs="宋体"/>
                      <w:color w:val="auto"/>
                      <w:sz w:val="18"/>
                      <w:szCs w:val="18"/>
                    </w:rPr>
                  </w:pPr>
                </w:p>
                <w:p w14:paraId="63A4A655">
                  <w:pPr>
                    <w:jc w:val="center"/>
                    <w:rPr>
                      <w:rFonts w:hint="eastAsia" w:ascii="Times New Roman" w:hAnsi="Times New Roman" w:eastAsia="宋体" w:cs="宋体"/>
                      <w:color w:val="auto"/>
                      <w:sz w:val="18"/>
                      <w:szCs w:val="18"/>
                    </w:rPr>
                  </w:pPr>
                </w:p>
                <w:p w14:paraId="52299616">
                  <w:pPr>
                    <w:jc w:val="center"/>
                    <w:rPr>
                      <w:rFonts w:hint="eastAsia" w:ascii="Times New Roman" w:hAnsi="Times New Roman" w:eastAsia="宋体" w:cs="宋体"/>
                      <w:color w:val="auto"/>
                      <w:sz w:val="18"/>
                      <w:szCs w:val="18"/>
                    </w:rPr>
                  </w:pPr>
                </w:p>
                <w:p w14:paraId="25BCDE60">
                  <w:pPr>
                    <w:jc w:val="center"/>
                    <w:rPr>
                      <w:rFonts w:hint="eastAsia" w:ascii="Times New Roman" w:hAnsi="Times New Roman" w:eastAsia="宋体" w:cs="宋体"/>
                      <w:color w:val="auto"/>
                      <w:sz w:val="18"/>
                      <w:szCs w:val="18"/>
                    </w:rPr>
                  </w:pPr>
                </w:p>
                <w:p w14:paraId="1F987F31">
                  <w:pPr>
                    <w:jc w:val="center"/>
                    <w:rPr>
                      <w:rFonts w:hint="eastAsia" w:ascii="Times New Roman" w:hAnsi="Times New Roman" w:eastAsia="宋体" w:cs="宋体"/>
                      <w:color w:val="auto"/>
                      <w:sz w:val="18"/>
                      <w:szCs w:val="18"/>
                    </w:rPr>
                  </w:pPr>
                </w:p>
                <w:p w14:paraId="560AE1AD">
                  <w:pPr>
                    <w:jc w:val="center"/>
                    <w:rPr>
                      <w:rFonts w:hint="eastAsia" w:ascii="Times New Roman" w:hAnsi="Times New Roman" w:eastAsia="宋体" w:cs="宋体"/>
                      <w:color w:val="auto"/>
                      <w:sz w:val="18"/>
                      <w:szCs w:val="18"/>
                    </w:rPr>
                  </w:pPr>
                </w:p>
                <w:p w14:paraId="7D1EB9D1">
                  <w:pPr>
                    <w:jc w:val="center"/>
                    <w:rPr>
                      <w:rFonts w:hint="eastAsia" w:ascii="Times New Roman" w:hAnsi="Times New Roman" w:eastAsia="宋体" w:cs="宋体"/>
                      <w:color w:val="auto"/>
                      <w:sz w:val="18"/>
                      <w:szCs w:val="18"/>
                    </w:rPr>
                  </w:pPr>
                </w:p>
                <w:p w14:paraId="614A56A6">
                  <w:pPr>
                    <w:jc w:val="center"/>
                    <w:rPr>
                      <w:rFonts w:hint="eastAsia" w:ascii="Times New Roman" w:hAnsi="Times New Roman" w:eastAsia="宋体" w:cs="宋体"/>
                      <w:color w:val="auto"/>
                      <w:sz w:val="18"/>
                      <w:szCs w:val="18"/>
                    </w:rPr>
                  </w:pPr>
                </w:p>
                <w:p w14:paraId="1E8FD746">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0.25</w:t>
                  </w:r>
                </w:p>
              </w:tc>
              <w:tc>
                <w:tcPr>
                  <w:tcW w:w="905" w:type="dxa"/>
                  <w:vAlign w:val="center"/>
                </w:tcPr>
                <w:p w14:paraId="2D38C4D6">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12CE7CC0">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5F35C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42DCC592">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06FCB1C7">
                  <w:pPr>
                    <w:jc w:val="center"/>
                    <w:rPr>
                      <w:rFonts w:hint="eastAsia" w:ascii="Times New Roman" w:hAnsi="Times New Roman" w:eastAsia="宋体" w:cs="宋体"/>
                      <w:color w:val="auto"/>
                      <w:sz w:val="18"/>
                      <w:szCs w:val="18"/>
                    </w:rPr>
                  </w:pPr>
                </w:p>
              </w:tc>
              <w:tc>
                <w:tcPr>
                  <w:tcW w:w="1435" w:type="dxa"/>
                  <w:vAlign w:val="center"/>
                </w:tcPr>
                <w:p w14:paraId="17B33E0E">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08:00</w:t>
                  </w:r>
                </w:p>
              </w:tc>
              <w:tc>
                <w:tcPr>
                  <w:tcW w:w="1640" w:type="dxa"/>
                  <w:vAlign w:val="center"/>
                </w:tcPr>
                <w:p w14:paraId="5DD32D28">
                  <w:pPr>
                    <w:jc w:val="center"/>
                    <w:rPr>
                      <w:rFonts w:hint="default" w:ascii="Times New Roman" w:hAnsi="Times New Roman" w:eastAsia="宋体" w:cs="宋体"/>
                      <w:color w:val="auto"/>
                      <w:sz w:val="18"/>
                      <w:szCs w:val="18"/>
                      <w:lang w:val="en-US" w:eastAsia="zh-CN"/>
                    </w:rPr>
                  </w:pPr>
                  <w:r>
                    <w:rPr>
                      <w:rFonts w:hint="eastAsia" w:ascii="Times New Roman" w:hAnsi="Times New Roman" w:cs="宋体"/>
                      <w:color w:val="auto"/>
                      <w:sz w:val="18"/>
                      <w:szCs w:val="18"/>
                      <w:lang w:val="en-US" w:eastAsia="zh-CN"/>
                    </w:rPr>
                    <w:t>0.030</w:t>
                  </w:r>
                </w:p>
              </w:tc>
              <w:tc>
                <w:tcPr>
                  <w:tcW w:w="1087" w:type="dxa"/>
                  <w:vMerge w:val="continue"/>
                  <w:tcBorders>
                    <w:top w:val="nil"/>
                    <w:bottom w:val="nil"/>
                  </w:tcBorders>
                  <w:vAlign w:val="center"/>
                </w:tcPr>
                <w:p w14:paraId="14AAA514">
                  <w:pPr>
                    <w:jc w:val="center"/>
                    <w:rPr>
                      <w:rFonts w:hint="eastAsia" w:ascii="Times New Roman" w:hAnsi="Times New Roman" w:eastAsia="宋体" w:cs="宋体"/>
                      <w:color w:val="auto"/>
                      <w:sz w:val="18"/>
                      <w:szCs w:val="18"/>
                    </w:rPr>
                  </w:pPr>
                </w:p>
              </w:tc>
              <w:tc>
                <w:tcPr>
                  <w:tcW w:w="905" w:type="dxa"/>
                  <w:vAlign w:val="center"/>
                </w:tcPr>
                <w:p w14:paraId="4DF87964">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1280228C">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3008F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025052D4">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604DDB0F">
                  <w:pPr>
                    <w:jc w:val="center"/>
                    <w:rPr>
                      <w:rFonts w:hint="eastAsia" w:ascii="Times New Roman" w:hAnsi="Times New Roman" w:eastAsia="宋体" w:cs="宋体"/>
                      <w:color w:val="auto"/>
                      <w:sz w:val="18"/>
                      <w:szCs w:val="18"/>
                    </w:rPr>
                  </w:pPr>
                </w:p>
              </w:tc>
              <w:tc>
                <w:tcPr>
                  <w:tcW w:w="1435" w:type="dxa"/>
                  <w:vAlign w:val="center"/>
                </w:tcPr>
                <w:p w14:paraId="624BA2CB">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14:00</w:t>
                  </w:r>
                </w:p>
              </w:tc>
              <w:tc>
                <w:tcPr>
                  <w:tcW w:w="1640" w:type="dxa"/>
                  <w:vAlign w:val="center"/>
                </w:tcPr>
                <w:p w14:paraId="4B64BDDA">
                  <w:pPr>
                    <w:jc w:val="center"/>
                    <w:rPr>
                      <w:rFonts w:hint="default" w:ascii="Times New Roman" w:hAnsi="Times New Roman" w:eastAsia="宋体" w:cs="宋体"/>
                      <w:color w:val="auto"/>
                      <w:sz w:val="18"/>
                      <w:szCs w:val="18"/>
                      <w:lang w:val="en-US" w:eastAsia="zh-CN"/>
                    </w:rPr>
                  </w:pPr>
                  <w:r>
                    <w:rPr>
                      <w:rFonts w:hint="eastAsia" w:ascii="Times New Roman" w:hAnsi="Times New Roman" w:cs="宋体"/>
                      <w:color w:val="auto"/>
                      <w:sz w:val="18"/>
                      <w:szCs w:val="18"/>
                      <w:lang w:val="en-US" w:eastAsia="zh-CN"/>
                    </w:rPr>
                    <w:t>0.034</w:t>
                  </w:r>
                </w:p>
              </w:tc>
              <w:tc>
                <w:tcPr>
                  <w:tcW w:w="1087" w:type="dxa"/>
                  <w:vMerge w:val="continue"/>
                  <w:tcBorders>
                    <w:top w:val="nil"/>
                    <w:bottom w:val="nil"/>
                  </w:tcBorders>
                  <w:vAlign w:val="center"/>
                </w:tcPr>
                <w:p w14:paraId="3AC54406">
                  <w:pPr>
                    <w:jc w:val="center"/>
                    <w:rPr>
                      <w:rFonts w:hint="eastAsia" w:ascii="Times New Roman" w:hAnsi="Times New Roman" w:eastAsia="宋体" w:cs="宋体"/>
                      <w:color w:val="auto"/>
                      <w:sz w:val="18"/>
                      <w:szCs w:val="18"/>
                    </w:rPr>
                  </w:pPr>
                </w:p>
              </w:tc>
              <w:tc>
                <w:tcPr>
                  <w:tcW w:w="905" w:type="dxa"/>
                  <w:vAlign w:val="center"/>
                </w:tcPr>
                <w:p w14:paraId="0BDE52C2">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0411A1FF">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105D5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3237BCBD">
                  <w:pPr>
                    <w:jc w:val="center"/>
                    <w:rPr>
                      <w:rFonts w:hint="eastAsia" w:ascii="Times New Roman" w:hAnsi="Times New Roman" w:eastAsia="宋体" w:cs="宋体"/>
                      <w:color w:val="auto"/>
                      <w:sz w:val="18"/>
                      <w:szCs w:val="18"/>
                    </w:rPr>
                  </w:pPr>
                </w:p>
              </w:tc>
              <w:tc>
                <w:tcPr>
                  <w:tcW w:w="1047" w:type="dxa"/>
                  <w:vMerge w:val="continue"/>
                  <w:tcBorders>
                    <w:top w:val="nil"/>
                  </w:tcBorders>
                  <w:vAlign w:val="center"/>
                </w:tcPr>
                <w:p w14:paraId="2F498E52">
                  <w:pPr>
                    <w:jc w:val="center"/>
                    <w:rPr>
                      <w:rFonts w:hint="eastAsia" w:ascii="Times New Roman" w:hAnsi="Times New Roman" w:eastAsia="宋体" w:cs="宋体"/>
                      <w:color w:val="auto"/>
                      <w:sz w:val="18"/>
                      <w:szCs w:val="18"/>
                    </w:rPr>
                  </w:pPr>
                </w:p>
              </w:tc>
              <w:tc>
                <w:tcPr>
                  <w:tcW w:w="1435" w:type="dxa"/>
                  <w:vAlign w:val="center"/>
                </w:tcPr>
                <w:p w14:paraId="1D10940C">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20:00</w:t>
                  </w:r>
                </w:p>
              </w:tc>
              <w:tc>
                <w:tcPr>
                  <w:tcW w:w="1640" w:type="dxa"/>
                  <w:vAlign w:val="center"/>
                </w:tcPr>
                <w:p w14:paraId="2BBF4798">
                  <w:pPr>
                    <w:jc w:val="center"/>
                    <w:rPr>
                      <w:rFonts w:hint="default" w:ascii="Times New Roman" w:hAnsi="Times New Roman" w:eastAsia="宋体" w:cs="宋体"/>
                      <w:color w:val="auto"/>
                      <w:sz w:val="18"/>
                      <w:szCs w:val="18"/>
                      <w:lang w:val="en-US" w:eastAsia="zh-CN"/>
                    </w:rPr>
                  </w:pPr>
                  <w:r>
                    <w:rPr>
                      <w:rFonts w:hint="eastAsia" w:ascii="Times New Roman" w:hAnsi="Times New Roman" w:cs="宋体"/>
                      <w:color w:val="auto"/>
                      <w:sz w:val="18"/>
                      <w:szCs w:val="18"/>
                      <w:lang w:val="en-US" w:eastAsia="zh-CN"/>
                    </w:rPr>
                    <w:t>0.034</w:t>
                  </w:r>
                </w:p>
              </w:tc>
              <w:tc>
                <w:tcPr>
                  <w:tcW w:w="1087" w:type="dxa"/>
                  <w:vMerge w:val="continue"/>
                  <w:tcBorders>
                    <w:top w:val="nil"/>
                    <w:bottom w:val="nil"/>
                  </w:tcBorders>
                  <w:vAlign w:val="center"/>
                </w:tcPr>
                <w:p w14:paraId="3DD8153D">
                  <w:pPr>
                    <w:jc w:val="center"/>
                    <w:rPr>
                      <w:rFonts w:hint="eastAsia" w:ascii="Times New Roman" w:hAnsi="Times New Roman" w:eastAsia="宋体" w:cs="宋体"/>
                      <w:color w:val="auto"/>
                      <w:sz w:val="18"/>
                      <w:szCs w:val="18"/>
                    </w:rPr>
                  </w:pPr>
                </w:p>
              </w:tc>
              <w:tc>
                <w:tcPr>
                  <w:tcW w:w="905" w:type="dxa"/>
                  <w:vAlign w:val="center"/>
                </w:tcPr>
                <w:p w14:paraId="576CD7B4">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21A7CFA2">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79A17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732" w:type="dxa"/>
                  <w:vMerge w:val="continue"/>
                  <w:tcBorders>
                    <w:top w:val="nil"/>
                    <w:bottom w:val="nil"/>
                  </w:tcBorders>
                  <w:vAlign w:val="center"/>
                </w:tcPr>
                <w:p w14:paraId="6C8BD5FD">
                  <w:pPr>
                    <w:jc w:val="center"/>
                    <w:rPr>
                      <w:rFonts w:hint="eastAsia" w:ascii="Times New Roman" w:hAnsi="Times New Roman" w:eastAsia="宋体" w:cs="宋体"/>
                      <w:color w:val="auto"/>
                      <w:sz w:val="18"/>
                      <w:szCs w:val="18"/>
                    </w:rPr>
                  </w:pPr>
                </w:p>
              </w:tc>
              <w:tc>
                <w:tcPr>
                  <w:tcW w:w="1047" w:type="dxa"/>
                  <w:vMerge w:val="restart"/>
                  <w:tcBorders>
                    <w:bottom w:val="nil"/>
                  </w:tcBorders>
                  <w:vAlign w:val="center"/>
                </w:tcPr>
                <w:p w14:paraId="4B223E05">
                  <w:pPr>
                    <w:jc w:val="center"/>
                    <w:rPr>
                      <w:rFonts w:hint="eastAsia" w:ascii="Times New Roman" w:hAnsi="Times New Roman" w:eastAsia="宋体" w:cs="宋体"/>
                      <w:color w:val="auto"/>
                      <w:sz w:val="18"/>
                      <w:szCs w:val="18"/>
                    </w:rPr>
                  </w:pPr>
                </w:p>
                <w:p w14:paraId="01C90748">
                  <w:pPr>
                    <w:jc w:val="center"/>
                    <w:rPr>
                      <w:rFonts w:hint="eastAsia" w:ascii="Times New Roman" w:hAnsi="Times New Roman" w:eastAsia="宋体" w:cs="宋体"/>
                      <w:color w:val="auto"/>
                      <w:sz w:val="18"/>
                      <w:szCs w:val="18"/>
                    </w:rPr>
                  </w:pPr>
                </w:p>
                <w:p w14:paraId="53912338">
                  <w:pPr>
                    <w:jc w:val="center"/>
                    <w:rPr>
                      <w:rFonts w:hint="default" w:ascii="Times New Roman" w:hAnsi="Times New Roman" w:eastAsia="宋体" w:cs="宋体"/>
                      <w:color w:val="auto"/>
                      <w:sz w:val="18"/>
                      <w:szCs w:val="18"/>
                      <w:lang w:val="en-US"/>
                    </w:rPr>
                  </w:pPr>
                  <w:r>
                    <w:rPr>
                      <w:rFonts w:hint="eastAsia" w:ascii="Times New Roman" w:hAnsi="Times New Roman" w:eastAsia="宋体" w:cs="宋体"/>
                      <w:color w:val="auto"/>
                      <w:sz w:val="18"/>
                      <w:szCs w:val="18"/>
                    </w:rPr>
                    <w:t>2024.</w:t>
                  </w:r>
                  <w:r>
                    <w:rPr>
                      <w:rFonts w:hint="eastAsia" w:ascii="Times New Roman" w:hAnsi="Times New Roman" w:cs="宋体"/>
                      <w:color w:val="auto"/>
                      <w:sz w:val="18"/>
                      <w:szCs w:val="18"/>
                      <w:lang w:val="en-US" w:eastAsia="zh-CN"/>
                    </w:rPr>
                    <w:t>12</w:t>
                  </w:r>
                  <w:r>
                    <w:rPr>
                      <w:rFonts w:hint="eastAsia" w:ascii="Times New Roman" w:hAnsi="Times New Roman" w:eastAsia="宋体" w:cs="宋体"/>
                      <w:color w:val="auto"/>
                      <w:sz w:val="18"/>
                      <w:szCs w:val="18"/>
                    </w:rPr>
                    <w:t>.</w:t>
                  </w:r>
                  <w:r>
                    <w:rPr>
                      <w:rFonts w:hint="eastAsia" w:ascii="Times New Roman" w:hAnsi="Times New Roman" w:cs="宋体"/>
                      <w:color w:val="auto"/>
                      <w:sz w:val="18"/>
                      <w:szCs w:val="18"/>
                      <w:lang w:val="en-US" w:eastAsia="zh-CN"/>
                    </w:rPr>
                    <w:t>07</w:t>
                  </w:r>
                </w:p>
              </w:tc>
              <w:tc>
                <w:tcPr>
                  <w:tcW w:w="1435" w:type="dxa"/>
                  <w:vAlign w:val="center"/>
                </w:tcPr>
                <w:p w14:paraId="4E18896E">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02:00</w:t>
                  </w:r>
                </w:p>
              </w:tc>
              <w:tc>
                <w:tcPr>
                  <w:tcW w:w="1640" w:type="dxa"/>
                  <w:vAlign w:val="center"/>
                </w:tcPr>
                <w:p w14:paraId="1C24AC3E">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0.037</w:t>
                  </w:r>
                </w:p>
              </w:tc>
              <w:tc>
                <w:tcPr>
                  <w:tcW w:w="1087" w:type="dxa"/>
                  <w:vMerge w:val="continue"/>
                  <w:tcBorders>
                    <w:top w:val="nil"/>
                    <w:bottom w:val="nil"/>
                  </w:tcBorders>
                  <w:vAlign w:val="center"/>
                </w:tcPr>
                <w:p w14:paraId="1966F195">
                  <w:pPr>
                    <w:jc w:val="center"/>
                    <w:rPr>
                      <w:rFonts w:hint="eastAsia" w:ascii="Times New Roman" w:hAnsi="Times New Roman" w:eastAsia="宋体" w:cs="宋体"/>
                      <w:color w:val="auto"/>
                      <w:sz w:val="18"/>
                      <w:szCs w:val="18"/>
                    </w:rPr>
                  </w:pPr>
                </w:p>
              </w:tc>
              <w:tc>
                <w:tcPr>
                  <w:tcW w:w="905" w:type="dxa"/>
                  <w:vAlign w:val="center"/>
                </w:tcPr>
                <w:p w14:paraId="74108A5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7D10BB43">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eastAsia="宋体" w:cs="宋体"/>
                      <w:color w:val="auto"/>
                      <w:sz w:val="18"/>
                      <w:szCs w:val="18"/>
                      <w:lang w:val="en-US" w:eastAsia="zh-CN"/>
                    </w:rPr>
                    <w:t>m</w:t>
                  </w:r>
                  <w:r>
                    <w:rPr>
                      <w:rFonts w:hint="eastAsia" w:ascii="Times New Roman" w:hAnsi="Times New Roman" w:eastAsia="宋体" w:cs="宋体"/>
                      <w:color w:val="auto"/>
                      <w:sz w:val="18"/>
                      <w:szCs w:val="18"/>
                      <w:vertAlign w:val="superscript"/>
                      <w:lang w:val="en-US" w:eastAsia="zh-CN"/>
                    </w:rPr>
                    <w:t>3</w:t>
                  </w:r>
                </w:p>
              </w:tc>
            </w:tr>
            <w:tr w14:paraId="03650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37BAC0CF">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4B8BA09E">
                  <w:pPr>
                    <w:jc w:val="center"/>
                    <w:rPr>
                      <w:rFonts w:hint="eastAsia" w:ascii="Times New Roman" w:hAnsi="Times New Roman" w:eastAsia="宋体" w:cs="宋体"/>
                      <w:color w:val="auto"/>
                      <w:sz w:val="18"/>
                      <w:szCs w:val="18"/>
                    </w:rPr>
                  </w:pPr>
                </w:p>
              </w:tc>
              <w:tc>
                <w:tcPr>
                  <w:tcW w:w="1435" w:type="dxa"/>
                  <w:vAlign w:val="center"/>
                </w:tcPr>
                <w:p w14:paraId="4E3EB19E">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08:00</w:t>
                  </w:r>
                </w:p>
              </w:tc>
              <w:tc>
                <w:tcPr>
                  <w:tcW w:w="1640" w:type="dxa"/>
                  <w:vAlign w:val="center"/>
                </w:tcPr>
                <w:p w14:paraId="48C6E61F">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0.038</w:t>
                  </w:r>
                </w:p>
              </w:tc>
              <w:tc>
                <w:tcPr>
                  <w:tcW w:w="1087" w:type="dxa"/>
                  <w:vMerge w:val="continue"/>
                  <w:tcBorders>
                    <w:top w:val="nil"/>
                    <w:bottom w:val="nil"/>
                  </w:tcBorders>
                  <w:vAlign w:val="center"/>
                </w:tcPr>
                <w:p w14:paraId="45FC6F0E">
                  <w:pPr>
                    <w:jc w:val="center"/>
                    <w:rPr>
                      <w:rFonts w:hint="eastAsia" w:ascii="Times New Roman" w:hAnsi="Times New Roman" w:eastAsia="宋体" w:cs="宋体"/>
                      <w:color w:val="auto"/>
                      <w:sz w:val="18"/>
                      <w:szCs w:val="18"/>
                    </w:rPr>
                  </w:pPr>
                </w:p>
              </w:tc>
              <w:tc>
                <w:tcPr>
                  <w:tcW w:w="905" w:type="dxa"/>
                  <w:vAlign w:val="center"/>
                </w:tcPr>
                <w:p w14:paraId="476FA7C6">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5F0A47CB">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6195B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34DEBFA4">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3B89518C">
                  <w:pPr>
                    <w:jc w:val="center"/>
                    <w:rPr>
                      <w:rFonts w:hint="eastAsia" w:ascii="Times New Roman" w:hAnsi="Times New Roman" w:eastAsia="宋体" w:cs="宋体"/>
                      <w:color w:val="auto"/>
                      <w:sz w:val="18"/>
                      <w:szCs w:val="18"/>
                    </w:rPr>
                  </w:pPr>
                </w:p>
              </w:tc>
              <w:tc>
                <w:tcPr>
                  <w:tcW w:w="1435" w:type="dxa"/>
                  <w:vAlign w:val="center"/>
                </w:tcPr>
                <w:p w14:paraId="073C57AD">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14:00</w:t>
                  </w:r>
                </w:p>
              </w:tc>
              <w:tc>
                <w:tcPr>
                  <w:tcW w:w="1640" w:type="dxa"/>
                  <w:vAlign w:val="center"/>
                </w:tcPr>
                <w:p w14:paraId="36A7591C">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0.035</w:t>
                  </w:r>
                </w:p>
              </w:tc>
              <w:tc>
                <w:tcPr>
                  <w:tcW w:w="1087" w:type="dxa"/>
                  <w:vMerge w:val="continue"/>
                  <w:tcBorders>
                    <w:top w:val="nil"/>
                    <w:bottom w:val="nil"/>
                  </w:tcBorders>
                  <w:vAlign w:val="center"/>
                </w:tcPr>
                <w:p w14:paraId="4D162039">
                  <w:pPr>
                    <w:jc w:val="center"/>
                    <w:rPr>
                      <w:rFonts w:hint="eastAsia" w:ascii="Times New Roman" w:hAnsi="Times New Roman" w:eastAsia="宋体" w:cs="宋体"/>
                      <w:color w:val="auto"/>
                      <w:sz w:val="18"/>
                      <w:szCs w:val="18"/>
                    </w:rPr>
                  </w:pPr>
                </w:p>
              </w:tc>
              <w:tc>
                <w:tcPr>
                  <w:tcW w:w="905" w:type="dxa"/>
                  <w:vAlign w:val="center"/>
                </w:tcPr>
                <w:p w14:paraId="2A541BB8">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122D40BD">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3DA1B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6FB35057">
                  <w:pPr>
                    <w:jc w:val="center"/>
                    <w:rPr>
                      <w:rFonts w:hint="eastAsia" w:ascii="Times New Roman" w:hAnsi="Times New Roman" w:eastAsia="宋体" w:cs="宋体"/>
                      <w:color w:val="auto"/>
                      <w:sz w:val="18"/>
                      <w:szCs w:val="18"/>
                    </w:rPr>
                  </w:pPr>
                </w:p>
              </w:tc>
              <w:tc>
                <w:tcPr>
                  <w:tcW w:w="1047" w:type="dxa"/>
                  <w:vMerge w:val="continue"/>
                  <w:tcBorders>
                    <w:top w:val="nil"/>
                  </w:tcBorders>
                  <w:vAlign w:val="center"/>
                </w:tcPr>
                <w:p w14:paraId="7D476F3F">
                  <w:pPr>
                    <w:jc w:val="center"/>
                    <w:rPr>
                      <w:rFonts w:hint="eastAsia" w:ascii="Times New Roman" w:hAnsi="Times New Roman" w:eastAsia="宋体" w:cs="宋体"/>
                      <w:color w:val="auto"/>
                      <w:sz w:val="18"/>
                      <w:szCs w:val="18"/>
                    </w:rPr>
                  </w:pPr>
                </w:p>
              </w:tc>
              <w:tc>
                <w:tcPr>
                  <w:tcW w:w="1435" w:type="dxa"/>
                  <w:vAlign w:val="center"/>
                </w:tcPr>
                <w:p w14:paraId="49BB738F">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20:00</w:t>
                  </w:r>
                </w:p>
              </w:tc>
              <w:tc>
                <w:tcPr>
                  <w:tcW w:w="1640" w:type="dxa"/>
                  <w:vAlign w:val="center"/>
                </w:tcPr>
                <w:p w14:paraId="1D4135E1">
                  <w:pPr>
                    <w:jc w:val="center"/>
                    <w:rPr>
                      <w:rFonts w:hint="eastAsia" w:ascii="Times New Roman" w:hAnsi="Times New Roman" w:eastAsia="宋体" w:cs="宋体"/>
                      <w:color w:val="auto"/>
                      <w:sz w:val="18"/>
                      <w:szCs w:val="18"/>
                    </w:rPr>
                  </w:pPr>
                  <w:r>
                    <w:rPr>
                      <w:rFonts w:hint="eastAsia" w:ascii="Times New Roman" w:hAnsi="Times New Roman" w:cs="宋体"/>
                      <w:color w:val="auto"/>
                      <w:sz w:val="18"/>
                      <w:szCs w:val="18"/>
                      <w:lang w:val="en-US" w:eastAsia="zh-CN"/>
                    </w:rPr>
                    <w:t>0.034</w:t>
                  </w:r>
                </w:p>
              </w:tc>
              <w:tc>
                <w:tcPr>
                  <w:tcW w:w="1087" w:type="dxa"/>
                  <w:vMerge w:val="continue"/>
                  <w:tcBorders>
                    <w:top w:val="nil"/>
                    <w:bottom w:val="nil"/>
                  </w:tcBorders>
                  <w:vAlign w:val="center"/>
                </w:tcPr>
                <w:p w14:paraId="387C9F2E">
                  <w:pPr>
                    <w:jc w:val="center"/>
                    <w:rPr>
                      <w:rFonts w:hint="eastAsia" w:ascii="Times New Roman" w:hAnsi="Times New Roman" w:eastAsia="宋体" w:cs="宋体"/>
                      <w:color w:val="auto"/>
                      <w:sz w:val="18"/>
                      <w:szCs w:val="18"/>
                    </w:rPr>
                  </w:pPr>
                </w:p>
              </w:tc>
              <w:tc>
                <w:tcPr>
                  <w:tcW w:w="905" w:type="dxa"/>
                  <w:vAlign w:val="center"/>
                </w:tcPr>
                <w:p w14:paraId="2073AF24">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394A4054">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6C8F1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732" w:type="dxa"/>
                  <w:vMerge w:val="continue"/>
                  <w:tcBorders>
                    <w:top w:val="nil"/>
                    <w:bottom w:val="nil"/>
                  </w:tcBorders>
                  <w:vAlign w:val="center"/>
                </w:tcPr>
                <w:p w14:paraId="709A2952">
                  <w:pPr>
                    <w:jc w:val="center"/>
                    <w:rPr>
                      <w:rFonts w:hint="eastAsia" w:ascii="Times New Roman" w:hAnsi="Times New Roman" w:eastAsia="宋体" w:cs="宋体"/>
                      <w:color w:val="auto"/>
                      <w:sz w:val="18"/>
                      <w:szCs w:val="18"/>
                    </w:rPr>
                  </w:pPr>
                </w:p>
              </w:tc>
              <w:tc>
                <w:tcPr>
                  <w:tcW w:w="1047" w:type="dxa"/>
                  <w:vMerge w:val="restart"/>
                  <w:tcBorders>
                    <w:bottom w:val="nil"/>
                  </w:tcBorders>
                  <w:vAlign w:val="center"/>
                </w:tcPr>
                <w:p w14:paraId="0E8A03F6">
                  <w:pPr>
                    <w:jc w:val="center"/>
                    <w:rPr>
                      <w:rFonts w:hint="eastAsia" w:ascii="Times New Roman" w:hAnsi="Times New Roman" w:eastAsia="宋体" w:cs="宋体"/>
                      <w:color w:val="auto"/>
                      <w:sz w:val="18"/>
                      <w:szCs w:val="18"/>
                    </w:rPr>
                  </w:pPr>
                </w:p>
                <w:p w14:paraId="4B1F74E2">
                  <w:pPr>
                    <w:jc w:val="center"/>
                    <w:rPr>
                      <w:rFonts w:hint="eastAsia" w:ascii="Times New Roman" w:hAnsi="Times New Roman" w:eastAsia="宋体" w:cs="宋体"/>
                      <w:color w:val="auto"/>
                      <w:sz w:val="18"/>
                      <w:szCs w:val="18"/>
                    </w:rPr>
                  </w:pPr>
                </w:p>
                <w:p w14:paraId="5D8F46BC">
                  <w:pPr>
                    <w:jc w:val="center"/>
                    <w:rPr>
                      <w:rFonts w:hint="default" w:ascii="Times New Roman" w:hAnsi="Times New Roman" w:eastAsia="宋体" w:cs="宋体"/>
                      <w:color w:val="auto"/>
                      <w:sz w:val="18"/>
                      <w:szCs w:val="18"/>
                      <w:lang w:val="en-US"/>
                    </w:rPr>
                  </w:pPr>
                  <w:r>
                    <w:rPr>
                      <w:rFonts w:hint="eastAsia" w:ascii="Times New Roman" w:hAnsi="Times New Roman" w:eastAsia="宋体" w:cs="宋体"/>
                      <w:color w:val="auto"/>
                      <w:sz w:val="18"/>
                      <w:szCs w:val="18"/>
                    </w:rPr>
                    <w:t>2024.</w:t>
                  </w:r>
                  <w:r>
                    <w:rPr>
                      <w:rFonts w:hint="eastAsia" w:ascii="Times New Roman" w:hAnsi="Times New Roman" w:cs="宋体"/>
                      <w:color w:val="auto"/>
                      <w:sz w:val="18"/>
                      <w:szCs w:val="18"/>
                      <w:lang w:val="en-US" w:eastAsia="zh-CN"/>
                    </w:rPr>
                    <w:t>12</w:t>
                  </w:r>
                  <w:r>
                    <w:rPr>
                      <w:rFonts w:hint="eastAsia" w:ascii="Times New Roman" w:hAnsi="Times New Roman" w:eastAsia="宋体" w:cs="宋体"/>
                      <w:color w:val="auto"/>
                      <w:sz w:val="18"/>
                      <w:szCs w:val="18"/>
                    </w:rPr>
                    <w:t>.</w:t>
                  </w:r>
                  <w:r>
                    <w:rPr>
                      <w:rFonts w:hint="eastAsia" w:ascii="Times New Roman" w:hAnsi="Times New Roman" w:cs="宋体"/>
                      <w:color w:val="auto"/>
                      <w:sz w:val="18"/>
                      <w:szCs w:val="18"/>
                      <w:lang w:val="en-US" w:eastAsia="zh-CN"/>
                    </w:rPr>
                    <w:t>08</w:t>
                  </w:r>
                </w:p>
              </w:tc>
              <w:tc>
                <w:tcPr>
                  <w:tcW w:w="1435" w:type="dxa"/>
                  <w:vAlign w:val="center"/>
                </w:tcPr>
                <w:p w14:paraId="544C4C88">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02:00</w:t>
                  </w:r>
                </w:p>
              </w:tc>
              <w:tc>
                <w:tcPr>
                  <w:tcW w:w="1640" w:type="dxa"/>
                  <w:vAlign w:val="center"/>
                </w:tcPr>
                <w:p w14:paraId="0770569A">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0.035</w:t>
                  </w:r>
                </w:p>
              </w:tc>
              <w:tc>
                <w:tcPr>
                  <w:tcW w:w="1087" w:type="dxa"/>
                  <w:vMerge w:val="continue"/>
                  <w:tcBorders>
                    <w:top w:val="nil"/>
                    <w:bottom w:val="nil"/>
                  </w:tcBorders>
                  <w:vAlign w:val="center"/>
                </w:tcPr>
                <w:p w14:paraId="137D6BB2">
                  <w:pPr>
                    <w:jc w:val="center"/>
                    <w:rPr>
                      <w:rFonts w:hint="eastAsia" w:ascii="Times New Roman" w:hAnsi="Times New Roman" w:eastAsia="宋体" w:cs="宋体"/>
                      <w:color w:val="auto"/>
                      <w:sz w:val="18"/>
                      <w:szCs w:val="18"/>
                    </w:rPr>
                  </w:pPr>
                </w:p>
              </w:tc>
              <w:tc>
                <w:tcPr>
                  <w:tcW w:w="905" w:type="dxa"/>
                  <w:vAlign w:val="center"/>
                </w:tcPr>
                <w:p w14:paraId="6D072FB0">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14117545">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6B144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37AAF307">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43BFDE8D">
                  <w:pPr>
                    <w:jc w:val="center"/>
                    <w:rPr>
                      <w:rFonts w:hint="eastAsia" w:ascii="Times New Roman" w:hAnsi="Times New Roman" w:eastAsia="宋体" w:cs="宋体"/>
                      <w:color w:val="auto"/>
                      <w:sz w:val="18"/>
                      <w:szCs w:val="18"/>
                    </w:rPr>
                  </w:pPr>
                </w:p>
              </w:tc>
              <w:tc>
                <w:tcPr>
                  <w:tcW w:w="1435" w:type="dxa"/>
                  <w:vAlign w:val="center"/>
                </w:tcPr>
                <w:p w14:paraId="1BD4CE18">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08:00</w:t>
                  </w:r>
                </w:p>
              </w:tc>
              <w:tc>
                <w:tcPr>
                  <w:tcW w:w="1640" w:type="dxa"/>
                  <w:vAlign w:val="center"/>
                </w:tcPr>
                <w:p w14:paraId="132004D3">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0.036</w:t>
                  </w:r>
                </w:p>
              </w:tc>
              <w:tc>
                <w:tcPr>
                  <w:tcW w:w="1087" w:type="dxa"/>
                  <w:vMerge w:val="continue"/>
                  <w:tcBorders>
                    <w:top w:val="nil"/>
                    <w:bottom w:val="nil"/>
                  </w:tcBorders>
                  <w:vAlign w:val="center"/>
                </w:tcPr>
                <w:p w14:paraId="67762503">
                  <w:pPr>
                    <w:jc w:val="center"/>
                    <w:rPr>
                      <w:rFonts w:hint="eastAsia" w:ascii="Times New Roman" w:hAnsi="Times New Roman" w:eastAsia="宋体" w:cs="宋体"/>
                      <w:color w:val="auto"/>
                      <w:sz w:val="18"/>
                      <w:szCs w:val="18"/>
                    </w:rPr>
                  </w:pPr>
                </w:p>
              </w:tc>
              <w:tc>
                <w:tcPr>
                  <w:tcW w:w="905" w:type="dxa"/>
                  <w:vAlign w:val="center"/>
                </w:tcPr>
                <w:p w14:paraId="0DDAD3CE">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0B297B6F">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5EFE2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732" w:type="dxa"/>
                  <w:vMerge w:val="continue"/>
                  <w:tcBorders>
                    <w:top w:val="nil"/>
                    <w:bottom w:val="nil"/>
                  </w:tcBorders>
                  <w:vAlign w:val="center"/>
                </w:tcPr>
                <w:p w14:paraId="6DDAC6E3">
                  <w:pPr>
                    <w:jc w:val="center"/>
                    <w:rPr>
                      <w:rFonts w:hint="eastAsia" w:ascii="Times New Roman" w:hAnsi="Times New Roman" w:eastAsia="宋体" w:cs="宋体"/>
                      <w:color w:val="auto"/>
                      <w:sz w:val="18"/>
                      <w:szCs w:val="18"/>
                    </w:rPr>
                  </w:pPr>
                </w:p>
              </w:tc>
              <w:tc>
                <w:tcPr>
                  <w:tcW w:w="1047" w:type="dxa"/>
                  <w:vMerge w:val="continue"/>
                  <w:tcBorders>
                    <w:top w:val="nil"/>
                    <w:bottom w:val="nil"/>
                  </w:tcBorders>
                  <w:vAlign w:val="center"/>
                </w:tcPr>
                <w:p w14:paraId="3DF02B60">
                  <w:pPr>
                    <w:jc w:val="center"/>
                    <w:rPr>
                      <w:rFonts w:hint="eastAsia" w:ascii="Times New Roman" w:hAnsi="Times New Roman" w:eastAsia="宋体" w:cs="宋体"/>
                      <w:color w:val="auto"/>
                      <w:sz w:val="18"/>
                      <w:szCs w:val="18"/>
                    </w:rPr>
                  </w:pPr>
                </w:p>
              </w:tc>
              <w:tc>
                <w:tcPr>
                  <w:tcW w:w="1435" w:type="dxa"/>
                  <w:vAlign w:val="center"/>
                </w:tcPr>
                <w:p w14:paraId="43A14DCD">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14:00</w:t>
                  </w:r>
                </w:p>
              </w:tc>
              <w:tc>
                <w:tcPr>
                  <w:tcW w:w="1640" w:type="dxa"/>
                  <w:vAlign w:val="center"/>
                </w:tcPr>
                <w:p w14:paraId="23CF3677">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0.039</w:t>
                  </w:r>
                </w:p>
              </w:tc>
              <w:tc>
                <w:tcPr>
                  <w:tcW w:w="1087" w:type="dxa"/>
                  <w:vMerge w:val="continue"/>
                  <w:tcBorders>
                    <w:top w:val="nil"/>
                    <w:bottom w:val="nil"/>
                  </w:tcBorders>
                  <w:vAlign w:val="center"/>
                </w:tcPr>
                <w:p w14:paraId="6AAC4565">
                  <w:pPr>
                    <w:jc w:val="center"/>
                    <w:rPr>
                      <w:rFonts w:hint="eastAsia" w:ascii="Times New Roman" w:hAnsi="Times New Roman" w:eastAsia="宋体" w:cs="宋体"/>
                      <w:color w:val="auto"/>
                      <w:sz w:val="18"/>
                      <w:szCs w:val="18"/>
                    </w:rPr>
                  </w:pPr>
                </w:p>
              </w:tc>
              <w:tc>
                <w:tcPr>
                  <w:tcW w:w="905" w:type="dxa"/>
                  <w:vAlign w:val="center"/>
                </w:tcPr>
                <w:p w14:paraId="1EA07C57">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02BDF563">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r w14:paraId="3628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732" w:type="dxa"/>
                  <w:vMerge w:val="continue"/>
                  <w:tcBorders>
                    <w:top w:val="nil"/>
                  </w:tcBorders>
                  <w:vAlign w:val="center"/>
                </w:tcPr>
                <w:p w14:paraId="3C4B2792">
                  <w:pPr>
                    <w:jc w:val="center"/>
                    <w:rPr>
                      <w:rFonts w:hint="eastAsia" w:ascii="Times New Roman" w:hAnsi="Times New Roman" w:eastAsia="宋体" w:cs="宋体"/>
                      <w:color w:val="auto"/>
                      <w:sz w:val="18"/>
                      <w:szCs w:val="18"/>
                    </w:rPr>
                  </w:pPr>
                </w:p>
              </w:tc>
              <w:tc>
                <w:tcPr>
                  <w:tcW w:w="1047" w:type="dxa"/>
                  <w:vMerge w:val="continue"/>
                  <w:tcBorders>
                    <w:top w:val="nil"/>
                  </w:tcBorders>
                  <w:vAlign w:val="center"/>
                </w:tcPr>
                <w:p w14:paraId="53A17385">
                  <w:pPr>
                    <w:jc w:val="center"/>
                    <w:rPr>
                      <w:rFonts w:hint="eastAsia" w:ascii="Times New Roman" w:hAnsi="Times New Roman" w:eastAsia="宋体" w:cs="宋体"/>
                      <w:color w:val="auto"/>
                      <w:sz w:val="18"/>
                      <w:szCs w:val="18"/>
                    </w:rPr>
                  </w:pPr>
                </w:p>
              </w:tc>
              <w:tc>
                <w:tcPr>
                  <w:tcW w:w="1435" w:type="dxa"/>
                  <w:vAlign w:val="center"/>
                </w:tcPr>
                <w:p w14:paraId="20971412">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20:00</w:t>
                  </w:r>
                </w:p>
              </w:tc>
              <w:tc>
                <w:tcPr>
                  <w:tcW w:w="1640" w:type="dxa"/>
                  <w:vAlign w:val="center"/>
                </w:tcPr>
                <w:p w14:paraId="7A4F8766">
                  <w:pPr>
                    <w:jc w:val="center"/>
                    <w:rPr>
                      <w:rFonts w:hint="default" w:ascii="Times New Roman" w:hAnsi="Times New Roman" w:eastAsia="宋体" w:cs="宋体"/>
                      <w:color w:val="auto"/>
                      <w:sz w:val="18"/>
                      <w:szCs w:val="18"/>
                      <w:lang w:val="en-US"/>
                    </w:rPr>
                  </w:pPr>
                  <w:r>
                    <w:rPr>
                      <w:rFonts w:hint="eastAsia" w:ascii="Times New Roman" w:hAnsi="Times New Roman" w:cs="宋体"/>
                      <w:color w:val="auto"/>
                      <w:sz w:val="18"/>
                      <w:szCs w:val="18"/>
                      <w:lang w:val="en-US" w:eastAsia="zh-CN"/>
                    </w:rPr>
                    <w:t>0.037</w:t>
                  </w:r>
                </w:p>
              </w:tc>
              <w:tc>
                <w:tcPr>
                  <w:tcW w:w="1087" w:type="dxa"/>
                  <w:vMerge w:val="continue"/>
                  <w:tcBorders>
                    <w:top w:val="nil"/>
                  </w:tcBorders>
                  <w:vAlign w:val="center"/>
                </w:tcPr>
                <w:p w14:paraId="295F9DE7">
                  <w:pPr>
                    <w:jc w:val="center"/>
                    <w:rPr>
                      <w:rFonts w:hint="eastAsia" w:ascii="Times New Roman" w:hAnsi="Times New Roman" w:eastAsia="宋体" w:cs="宋体"/>
                      <w:color w:val="auto"/>
                      <w:sz w:val="18"/>
                      <w:szCs w:val="18"/>
                    </w:rPr>
                  </w:pPr>
                </w:p>
              </w:tc>
              <w:tc>
                <w:tcPr>
                  <w:tcW w:w="905" w:type="dxa"/>
                  <w:vAlign w:val="center"/>
                </w:tcPr>
                <w:p w14:paraId="5C3590D7">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达标</w:t>
                  </w:r>
                </w:p>
              </w:tc>
              <w:tc>
                <w:tcPr>
                  <w:tcW w:w="854" w:type="dxa"/>
                  <w:tcBorders>
                    <w:right w:val="single" w:color="000000" w:sz="6" w:space="0"/>
                  </w:tcBorders>
                  <w:vAlign w:val="center"/>
                </w:tcPr>
                <w:p w14:paraId="60513E3F">
                  <w:pPr>
                    <w:jc w:val="center"/>
                    <w:rPr>
                      <w:rFonts w:hint="eastAsia" w:ascii="Times New Roman" w:hAnsi="Times New Roman" w:eastAsia="宋体" w:cs="宋体"/>
                      <w:color w:val="auto"/>
                      <w:sz w:val="18"/>
                      <w:szCs w:val="18"/>
                      <w:lang w:eastAsia="zh-CN"/>
                    </w:rPr>
                  </w:pPr>
                  <w:r>
                    <w:rPr>
                      <w:rFonts w:hint="eastAsia" w:ascii="Times New Roman" w:hAnsi="Times New Roman" w:eastAsia="宋体" w:cs="宋体"/>
                      <w:color w:val="auto"/>
                      <w:sz w:val="18"/>
                      <w:szCs w:val="18"/>
                    </w:rPr>
                    <w:t>mg/</w:t>
                  </w:r>
                  <w:r>
                    <w:rPr>
                      <w:rFonts w:hint="eastAsia" w:ascii="Times New Roman" w:hAnsi="Times New Roman" w:cs="宋体"/>
                      <w:color w:val="auto"/>
                      <w:sz w:val="18"/>
                      <w:szCs w:val="18"/>
                      <w:lang w:eastAsia="zh-CN"/>
                    </w:rPr>
                    <w:t>m3</w:t>
                  </w:r>
                </w:p>
              </w:tc>
            </w:tr>
          </w:tbl>
          <w:p w14:paraId="64ED23CA">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根据上表可以看出，项目区下风向颗粒物日均值、氮氧化物的小时值和日均值均满足</w:t>
            </w:r>
            <w:r>
              <w:rPr>
                <w:rFonts w:hint="eastAsia" w:ascii="Times New Roman" w:hAnsi="Times New Roman" w:eastAsia="宋体" w:cs="Times New Roman"/>
                <w:bCs/>
                <w:color w:val="auto"/>
                <w:sz w:val="24"/>
                <w:szCs w:val="24"/>
                <w:highlight w:val="none"/>
                <w:lang w:val="en-US" w:eastAsia="zh-CN"/>
              </w:rPr>
              <w:t>《环境空气质量标准》（GB3095-2012及其修改单）</w:t>
            </w:r>
            <w:r>
              <w:rPr>
                <w:rFonts w:hint="default" w:ascii="Times New Roman" w:hAnsi="Times New Roman" w:eastAsia="宋体" w:cs="Times New Roman"/>
                <w:bCs/>
                <w:color w:val="auto"/>
                <w:sz w:val="24"/>
                <w:szCs w:val="24"/>
                <w:highlight w:val="none"/>
                <w:lang w:val="en-US" w:eastAsia="zh-CN"/>
              </w:rPr>
              <w:t>中二级标准。</w:t>
            </w:r>
          </w:p>
          <w:p w14:paraId="335A99A1">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综上所述，项目所在区域的环境空气质量能达到</w:t>
            </w:r>
            <w:r>
              <w:rPr>
                <w:rFonts w:hint="eastAsia" w:ascii="Times New Roman" w:hAnsi="Times New Roman" w:eastAsia="宋体" w:cs="Times New Roman"/>
                <w:bCs/>
                <w:color w:val="auto"/>
                <w:sz w:val="24"/>
                <w:szCs w:val="24"/>
                <w:highlight w:val="none"/>
                <w:lang w:val="en-US" w:eastAsia="zh-CN"/>
              </w:rPr>
              <w:t>《环境空气质量标准》（GB3095-2012及其修改单）</w:t>
            </w:r>
            <w:r>
              <w:rPr>
                <w:rFonts w:hint="default" w:ascii="Times New Roman" w:hAnsi="Times New Roman" w:eastAsia="宋体" w:cs="Times New Roman"/>
                <w:bCs/>
                <w:color w:val="auto"/>
                <w:sz w:val="24"/>
                <w:szCs w:val="24"/>
                <w:highlight w:val="none"/>
                <w:lang w:val="en-US" w:eastAsia="zh-CN"/>
              </w:rPr>
              <w:t>二级标准，项目区域环境空气质量良好。</w:t>
            </w:r>
          </w:p>
          <w:p w14:paraId="1242094B">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2、地表水环境质量现状</w:t>
            </w:r>
          </w:p>
          <w:p w14:paraId="146B440E">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根据项目区域水系图可知，本项目距离最近的地表水体为东侧</w:t>
            </w:r>
            <w:r>
              <w:rPr>
                <w:rFonts w:hint="eastAsia" w:ascii="Times New Roman" w:hAnsi="Times New Roman" w:eastAsia="宋体" w:cs="Times New Roman"/>
                <w:bCs/>
                <w:color w:val="auto"/>
                <w:sz w:val="24"/>
                <w:szCs w:val="24"/>
                <w:highlight w:val="none"/>
                <w:lang w:val="en-US" w:eastAsia="zh-CN"/>
              </w:rPr>
              <w:t>850</w:t>
            </w:r>
            <w:r>
              <w:rPr>
                <w:rFonts w:hint="default" w:ascii="Times New Roman" w:hAnsi="Times New Roman" w:eastAsia="宋体" w:cs="Times New Roman"/>
                <w:bCs/>
                <w:color w:val="auto"/>
                <w:sz w:val="24"/>
                <w:szCs w:val="24"/>
                <w:highlight w:val="none"/>
                <w:lang w:val="en-US" w:eastAsia="zh-CN"/>
              </w:rPr>
              <w:t>m的</w:t>
            </w:r>
            <w:r>
              <w:rPr>
                <w:rFonts w:hint="eastAsia" w:ascii="Times New Roman" w:hAnsi="Times New Roman" w:eastAsia="宋体"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hint="eastAsia" w:ascii="Times New Roman" w:hAnsi="Times New Roman" w:eastAsia="宋体" w:cs="Times New Roman"/>
                <w:bCs/>
                <w:color w:val="auto"/>
                <w:sz w:val="24"/>
                <w:szCs w:val="24"/>
                <w:highlight w:val="none"/>
                <w:lang w:val="en-US" w:eastAsia="zh-CN"/>
              </w:rPr>
              <w:t xml:space="preserve">兔耳河自北向南流入前进河，前进河为牛栏江左岸支流，发源于寻甸县金所乡马鞍山，流经老山箐、张所，在谓所下游 </w:t>
            </w:r>
            <w:r>
              <w:rPr>
                <w:rFonts w:hint="default" w:ascii="Times New Roman" w:hAnsi="Times New Roman" w:eastAsia="宋体" w:cs="Times New Roman"/>
                <w:bCs/>
                <w:color w:val="auto"/>
                <w:sz w:val="24"/>
                <w:szCs w:val="24"/>
                <w:highlight w:val="none"/>
                <w:lang w:val="en-US" w:eastAsia="zh-CN"/>
              </w:rPr>
              <w:t xml:space="preserve">3.2km </w:t>
            </w:r>
            <w:r>
              <w:rPr>
                <w:rFonts w:hint="eastAsia" w:ascii="Times New Roman" w:hAnsi="Times New Roman" w:eastAsia="宋体" w:cs="Times New Roman"/>
                <w:bCs/>
                <w:color w:val="auto"/>
                <w:sz w:val="24"/>
                <w:szCs w:val="24"/>
                <w:highlight w:val="none"/>
                <w:lang w:val="en-US" w:eastAsia="zh-CN"/>
              </w:rPr>
              <w:t>处进入落水洞，于三板桥附近伏入三月三水库，出库后，经县城东南边蜿延流向仁德坝子北面，依次纳小白龙河、法古小河、牛栏江老河后，于仁德街道办事处我戛村汇入牛栏江</w:t>
            </w:r>
            <w:r>
              <w:rPr>
                <w:rFonts w:hint="default" w:ascii="Times New Roman" w:hAnsi="Times New Roman" w:eastAsia="宋体" w:cs="Times New Roman"/>
                <w:bCs/>
                <w:color w:val="auto"/>
                <w:sz w:val="24"/>
                <w:szCs w:val="24"/>
                <w:highlight w:val="none"/>
                <w:lang w:val="en-US" w:eastAsia="zh-CN"/>
              </w:rPr>
              <w:t>。</w:t>
            </w:r>
          </w:p>
          <w:p w14:paraId="460BCE41">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w:t>
            </w:r>
            <w:r>
              <w:rPr>
                <w:rFonts w:hint="eastAsia" w:ascii="Times New Roman" w:hAnsi="Times New Roman" w:eastAsia="宋体" w:cs="Times New Roman"/>
                <w:bCs/>
                <w:color w:val="auto"/>
                <w:sz w:val="24"/>
                <w:szCs w:val="24"/>
                <w:highlight w:val="none"/>
                <w:lang w:val="en-US" w:eastAsia="zh-CN"/>
              </w:rPr>
              <w:t>《昆明市和滇中产业新区水功能区划》（2010-2030年），项目区属于前进河寻甸开发利用区，于三月三水库起始至入牛栏江汇口，河长10.7km，现状水质为Ⅳ类，规划水平年水质保护目标按水功能二级区划执行，2030规划水平年水质保护目标为Ⅲ类。按照支流服从干流的原则，兔耳</w:t>
            </w:r>
            <w:r>
              <w:rPr>
                <w:rFonts w:hint="default" w:ascii="Times New Roman" w:hAnsi="Times New Roman" w:eastAsia="宋体" w:cs="Times New Roman"/>
                <w:bCs/>
                <w:color w:val="auto"/>
                <w:sz w:val="24"/>
                <w:szCs w:val="24"/>
                <w:highlight w:val="none"/>
                <w:lang w:val="en-US" w:eastAsia="zh-CN"/>
              </w:rPr>
              <w:t>河水质执行《地表水环境质量标准》（GB3838-2002）中</w:t>
            </w:r>
            <w:r>
              <w:rPr>
                <w:rFonts w:hint="eastAsia" w:ascii="Times New Roman" w:hAnsi="Times New Roman" w:eastAsia="宋体" w:cs="Times New Roman"/>
                <w:bCs/>
                <w:color w:val="auto"/>
                <w:sz w:val="24"/>
                <w:szCs w:val="24"/>
                <w:highlight w:val="none"/>
                <w:lang w:val="en-US" w:eastAsia="zh-CN"/>
              </w:rPr>
              <w:t>Ⅲ</w:t>
            </w:r>
            <w:r>
              <w:rPr>
                <w:rFonts w:hint="default" w:ascii="Times New Roman" w:hAnsi="Times New Roman" w:eastAsia="宋体" w:cs="Times New Roman"/>
                <w:bCs/>
                <w:color w:val="auto"/>
                <w:sz w:val="24"/>
                <w:szCs w:val="24"/>
                <w:highlight w:val="none"/>
                <w:lang w:val="en-US" w:eastAsia="zh-CN"/>
              </w:rPr>
              <w:t>类水质标准。</w:t>
            </w:r>
          </w:p>
          <w:p w14:paraId="2B7C22F0">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根据寻甸回族彝族自治县人民政府发布的《寻甸县2024年第三季度环境质量公报》，前进河哦嘎电站断面（</w:t>
            </w:r>
            <w:r>
              <w:rPr>
                <w:rFonts w:hint="eastAsia" w:ascii="Times New Roman" w:hAnsi="Times New Roman"/>
                <w:color w:val="auto"/>
                <w:sz w:val="24"/>
              </w:rPr>
              <w:t>位于项目区下游</w:t>
            </w:r>
            <w:r>
              <w:rPr>
                <w:rFonts w:hint="eastAsia" w:ascii="Times New Roman" w:hAnsi="Times New Roman"/>
                <w:color w:val="auto"/>
                <w:sz w:val="24"/>
                <w:lang w:val="en-US" w:eastAsia="zh-CN"/>
              </w:rPr>
              <w:t>7.4km</w:t>
            </w:r>
            <w:r>
              <w:rPr>
                <w:rFonts w:hint="eastAsia" w:ascii="Times New Roman" w:hAnsi="Times New Roman" w:eastAsia="宋体" w:cs="Times New Roman"/>
                <w:bCs/>
                <w:color w:val="auto"/>
                <w:sz w:val="24"/>
                <w:szCs w:val="24"/>
                <w:highlight w:val="none"/>
                <w:lang w:val="en-US" w:eastAsia="zh-CN"/>
              </w:rPr>
              <w:t>）水质类别为Ⅲ类，前进河水质达到《地表水环境质量标准》（GB3838-2002）III类标准。</w:t>
            </w:r>
          </w:p>
          <w:p w14:paraId="7D19266C">
            <w:pPr>
              <w:numPr>
                <w:ilvl w:val="0"/>
                <w:numId w:val="5"/>
              </w:numPr>
              <w:adjustRightInd w:val="0"/>
              <w:snapToGrid w:val="0"/>
              <w:spacing w:line="360" w:lineRule="auto"/>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声环境质量现状</w:t>
            </w:r>
          </w:p>
          <w:p w14:paraId="09FC3FE4">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bidi="ar-SA"/>
              </w:rPr>
              <w:t>本项目位于</w:t>
            </w:r>
            <w:r>
              <w:rPr>
                <w:rFonts w:hint="eastAsia" w:ascii="Times New Roman" w:hAnsi="Times New Roman" w:eastAsia="宋体" w:cs="Times New Roman"/>
                <w:color w:val="auto"/>
                <w:kern w:val="2"/>
                <w:sz w:val="24"/>
                <w:szCs w:val="24"/>
                <w:lang w:val="en-US" w:eastAsia="zh-CN" w:bidi="ar-SA"/>
              </w:rPr>
              <w:t>昆明市寻甸县仁德街道办事处易天线小功山</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cs="Times New Roman"/>
                <w:bCs/>
                <w:color w:val="auto"/>
                <w:kern w:val="2"/>
                <w:sz w:val="24"/>
                <w:szCs w:val="24"/>
                <w:highlight w:val="none"/>
                <w:lang w:val="en-US" w:eastAsia="zh-CN" w:bidi="ar-SA"/>
              </w:rPr>
              <w:t>执行</w:t>
            </w:r>
            <w:r>
              <w:rPr>
                <w:rFonts w:hint="default" w:ascii="Times New Roman" w:hAnsi="Times New Roman" w:eastAsia="宋体" w:cs="Times New Roman"/>
                <w:bCs/>
                <w:color w:val="auto"/>
                <w:sz w:val="24"/>
                <w:szCs w:val="24"/>
                <w:highlight w:val="none"/>
                <w:lang w:val="en-US" w:eastAsia="zh-CN"/>
              </w:rPr>
              <w:t>《工业企业厂界环境噪声排放标准》（GB12348-2008）2 类声环境功能区。</w:t>
            </w:r>
            <w:r>
              <w:rPr>
                <w:rFonts w:hint="default" w:ascii="Times New Roman" w:hAnsi="Times New Roman" w:eastAsia="宋体" w:cs="Times New Roman"/>
                <w:bCs/>
                <w:color w:val="auto"/>
                <w:kern w:val="2"/>
                <w:sz w:val="24"/>
                <w:szCs w:val="24"/>
                <w:highlight w:val="none"/>
                <w:lang w:val="en-US" w:eastAsia="zh-CN" w:bidi="ar-SA"/>
              </w:rPr>
              <w:t>依据《声环境功能区划分技术规范》（GB/T 15190-2014）中4.5可知，相邻区域为2类声环境功能区，距离为35m士5m范围</w:t>
            </w:r>
            <w:r>
              <w:rPr>
                <w:rFonts w:hint="default" w:ascii="Times New Roman" w:hAnsi="Times New Roman" w:eastAsia="宋体" w:cs="Times New Roman"/>
                <w:bCs/>
                <w:color w:val="auto"/>
                <w:sz w:val="24"/>
                <w:szCs w:val="24"/>
                <w:highlight w:val="none"/>
                <w:lang w:val="en-US" w:eastAsia="zh-CN"/>
              </w:rPr>
              <w:t>内的区域划分为4a类声环境功能区。项目</w:t>
            </w:r>
            <w:r>
              <w:rPr>
                <w:rFonts w:hint="eastAsia" w:ascii="Times New Roman" w:hAnsi="Times New Roman" w:eastAsia="宋体" w:cs="Times New Roman"/>
                <w:bCs/>
                <w:color w:val="auto"/>
                <w:sz w:val="24"/>
                <w:szCs w:val="24"/>
                <w:highlight w:val="none"/>
                <w:lang w:val="en-US" w:eastAsia="zh-CN"/>
              </w:rPr>
              <w:t>南</w:t>
            </w:r>
            <w:r>
              <w:rPr>
                <w:rFonts w:hint="default" w:ascii="Times New Roman" w:hAnsi="Times New Roman" w:eastAsia="宋体" w:cs="Times New Roman"/>
                <w:bCs/>
                <w:color w:val="auto"/>
                <w:sz w:val="24"/>
                <w:szCs w:val="24"/>
                <w:highlight w:val="none"/>
                <w:lang w:val="en-US" w:eastAsia="zh-CN"/>
              </w:rPr>
              <w:t>侧厂界距离</w:t>
            </w:r>
            <w:r>
              <w:rPr>
                <w:rFonts w:hint="eastAsia" w:ascii="Times New Roman" w:hAnsi="Times New Roman" w:eastAsia="宋体" w:cs="Times New Roman"/>
                <w:bCs/>
                <w:color w:val="auto"/>
                <w:sz w:val="24"/>
                <w:szCs w:val="24"/>
                <w:highlight w:val="none"/>
                <w:lang w:val="en-US" w:eastAsia="zh-CN"/>
              </w:rPr>
              <w:t>寻白线</w:t>
            </w:r>
            <w:r>
              <w:rPr>
                <w:rFonts w:hint="default" w:ascii="Times New Roman" w:hAnsi="Times New Roman" w:eastAsia="宋体" w:cs="Times New Roman"/>
                <w:bCs/>
                <w:color w:val="auto"/>
                <w:sz w:val="24"/>
                <w:szCs w:val="24"/>
                <w:highlight w:val="none"/>
                <w:lang w:val="en-US" w:eastAsia="zh-CN"/>
              </w:rPr>
              <w:t>公路距离为</w:t>
            </w:r>
            <w:r>
              <w:rPr>
                <w:rFonts w:hint="eastAsia" w:ascii="Times New Roman" w:hAnsi="Times New Roman" w:eastAsia="宋体" w:cs="Times New Roman"/>
                <w:bCs/>
                <w:color w:val="auto"/>
                <w:sz w:val="24"/>
                <w:szCs w:val="24"/>
                <w:highlight w:val="none"/>
                <w:lang w:val="en-US" w:eastAsia="zh-CN"/>
              </w:rPr>
              <w:t>39</w:t>
            </w:r>
            <w:r>
              <w:rPr>
                <w:rFonts w:hint="default" w:ascii="Times New Roman" w:hAnsi="Times New Roman" w:eastAsia="宋体" w:cs="Times New Roman"/>
                <w:bCs/>
                <w:color w:val="auto"/>
                <w:sz w:val="24"/>
                <w:szCs w:val="24"/>
                <w:highlight w:val="none"/>
                <w:lang w:val="en-US" w:eastAsia="zh-CN"/>
              </w:rPr>
              <w:t>m，因此项目</w:t>
            </w:r>
            <w:r>
              <w:rPr>
                <w:rFonts w:hint="eastAsia" w:ascii="Times New Roman" w:hAnsi="Times New Roman" w:eastAsia="宋体" w:cs="Times New Roman"/>
                <w:bCs/>
                <w:color w:val="auto"/>
                <w:sz w:val="24"/>
                <w:szCs w:val="24"/>
                <w:highlight w:val="none"/>
                <w:lang w:val="en-US" w:eastAsia="zh-CN"/>
              </w:rPr>
              <w:t>南</w:t>
            </w:r>
            <w:r>
              <w:rPr>
                <w:rFonts w:hint="default" w:ascii="Times New Roman" w:hAnsi="Times New Roman" w:eastAsia="宋体" w:cs="Times New Roman"/>
                <w:bCs/>
                <w:color w:val="auto"/>
                <w:sz w:val="24"/>
                <w:szCs w:val="24"/>
                <w:highlight w:val="none"/>
                <w:lang w:val="en-US" w:eastAsia="zh-CN"/>
              </w:rPr>
              <w:t>侧</w:t>
            </w:r>
            <w:r>
              <w:rPr>
                <w:rFonts w:hint="eastAsia" w:ascii="Times New Roman" w:hAnsi="Times New Roman" w:eastAsia="宋体" w:cs="Times New Roman"/>
                <w:bCs/>
                <w:color w:val="auto"/>
                <w:sz w:val="24"/>
                <w:szCs w:val="24"/>
                <w:highlight w:val="none"/>
                <w:lang w:val="en-US" w:eastAsia="zh-CN"/>
              </w:rPr>
              <w:t>厂界噪声执行</w:t>
            </w:r>
            <w:r>
              <w:rPr>
                <w:rFonts w:hint="default" w:ascii="Times New Roman" w:hAnsi="Times New Roman" w:eastAsia="宋体" w:cs="Times New Roman"/>
                <w:bCs/>
                <w:color w:val="auto"/>
                <w:sz w:val="24"/>
                <w:szCs w:val="24"/>
                <w:highlight w:val="none"/>
                <w:lang w:val="en-US" w:eastAsia="zh-CN"/>
              </w:rPr>
              <w:t>《工业企业厂界环境噪声排放标准》（GB12348-2008）</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类声环境功能区。</w:t>
            </w:r>
          </w:p>
          <w:p w14:paraId="4BAAE2FA">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zh-CN" w:eastAsia="zh-CN"/>
              </w:rPr>
              <w:t>根据《202</w:t>
            </w:r>
            <w:r>
              <w:rPr>
                <w:rFonts w:hint="eastAsia" w:ascii="Times New Roman" w:hAnsi="Times New Roman" w:eastAsia="宋体"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zh-CN" w:eastAsia="zh-CN"/>
              </w:rPr>
              <w:t>年度昆明市生态环境状况公报》可知，</w:t>
            </w:r>
            <w:r>
              <w:rPr>
                <w:rFonts w:hint="default" w:ascii="Times New Roman" w:hAnsi="Times New Roman" w:eastAsia="宋体" w:cs="Times New Roman"/>
                <w:bCs/>
                <w:color w:val="auto"/>
                <w:sz w:val="24"/>
                <w:szCs w:val="24"/>
                <w:highlight w:val="none"/>
                <w:lang w:val="en-US" w:eastAsia="zh-CN"/>
              </w:rPr>
              <w:t>2023年，</w:t>
            </w:r>
            <w:r>
              <w:rPr>
                <w:rFonts w:hint="eastAsia" w:ascii="Times New Roman" w:hAnsi="Times New Roman" w:eastAsia="宋体" w:cs="Times New Roman"/>
                <w:bCs/>
                <w:color w:val="auto"/>
                <w:sz w:val="24"/>
                <w:szCs w:val="24"/>
                <w:highlight w:val="none"/>
                <w:lang w:val="en-US" w:eastAsia="zh-CN"/>
              </w:rPr>
              <w:t>寻甸县</w:t>
            </w:r>
            <w:r>
              <w:rPr>
                <w:rFonts w:hint="default" w:ascii="Times New Roman" w:hAnsi="Times New Roman" w:eastAsia="宋体" w:cs="Times New Roman"/>
                <w:bCs/>
                <w:color w:val="auto"/>
                <w:sz w:val="24"/>
                <w:szCs w:val="24"/>
                <w:highlight w:val="none"/>
                <w:lang w:val="en-US" w:eastAsia="zh-CN"/>
              </w:rPr>
              <w:t>区域环境昼间等效声级平均值为46.8分贝</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寻甸县区域昼间环境噪声总体水平评价为一级（好）。</w:t>
            </w:r>
          </w:p>
          <w:p w14:paraId="1E95E2EC">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根据《建设项目环境影响报告表编制技术指南（污染影响类）》（试行）， 项目区50m范围内无声环境保护目标，因此未进行声环境质量现状监测</w:t>
            </w:r>
            <w:r>
              <w:rPr>
                <w:rFonts w:hint="eastAsia" w:ascii="Times New Roman" w:hAnsi="Times New Roman" w:eastAsia="宋体" w:cs="Times New Roman"/>
                <w:bCs/>
                <w:color w:val="auto"/>
                <w:sz w:val="24"/>
                <w:szCs w:val="24"/>
                <w:highlight w:val="none"/>
                <w:lang w:val="en-US" w:eastAsia="zh-CN"/>
              </w:rPr>
              <w:t>。</w:t>
            </w:r>
          </w:p>
          <w:p w14:paraId="65877ECC">
            <w:pPr>
              <w:numPr>
                <w:ilvl w:val="0"/>
                <w:numId w:val="5"/>
              </w:numPr>
              <w:adjustRightInd w:val="0"/>
              <w:snapToGrid w:val="0"/>
              <w:spacing w:line="360" w:lineRule="auto"/>
              <w:ind w:left="0" w:leftChars="0" w:firstLine="0" w:firstLineChars="0"/>
              <w:jc w:val="left"/>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
                <w:color w:val="auto"/>
                <w:sz w:val="24"/>
                <w:szCs w:val="24"/>
                <w:highlight w:val="none"/>
              </w:rPr>
              <w:t>地下水</w:t>
            </w: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土壤</w:t>
            </w:r>
            <w:r>
              <w:rPr>
                <w:rFonts w:hint="default" w:ascii="Times New Roman" w:hAnsi="Times New Roman" w:cs="Times New Roman"/>
                <w:b/>
                <w:color w:val="auto"/>
                <w:sz w:val="24"/>
                <w:szCs w:val="24"/>
                <w:highlight w:val="none"/>
              </w:rPr>
              <w:t>环境质量现状</w:t>
            </w:r>
          </w:p>
          <w:p w14:paraId="783F8FFA">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本项目为</w:t>
            </w:r>
            <w:r>
              <w:rPr>
                <w:rFonts w:hint="eastAsia" w:ascii="Times New Roman" w:hAnsi="Times New Roman" w:cs="Times New Roman"/>
                <w:bCs/>
                <w:color w:val="auto"/>
                <w:sz w:val="24"/>
                <w:szCs w:val="24"/>
                <w:highlight w:val="none"/>
                <w:lang w:val="en-US" w:eastAsia="zh-CN"/>
              </w:rPr>
              <w:t>布草服务洗涤</w:t>
            </w:r>
            <w:r>
              <w:rPr>
                <w:rFonts w:hint="default" w:ascii="Times New Roman" w:hAnsi="Times New Roman" w:eastAsia="宋体" w:cs="Times New Roman"/>
                <w:bCs/>
                <w:color w:val="auto"/>
                <w:sz w:val="24"/>
                <w:szCs w:val="24"/>
                <w:highlight w:val="none"/>
                <w:lang w:val="en-US" w:eastAsia="zh-CN"/>
              </w:rPr>
              <w:t>项目，根据《建设项目环境影响报告表编制技术指南（污染影响类）》，原则上</w:t>
            </w:r>
            <w:r>
              <w:rPr>
                <w:rFonts w:hint="eastAsia" w:ascii="Times New Roman" w:hAnsi="Times New Roman" w:eastAsia="宋体" w:cs="Times New Roman"/>
                <w:bCs/>
                <w:color w:val="auto"/>
                <w:sz w:val="24"/>
                <w:szCs w:val="24"/>
                <w:highlight w:val="none"/>
                <w:lang w:val="en-US" w:eastAsia="zh-CN"/>
              </w:rPr>
              <w:t>可</w:t>
            </w:r>
            <w:r>
              <w:rPr>
                <w:rFonts w:hint="default" w:ascii="Times New Roman" w:hAnsi="Times New Roman" w:eastAsia="宋体" w:cs="Times New Roman"/>
                <w:bCs/>
                <w:color w:val="auto"/>
                <w:sz w:val="24"/>
                <w:szCs w:val="24"/>
                <w:highlight w:val="none"/>
                <w:lang w:val="en-US" w:eastAsia="zh-CN"/>
              </w:rPr>
              <w:t>不开展环境质量现状调查。</w:t>
            </w:r>
          </w:p>
          <w:p w14:paraId="05646E78">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根据《环境影响评价技术导则 地下水环境》（HJ610-2016）中附录 A 地 下水环境影响评价行业分类表，本项目地下水环境影响评价项目类别为Ⅳ类， 不需进行地下水环境分析评价。故本项目不开展地下水环境影响评价，不对地下水环境质量现状进行监测。</w:t>
            </w:r>
          </w:p>
          <w:p w14:paraId="15A0BCE7">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根据《环境影响评价技术导则 土壤环境》（HJ964-2018）中附录 A 土壤环境影响评价项目类别，本项目土壤环境影响评价项目类别为Ⅳ类（电力热力燃气及水生产和供应业-其他），可不开展土壤环境影响评价。故本项目不开展土壤环境影响评价，不对土壤环境质量现状进行监测。</w:t>
            </w:r>
          </w:p>
          <w:p w14:paraId="2F4254FC">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eastAsia" w:ascii="Times New Roman" w:hAnsi="Times New Roman" w:cs="Times New Roman"/>
                <w:b/>
                <w:bCs/>
                <w:color w:val="auto"/>
                <w:kern w:val="0"/>
                <w:sz w:val="24"/>
                <w:szCs w:val="24"/>
                <w:highlight w:val="none"/>
                <w:lang w:val="en-US" w:eastAsia="zh-CN"/>
              </w:rPr>
              <w:t>5</w:t>
            </w:r>
            <w:r>
              <w:rPr>
                <w:rFonts w:hint="default" w:ascii="Times New Roman" w:hAnsi="Times New Roman" w:cs="Times New Roman"/>
                <w:b/>
                <w:bCs/>
                <w:color w:val="auto"/>
                <w:kern w:val="0"/>
                <w:sz w:val="24"/>
                <w:szCs w:val="24"/>
                <w:highlight w:val="none"/>
              </w:rPr>
              <w:t>、生态环境质量现状</w:t>
            </w:r>
          </w:p>
          <w:p w14:paraId="11EA3D69">
            <w:pPr>
              <w:adjustRightInd w:val="0"/>
              <w:snapToGrid w:val="0"/>
              <w:spacing w:line="360" w:lineRule="auto"/>
              <w:ind w:firstLine="480" w:firstLineChars="200"/>
              <w:jc w:val="left"/>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Cs/>
                <w:color w:val="auto"/>
                <w:sz w:val="24"/>
                <w:szCs w:val="24"/>
                <w:highlight w:val="none"/>
                <w:lang w:val="en-US" w:eastAsia="zh-CN"/>
              </w:rPr>
              <w:t>项目区位于</w:t>
            </w:r>
            <w:r>
              <w:rPr>
                <w:rFonts w:hint="eastAsia" w:ascii="Times New Roman" w:hAnsi="Times New Roman" w:eastAsia="宋体" w:cs="Times New Roman"/>
                <w:color w:val="auto"/>
                <w:kern w:val="2"/>
                <w:sz w:val="24"/>
                <w:szCs w:val="24"/>
                <w:lang w:val="en-US" w:eastAsia="zh-CN" w:bidi="ar-SA"/>
              </w:rPr>
              <w:t>昆明市寻甸县仁德街道办事处易天线小功山，根据现场踏勘调查，</w:t>
            </w:r>
            <w:r>
              <w:rPr>
                <w:rFonts w:hint="default" w:ascii="Times New Roman" w:hAnsi="Times New Roman" w:eastAsia="宋体" w:cs="Times New Roman"/>
                <w:color w:val="auto"/>
                <w:kern w:val="2"/>
                <w:sz w:val="24"/>
                <w:szCs w:val="24"/>
                <w:lang w:val="en-US" w:eastAsia="zh-CN" w:bidi="ar-SA"/>
              </w:rPr>
              <w:t>项目在已建厂房内建设，不涉及生态红线，永久基本农田</w:t>
            </w:r>
            <w:r>
              <w:rPr>
                <w:rFonts w:hint="eastAsia" w:ascii="Times New Roman" w:hAnsi="Times New Roman" w:eastAsia="宋体" w:cs="Times New Roman"/>
                <w:color w:val="auto"/>
                <w:kern w:val="2"/>
                <w:sz w:val="24"/>
                <w:szCs w:val="24"/>
                <w:lang w:val="en-US" w:eastAsia="zh-CN" w:bidi="ar-SA"/>
              </w:rPr>
              <w:t>等</w:t>
            </w: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区</w:t>
            </w:r>
            <w:r>
              <w:rPr>
                <w:rFonts w:hint="default" w:ascii="Times New Roman" w:hAnsi="Times New Roman" w:eastAsia="宋体" w:cs="Times New Roman"/>
                <w:color w:val="auto"/>
                <w:kern w:val="2"/>
                <w:sz w:val="24"/>
                <w:szCs w:val="24"/>
                <w:lang w:val="en-US" w:eastAsia="zh-CN" w:bidi="ar-SA"/>
              </w:rPr>
              <w:t>域现状主要为水泥路面和人</w:t>
            </w:r>
            <w:r>
              <w:rPr>
                <w:rFonts w:hint="default" w:ascii="Times New Roman" w:hAnsi="Times New Roman" w:eastAsia="宋体" w:cs="Times New Roman"/>
                <w:bCs/>
                <w:color w:val="auto"/>
                <w:sz w:val="24"/>
                <w:szCs w:val="24"/>
                <w:highlight w:val="none"/>
                <w:lang w:val="en-US" w:eastAsia="zh-CN"/>
              </w:rPr>
              <w:t>工绿化植被，无天然植被，生态环境自我调节能力低。调查范围内未涉及国家保护的珍贵野生动、植物。评价范围内无自然保护区、风景名胜区、森林公园、历史文化遗迹等需要特殊保护的生态敏感目标，无国家珍稀濒危保护物种、国家重点保护野生植物和云南省级重点野生保护动物，也没有特有种类存在。</w:t>
            </w:r>
          </w:p>
        </w:tc>
      </w:tr>
      <w:tr w14:paraId="45F8C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50239D65">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环境</w:t>
            </w:r>
          </w:p>
          <w:p w14:paraId="0741DD7C">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保护</w:t>
            </w:r>
          </w:p>
          <w:p w14:paraId="19D7EDAF">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 w:val="24"/>
                <w:szCs w:val="24"/>
              </w:rPr>
              <w:t>目标</w:t>
            </w:r>
          </w:p>
        </w:tc>
        <w:tc>
          <w:tcPr>
            <w:tcW w:w="8190" w:type="dxa"/>
            <w:vAlign w:val="center"/>
          </w:tcPr>
          <w:p w14:paraId="6C339F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b/>
                <w:bCs/>
                <w:color w:val="auto"/>
                <w:kern w:val="0"/>
                <w:sz w:val="24"/>
              </w:rPr>
            </w:pPr>
            <w:r>
              <w:rPr>
                <w:rFonts w:hint="eastAsia" w:ascii="Times New Roman" w:hAnsi="Times New Roman"/>
                <w:color w:val="auto"/>
                <w:sz w:val="24"/>
                <w:szCs w:val="24"/>
              </w:rPr>
              <w:t>根据《建设项目环境影响报告表编制技术指南（污染影响类）（试行）》，项目环境影响报告环境保护目标的确定依据为：</w:t>
            </w:r>
          </w:p>
          <w:p w14:paraId="17CAF745">
            <w:pPr>
              <w:numPr>
                <w:ilvl w:val="0"/>
                <w:numId w:val="6"/>
              </w:numPr>
              <w:adjustRightInd w:val="0"/>
              <w:snapToGrid w:val="0"/>
              <w:spacing w:line="360" w:lineRule="auto"/>
              <w:rPr>
                <w:rFonts w:ascii="Times New Roman" w:hAnsi="Times New Roman"/>
                <w:b/>
                <w:bCs/>
                <w:color w:val="auto"/>
                <w:kern w:val="0"/>
                <w:sz w:val="24"/>
              </w:rPr>
            </w:pPr>
            <w:r>
              <w:rPr>
                <w:rFonts w:ascii="Times New Roman" w:hAnsi="Times New Roman"/>
                <w:b/>
                <w:bCs/>
                <w:color w:val="auto"/>
                <w:kern w:val="0"/>
                <w:sz w:val="24"/>
              </w:rPr>
              <w:t>大气环境保护目标</w:t>
            </w:r>
          </w:p>
          <w:p w14:paraId="7D897725">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大气环境保护目标为厂界外500m范围内的自然保护区、风景名胜区、居住区、文化区和农村地区中人群较集中的区域等保护目标。</w:t>
            </w:r>
          </w:p>
          <w:p w14:paraId="3498B0FF">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根据现场踏勘，本项目周边500m范围内大气环境保护目标主要为</w:t>
            </w:r>
            <w:r>
              <w:rPr>
                <w:rFonts w:hint="eastAsia" w:ascii="Times New Roman" w:hAnsi="Times New Roman" w:cs="Times New Roman"/>
                <w:color w:val="auto"/>
                <w:kern w:val="2"/>
                <w:sz w:val="24"/>
                <w:szCs w:val="24"/>
                <w:lang w:val="en-US" w:eastAsia="zh-CN" w:bidi="ar-SA"/>
              </w:rPr>
              <w:t>三眼井村</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北观村散户</w:t>
            </w:r>
            <w:r>
              <w:rPr>
                <w:rFonts w:hint="eastAsia" w:ascii="Times New Roman" w:hAnsi="Times New Roman" w:eastAsia="宋体" w:cs="Times New Roman"/>
                <w:color w:val="auto"/>
                <w:kern w:val="2"/>
                <w:sz w:val="24"/>
                <w:szCs w:val="24"/>
                <w:lang w:val="en-US" w:eastAsia="zh-CN" w:bidi="ar-SA"/>
              </w:rPr>
              <w:t>。</w:t>
            </w:r>
          </w:p>
          <w:p w14:paraId="21162B80">
            <w:pPr>
              <w:numPr>
                <w:ilvl w:val="0"/>
                <w:numId w:val="0"/>
              </w:numPr>
              <w:adjustRightInd w:val="0"/>
              <w:snapToGrid w:val="0"/>
              <w:spacing w:line="360" w:lineRule="auto"/>
              <w:rPr>
                <w:rFonts w:ascii="Times New Roman" w:hAnsi="Times New Roman"/>
                <w:b/>
                <w:bCs/>
                <w:color w:val="auto"/>
                <w:kern w:val="0"/>
                <w:sz w:val="24"/>
              </w:rPr>
            </w:pPr>
            <w:r>
              <w:rPr>
                <w:rFonts w:hint="eastAsia" w:ascii="Times New Roman" w:hAnsi="Times New Roman" w:eastAsia="宋体" w:cs="Times New Roman"/>
                <w:b/>
                <w:bCs/>
                <w:color w:val="auto"/>
                <w:kern w:val="0"/>
                <w:sz w:val="24"/>
                <w:lang w:val="en-US" w:eastAsia="zh-CN"/>
              </w:rPr>
              <w:t>2</w:t>
            </w:r>
            <w:r>
              <w:rPr>
                <w:rFonts w:ascii="Times New Roman" w:hAnsi="Times New Roman" w:eastAsia="宋体" w:cs="Times New Roman"/>
                <w:b/>
                <w:bCs/>
                <w:color w:val="auto"/>
                <w:kern w:val="0"/>
                <w:sz w:val="24"/>
              </w:rPr>
              <w:t>、声环境</w:t>
            </w:r>
            <w:r>
              <w:rPr>
                <w:rFonts w:ascii="Times New Roman" w:hAnsi="Times New Roman"/>
                <w:b/>
                <w:bCs/>
                <w:color w:val="auto"/>
                <w:kern w:val="0"/>
                <w:sz w:val="24"/>
              </w:rPr>
              <w:t>保护目标</w:t>
            </w:r>
          </w:p>
          <w:p w14:paraId="2989B350">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根据现场踏勘及调查，项目厂界外50m范围内无声环境敏感目标。</w:t>
            </w:r>
          </w:p>
          <w:p w14:paraId="30095308">
            <w:pPr>
              <w:numPr>
                <w:ilvl w:val="0"/>
                <w:numId w:val="0"/>
              </w:numPr>
              <w:adjustRightInd w:val="0"/>
              <w:snapToGrid w:val="0"/>
              <w:spacing w:line="360" w:lineRule="auto"/>
              <w:ind w:leftChars="0"/>
              <w:rPr>
                <w:rFonts w:ascii="Times New Roman" w:hAnsi="Times New Roman"/>
                <w:b/>
                <w:bCs/>
                <w:color w:val="auto"/>
                <w:kern w:val="0"/>
                <w:sz w:val="24"/>
              </w:rPr>
            </w:pPr>
            <w:r>
              <w:rPr>
                <w:rFonts w:hint="eastAsia" w:ascii="Times New Roman" w:hAnsi="Times New Roman"/>
                <w:b/>
                <w:bCs/>
                <w:color w:val="auto"/>
                <w:kern w:val="0"/>
                <w:sz w:val="24"/>
                <w:lang w:val="en-US" w:eastAsia="zh-CN"/>
              </w:rPr>
              <w:t>3、</w:t>
            </w:r>
            <w:r>
              <w:rPr>
                <w:rFonts w:ascii="Times New Roman" w:hAnsi="Times New Roman"/>
                <w:b/>
                <w:bCs/>
                <w:color w:val="auto"/>
                <w:kern w:val="0"/>
                <w:sz w:val="24"/>
              </w:rPr>
              <w:t>地</w:t>
            </w:r>
            <w:r>
              <w:rPr>
                <w:rFonts w:hint="eastAsia" w:ascii="Times New Roman" w:hAnsi="Times New Roman"/>
                <w:b/>
                <w:bCs/>
                <w:color w:val="auto"/>
                <w:kern w:val="0"/>
                <w:sz w:val="24"/>
                <w:lang w:val="en-US" w:eastAsia="zh-CN"/>
              </w:rPr>
              <w:t>表</w:t>
            </w:r>
            <w:r>
              <w:rPr>
                <w:rFonts w:ascii="Times New Roman" w:hAnsi="Times New Roman"/>
                <w:b/>
                <w:bCs/>
                <w:color w:val="auto"/>
                <w:kern w:val="0"/>
                <w:sz w:val="24"/>
              </w:rPr>
              <w:t>水环境保护目标</w:t>
            </w:r>
          </w:p>
          <w:p w14:paraId="74E874FA">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本项目距离最近的地表水体为</w:t>
            </w:r>
            <w:r>
              <w:rPr>
                <w:rFonts w:hint="default" w:ascii="Times New Roman" w:hAnsi="Times New Roman" w:eastAsia="宋体" w:cs="Times New Roman"/>
                <w:bCs/>
                <w:color w:val="auto"/>
                <w:sz w:val="24"/>
                <w:szCs w:val="24"/>
                <w:highlight w:val="none"/>
                <w:lang w:val="en-US" w:eastAsia="zh-CN"/>
              </w:rPr>
              <w:t>东侧</w:t>
            </w:r>
            <w:r>
              <w:rPr>
                <w:rFonts w:hint="eastAsia" w:ascii="Times New Roman" w:hAnsi="Times New Roman" w:cs="Times New Roman"/>
                <w:bCs/>
                <w:color w:val="auto"/>
                <w:sz w:val="24"/>
                <w:szCs w:val="24"/>
                <w:highlight w:val="none"/>
                <w:lang w:val="en-US" w:eastAsia="zh-CN"/>
              </w:rPr>
              <w:t>850</w:t>
            </w:r>
            <w:r>
              <w:rPr>
                <w:rFonts w:hint="default" w:ascii="Times New Roman" w:hAnsi="Times New Roman" w:eastAsia="宋体" w:cs="Times New Roman"/>
                <w:bCs/>
                <w:color w:val="auto"/>
                <w:sz w:val="24"/>
                <w:szCs w:val="24"/>
                <w:highlight w:val="none"/>
                <w:lang w:val="en-US" w:eastAsia="zh-CN"/>
              </w:rPr>
              <w:t>m的</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ascii="Times New Roman" w:hAnsi="Times New Roman" w:eastAsia="宋体" w:cs="Times New Roman"/>
                <w:color w:val="auto"/>
                <w:kern w:val="0"/>
                <w:sz w:val="24"/>
                <w:szCs w:val="24"/>
                <w:lang w:val="en-US" w:eastAsia="zh-CN" w:bidi="ar-SA"/>
              </w:rPr>
              <w:t>，属牛栏江支流。</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ascii="Times New Roman" w:hAnsi="Times New Roman" w:eastAsia="宋体" w:cs="Times New Roman"/>
                <w:color w:val="auto"/>
                <w:kern w:val="0"/>
                <w:sz w:val="24"/>
                <w:szCs w:val="24"/>
                <w:lang w:val="en-US" w:eastAsia="zh-CN" w:bidi="ar-SA"/>
              </w:rPr>
              <w:t>按照《地表水环境质量标准》（GB3838-2002）中Ⅲ类水质标准进行保护。</w:t>
            </w:r>
          </w:p>
          <w:p w14:paraId="03A781C5">
            <w:pPr>
              <w:numPr>
                <w:ilvl w:val="0"/>
                <w:numId w:val="0"/>
              </w:numPr>
              <w:adjustRightInd w:val="0"/>
              <w:snapToGrid w:val="0"/>
              <w:spacing w:line="360" w:lineRule="auto"/>
              <w:ind w:leftChars="0"/>
              <w:rPr>
                <w:rFonts w:ascii="Times New Roman" w:hAnsi="Times New Roman"/>
                <w:b/>
                <w:bCs/>
                <w:color w:val="auto"/>
                <w:kern w:val="0"/>
                <w:sz w:val="24"/>
              </w:rPr>
            </w:pPr>
            <w:r>
              <w:rPr>
                <w:rFonts w:hint="eastAsia" w:ascii="Times New Roman" w:hAnsi="Times New Roman"/>
                <w:b/>
                <w:bCs/>
                <w:color w:val="auto"/>
                <w:kern w:val="0"/>
                <w:sz w:val="24"/>
                <w:lang w:val="en-US" w:eastAsia="zh-CN"/>
              </w:rPr>
              <w:t>4、</w:t>
            </w:r>
            <w:r>
              <w:rPr>
                <w:rFonts w:ascii="Times New Roman" w:hAnsi="Times New Roman"/>
                <w:b/>
                <w:bCs/>
                <w:color w:val="auto"/>
                <w:kern w:val="0"/>
                <w:sz w:val="24"/>
              </w:rPr>
              <w:t>地</w:t>
            </w:r>
            <w:r>
              <w:rPr>
                <w:rFonts w:hint="eastAsia" w:ascii="Times New Roman" w:hAnsi="Times New Roman"/>
                <w:b/>
                <w:bCs/>
                <w:color w:val="auto"/>
                <w:kern w:val="0"/>
                <w:sz w:val="24"/>
                <w:lang w:val="en-US" w:eastAsia="zh-CN"/>
              </w:rPr>
              <w:t>下</w:t>
            </w:r>
            <w:r>
              <w:rPr>
                <w:rFonts w:ascii="Times New Roman" w:hAnsi="Times New Roman"/>
                <w:b/>
                <w:bCs/>
                <w:color w:val="auto"/>
                <w:kern w:val="0"/>
                <w:sz w:val="24"/>
              </w:rPr>
              <w:t>水环境保护目标</w:t>
            </w:r>
          </w:p>
          <w:p w14:paraId="1E377D97">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根据现场踏勘，项目厂界外500m范围内无地下水集中式饮用水水源和热水、矿泉水、温泉等特殊地下水资源。</w:t>
            </w:r>
          </w:p>
          <w:p w14:paraId="4A32D1BA">
            <w:pPr>
              <w:numPr>
                <w:ilvl w:val="0"/>
                <w:numId w:val="5"/>
              </w:numPr>
              <w:adjustRightInd w:val="0"/>
              <w:snapToGrid w:val="0"/>
              <w:spacing w:line="360" w:lineRule="auto"/>
              <w:ind w:left="0" w:leftChars="0" w:firstLine="0" w:firstLineChars="0"/>
              <w:rPr>
                <w:rFonts w:ascii="Times New Roman" w:hAnsi="Times New Roman"/>
                <w:b/>
                <w:bCs/>
                <w:color w:val="auto"/>
                <w:kern w:val="0"/>
                <w:sz w:val="24"/>
              </w:rPr>
            </w:pPr>
            <w:r>
              <w:rPr>
                <w:rFonts w:ascii="Times New Roman" w:hAnsi="Times New Roman"/>
                <w:b/>
                <w:bCs/>
                <w:color w:val="auto"/>
                <w:kern w:val="0"/>
                <w:sz w:val="24"/>
              </w:rPr>
              <w:t>生态环境保护目标</w:t>
            </w:r>
          </w:p>
          <w:p w14:paraId="3EBBCDF8">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项目区周边不涉及自然保护区、风景名胜区等生态环境敏感点，本项目不设生态环境保护目标。</w:t>
            </w:r>
          </w:p>
          <w:p w14:paraId="2A914B2D">
            <w:pPr>
              <w:pStyle w:val="98"/>
              <w:spacing w:before="34" w:line="360" w:lineRule="auto"/>
              <w:ind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本项目主要保护目标详见表3-</w:t>
            </w:r>
            <w:r>
              <w:rPr>
                <w:rFonts w:hint="eastAsia" w:ascii="Times New Roman" w:hAnsi="Times New Roman" w:cs="Times New Roman"/>
                <w:color w:val="auto"/>
                <w:kern w:val="0"/>
                <w:sz w:val="24"/>
                <w:szCs w:val="24"/>
                <w:lang w:val="en-US" w:eastAsia="zh-CN" w:bidi="ar-SA"/>
              </w:rPr>
              <w:t>3</w:t>
            </w:r>
            <w:r>
              <w:rPr>
                <w:rFonts w:ascii="Times New Roman" w:hAnsi="Times New Roman" w:eastAsia="宋体" w:cs="Times New Roman"/>
                <w:color w:val="auto"/>
                <w:kern w:val="0"/>
                <w:sz w:val="24"/>
                <w:szCs w:val="24"/>
                <w:lang w:val="en-US" w:eastAsia="zh-CN" w:bidi="ar-SA"/>
              </w:rPr>
              <w:t>，项目周边关系示意详见附图3。</w:t>
            </w:r>
          </w:p>
          <w:p w14:paraId="20772FA8">
            <w:pPr>
              <w:adjustRightInd w:val="0"/>
              <w:snapToGrid w:val="0"/>
              <w:spacing w:line="360" w:lineRule="auto"/>
              <w:ind w:firstLine="422" w:firstLineChars="200"/>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 xml:space="preserve">3 </w:t>
            </w:r>
            <w:r>
              <w:rPr>
                <w:rFonts w:ascii="Times New Roman" w:hAnsi="Times New Roman"/>
                <w:b/>
                <w:bCs/>
                <w:color w:val="auto"/>
                <w:kern w:val="0"/>
                <w:szCs w:val="21"/>
              </w:rPr>
              <w:t>项目</w:t>
            </w:r>
            <w:r>
              <w:rPr>
                <w:rFonts w:hint="eastAsia" w:ascii="Times New Roman" w:hAnsi="Times New Roman"/>
                <w:b/>
                <w:bCs/>
                <w:color w:val="auto"/>
                <w:kern w:val="0"/>
                <w:szCs w:val="21"/>
                <w:lang w:val="en-US" w:eastAsia="zh-CN"/>
              </w:rPr>
              <w:t>主要</w:t>
            </w:r>
            <w:r>
              <w:rPr>
                <w:rFonts w:ascii="Times New Roman" w:hAnsi="Times New Roman"/>
                <w:b/>
                <w:bCs/>
                <w:color w:val="auto"/>
                <w:kern w:val="0"/>
                <w:szCs w:val="21"/>
              </w:rPr>
              <w:t>环境保护目标</w:t>
            </w:r>
            <w:r>
              <w:rPr>
                <w:rFonts w:hint="eastAsia" w:ascii="Times New Roman" w:hAnsi="Times New Roman"/>
                <w:b/>
                <w:bCs/>
                <w:color w:val="auto"/>
                <w:kern w:val="0"/>
                <w:szCs w:val="21"/>
              </w:rPr>
              <w:t>一览表</w:t>
            </w:r>
          </w:p>
          <w:tbl>
            <w:tblPr>
              <w:tblStyle w:val="80"/>
              <w:tblW w:w="8115"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618"/>
              <w:gridCol w:w="1420"/>
              <w:gridCol w:w="1296"/>
              <w:gridCol w:w="509"/>
              <w:gridCol w:w="847"/>
              <w:gridCol w:w="728"/>
              <w:gridCol w:w="699"/>
              <w:gridCol w:w="1521"/>
            </w:tblGrid>
            <w:tr w14:paraId="19BBB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77" w:type="dxa"/>
                  <w:vMerge w:val="restart"/>
                  <w:tcBorders>
                    <w:bottom w:val="nil"/>
                  </w:tcBorders>
                  <w:vAlign w:val="center"/>
                </w:tcPr>
                <w:p w14:paraId="6E6D8C7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环境要素</w:t>
                  </w:r>
                </w:p>
              </w:tc>
              <w:tc>
                <w:tcPr>
                  <w:tcW w:w="618" w:type="dxa"/>
                  <w:vMerge w:val="restart"/>
                  <w:tcBorders>
                    <w:bottom w:val="nil"/>
                  </w:tcBorders>
                  <w:vAlign w:val="center"/>
                </w:tcPr>
                <w:p w14:paraId="24EE776A">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保护目标名称</w:t>
                  </w:r>
                </w:p>
              </w:tc>
              <w:tc>
                <w:tcPr>
                  <w:tcW w:w="2716" w:type="dxa"/>
                  <w:gridSpan w:val="2"/>
                  <w:vAlign w:val="center"/>
                </w:tcPr>
                <w:p w14:paraId="30D73A8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坐标</w:t>
                  </w:r>
                </w:p>
              </w:tc>
              <w:tc>
                <w:tcPr>
                  <w:tcW w:w="509" w:type="dxa"/>
                  <w:vMerge w:val="restart"/>
                  <w:tcBorders>
                    <w:bottom w:val="nil"/>
                  </w:tcBorders>
                  <w:vAlign w:val="center"/>
                </w:tcPr>
                <w:p w14:paraId="79177B9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保护对象</w:t>
                  </w:r>
                </w:p>
              </w:tc>
              <w:tc>
                <w:tcPr>
                  <w:tcW w:w="847" w:type="dxa"/>
                  <w:vMerge w:val="restart"/>
                  <w:tcBorders>
                    <w:bottom w:val="nil"/>
                  </w:tcBorders>
                  <w:vAlign w:val="center"/>
                </w:tcPr>
                <w:p w14:paraId="00A15F0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保护内容</w:t>
                  </w:r>
                </w:p>
              </w:tc>
              <w:tc>
                <w:tcPr>
                  <w:tcW w:w="728" w:type="dxa"/>
                  <w:vMerge w:val="restart"/>
                  <w:tcBorders>
                    <w:bottom w:val="nil"/>
                  </w:tcBorders>
                  <w:vAlign w:val="center"/>
                </w:tcPr>
                <w:p w14:paraId="4B3595B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相对厂址方位</w:t>
                  </w:r>
                </w:p>
              </w:tc>
              <w:tc>
                <w:tcPr>
                  <w:tcW w:w="699" w:type="dxa"/>
                  <w:vMerge w:val="restart"/>
                  <w:tcBorders>
                    <w:bottom w:val="nil"/>
                  </w:tcBorders>
                  <w:vAlign w:val="center"/>
                </w:tcPr>
                <w:p w14:paraId="3EF2F77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相对厂界距离</w:t>
                  </w:r>
                </w:p>
              </w:tc>
              <w:tc>
                <w:tcPr>
                  <w:tcW w:w="1521" w:type="dxa"/>
                  <w:vMerge w:val="restart"/>
                  <w:vAlign w:val="center"/>
                </w:tcPr>
                <w:p w14:paraId="3C3CC8F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环境功能区及执行标准</w:t>
                  </w:r>
                </w:p>
              </w:tc>
            </w:tr>
            <w:tr w14:paraId="4A71B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77" w:type="dxa"/>
                  <w:vMerge w:val="continue"/>
                  <w:tcBorders>
                    <w:top w:val="nil"/>
                  </w:tcBorders>
                  <w:textDirection w:val="tbRlV"/>
                  <w:vAlign w:val="center"/>
                </w:tcPr>
                <w:p w14:paraId="4F1CCA7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618" w:type="dxa"/>
                  <w:vMerge w:val="continue"/>
                  <w:tcBorders>
                    <w:top w:val="nil"/>
                  </w:tcBorders>
                  <w:vAlign w:val="center"/>
                </w:tcPr>
                <w:p w14:paraId="029FC8A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1420" w:type="dxa"/>
                  <w:vAlign w:val="center"/>
                </w:tcPr>
                <w:p w14:paraId="08A702E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经度</w:t>
                  </w:r>
                </w:p>
              </w:tc>
              <w:tc>
                <w:tcPr>
                  <w:tcW w:w="1296" w:type="dxa"/>
                  <w:vAlign w:val="center"/>
                </w:tcPr>
                <w:p w14:paraId="297928C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纬度</w:t>
                  </w:r>
                </w:p>
              </w:tc>
              <w:tc>
                <w:tcPr>
                  <w:tcW w:w="509" w:type="dxa"/>
                  <w:vMerge w:val="continue"/>
                  <w:tcBorders>
                    <w:top w:val="nil"/>
                  </w:tcBorders>
                  <w:vAlign w:val="center"/>
                </w:tcPr>
                <w:p w14:paraId="7A6B872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847" w:type="dxa"/>
                  <w:vMerge w:val="continue"/>
                  <w:tcBorders>
                    <w:top w:val="nil"/>
                  </w:tcBorders>
                  <w:vAlign w:val="center"/>
                </w:tcPr>
                <w:p w14:paraId="0DCB5BB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728" w:type="dxa"/>
                  <w:vMerge w:val="continue"/>
                  <w:tcBorders>
                    <w:top w:val="nil"/>
                  </w:tcBorders>
                  <w:vAlign w:val="center"/>
                </w:tcPr>
                <w:p w14:paraId="5AF3FC6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699" w:type="dxa"/>
                  <w:vMerge w:val="continue"/>
                  <w:tcBorders>
                    <w:top w:val="nil"/>
                  </w:tcBorders>
                  <w:vAlign w:val="center"/>
                </w:tcPr>
                <w:p w14:paraId="2FF21CC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1521" w:type="dxa"/>
                  <w:vMerge w:val="continue"/>
                  <w:vAlign w:val="center"/>
                </w:tcPr>
                <w:p w14:paraId="0A1257E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r>
            <w:tr w14:paraId="2B15A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477" w:type="dxa"/>
                  <w:vMerge w:val="restart"/>
                  <w:textDirection w:val="tbRlV"/>
                  <w:vAlign w:val="center"/>
                </w:tcPr>
                <w:p w14:paraId="26C22CB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环境空气</w:t>
                  </w:r>
                </w:p>
              </w:tc>
              <w:tc>
                <w:tcPr>
                  <w:tcW w:w="618" w:type="dxa"/>
                  <w:vAlign w:val="center"/>
                </w:tcPr>
                <w:p w14:paraId="5ACCD98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三眼井</w:t>
                  </w:r>
                </w:p>
              </w:tc>
              <w:tc>
                <w:tcPr>
                  <w:tcW w:w="1420" w:type="dxa"/>
                  <w:vAlign w:val="center"/>
                </w:tcPr>
                <w:p w14:paraId="1D13A1E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103°</w:t>
                  </w:r>
                  <w:r>
                    <w:rPr>
                      <w:rFonts w:hint="eastAsia" w:ascii="Times New Roman" w:hAnsi="Times New Roman"/>
                      <w:color w:val="auto"/>
                      <w:sz w:val="21"/>
                      <w:szCs w:val="21"/>
                      <w:lang w:val="en-US" w:eastAsia="zh-CN"/>
                    </w:rPr>
                    <w:t>1</w:t>
                  </w:r>
                  <w:r>
                    <w:rPr>
                      <w:rFonts w:ascii="Times New Roman" w:hAnsi="Times New Roman" w:eastAsia="宋体"/>
                      <w:color w:val="auto"/>
                      <w:sz w:val="21"/>
                      <w:szCs w:val="21"/>
                    </w:rPr>
                    <w:t>4′</w:t>
                  </w:r>
                  <w:r>
                    <w:rPr>
                      <w:rFonts w:hint="eastAsia" w:ascii="Times New Roman" w:hAnsi="Times New Roman"/>
                      <w:color w:val="auto"/>
                      <w:sz w:val="21"/>
                      <w:szCs w:val="21"/>
                      <w:lang w:val="en-US" w:eastAsia="zh-CN"/>
                    </w:rPr>
                    <w:t>46.231</w:t>
                  </w:r>
                  <w:r>
                    <w:rPr>
                      <w:rFonts w:ascii="Times New Roman" w:hAnsi="Times New Roman" w:eastAsia="宋体"/>
                      <w:color w:val="auto"/>
                      <w:sz w:val="21"/>
                      <w:szCs w:val="21"/>
                    </w:rPr>
                    <w:t>″</w:t>
                  </w:r>
                </w:p>
              </w:tc>
              <w:tc>
                <w:tcPr>
                  <w:tcW w:w="1296" w:type="dxa"/>
                  <w:vAlign w:val="center"/>
                </w:tcPr>
                <w:p w14:paraId="5975BC4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25°</w:t>
                  </w:r>
                  <w:r>
                    <w:rPr>
                      <w:rFonts w:hint="eastAsia" w:ascii="Times New Roman" w:hAnsi="Times New Roman"/>
                      <w:color w:val="auto"/>
                      <w:sz w:val="21"/>
                      <w:szCs w:val="21"/>
                      <w:lang w:val="en-US" w:eastAsia="zh-CN"/>
                    </w:rPr>
                    <w:t>35</w:t>
                  </w:r>
                  <w:r>
                    <w:rPr>
                      <w:rFonts w:ascii="Times New Roman" w:hAnsi="Times New Roman" w:eastAsia="宋体"/>
                      <w:color w:val="auto"/>
                      <w:sz w:val="21"/>
                      <w:szCs w:val="21"/>
                    </w:rPr>
                    <w:t>′</w:t>
                  </w:r>
                  <w:r>
                    <w:rPr>
                      <w:rFonts w:hint="eastAsia" w:ascii="Times New Roman" w:hAnsi="Times New Roman"/>
                      <w:color w:val="auto"/>
                      <w:sz w:val="21"/>
                      <w:szCs w:val="21"/>
                      <w:lang w:val="en-US" w:eastAsia="zh-CN"/>
                    </w:rPr>
                    <w:t>8.232</w:t>
                  </w:r>
                  <w:r>
                    <w:rPr>
                      <w:rFonts w:ascii="Times New Roman" w:hAnsi="Times New Roman" w:eastAsia="宋体"/>
                      <w:color w:val="auto"/>
                      <w:sz w:val="21"/>
                      <w:szCs w:val="21"/>
                    </w:rPr>
                    <w:t>″</w:t>
                  </w:r>
                </w:p>
              </w:tc>
              <w:tc>
                <w:tcPr>
                  <w:tcW w:w="509" w:type="dxa"/>
                  <w:vAlign w:val="center"/>
                </w:tcPr>
                <w:p w14:paraId="57BC7E1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居民区</w:t>
                  </w:r>
                </w:p>
              </w:tc>
              <w:tc>
                <w:tcPr>
                  <w:tcW w:w="847" w:type="dxa"/>
                  <w:vAlign w:val="center"/>
                </w:tcPr>
                <w:p w14:paraId="56AA65D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约</w:t>
                  </w:r>
                  <w:r>
                    <w:rPr>
                      <w:rFonts w:hint="eastAsia" w:ascii="Times New Roman" w:hAnsi="Times New Roman"/>
                      <w:color w:val="auto"/>
                      <w:sz w:val="21"/>
                      <w:szCs w:val="21"/>
                      <w:lang w:val="en-US" w:eastAsia="zh-CN"/>
                    </w:rPr>
                    <w:t>50</w:t>
                  </w:r>
                  <w:r>
                    <w:rPr>
                      <w:rFonts w:ascii="Times New Roman" w:hAnsi="Times New Roman" w:eastAsia="宋体"/>
                      <w:color w:val="auto"/>
                      <w:sz w:val="21"/>
                      <w:szCs w:val="21"/>
                    </w:rPr>
                    <w:t>人</w:t>
                  </w:r>
                </w:p>
              </w:tc>
              <w:tc>
                <w:tcPr>
                  <w:tcW w:w="728" w:type="dxa"/>
                  <w:vAlign w:val="center"/>
                </w:tcPr>
                <w:p w14:paraId="6E5CC5CB">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西</w:t>
                  </w:r>
                  <w:r>
                    <w:rPr>
                      <w:rFonts w:ascii="Times New Roman" w:hAnsi="Times New Roman" w:eastAsia="宋体"/>
                      <w:color w:val="auto"/>
                      <w:sz w:val="21"/>
                      <w:szCs w:val="21"/>
                    </w:rPr>
                    <w:t>侧</w:t>
                  </w:r>
                </w:p>
              </w:tc>
              <w:tc>
                <w:tcPr>
                  <w:tcW w:w="699" w:type="dxa"/>
                  <w:vAlign w:val="center"/>
                </w:tcPr>
                <w:p w14:paraId="296A4E5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300</w:t>
                  </w:r>
                  <w:r>
                    <w:rPr>
                      <w:rFonts w:ascii="Times New Roman" w:hAnsi="Times New Roman" w:eastAsia="宋体"/>
                      <w:color w:val="auto"/>
                      <w:sz w:val="21"/>
                      <w:szCs w:val="21"/>
                    </w:rPr>
                    <w:t>m</w:t>
                  </w:r>
                </w:p>
              </w:tc>
              <w:tc>
                <w:tcPr>
                  <w:tcW w:w="1521" w:type="dxa"/>
                  <w:vMerge w:val="restart"/>
                  <w:vAlign w:val="center"/>
                </w:tcPr>
                <w:p w14:paraId="4083D42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eastAsia="宋体"/>
                      <w:color w:val="auto"/>
                    </w:rPr>
                    <w:t>《环境空气质量标准》（</w:t>
                  </w:r>
                  <w:r>
                    <w:rPr>
                      <w:rFonts w:hint="eastAsia" w:ascii="Times New Roman" w:hAnsi="Times New Roman" w:eastAsia="宋体"/>
                      <w:color w:val="auto"/>
                      <w:lang w:val="en-US" w:eastAsia="zh-CN"/>
                    </w:rPr>
                    <w:t>GB3095</w:t>
                  </w:r>
                  <w:r>
                    <w:rPr>
                      <w:rFonts w:hint="eastAsia" w:ascii="Times New Roman" w:hAnsi="Times New Roman" w:eastAsia="宋体"/>
                      <w:color w:val="auto"/>
                    </w:rPr>
                    <w:t>-2012及其修改单）二级标准</w:t>
                  </w:r>
                </w:p>
              </w:tc>
            </w:tr>
            <w:tr w14:paraId="6FCDD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77" w:type="dxa"/>
                  <w:vMerge w:val="continue"/>
                  <w:vAlign w:val="center"/>
                </w:tcPr>
                <w:p w14:paraId="09FE035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c>
                <w:tcPr>
                  <w:tcW w:w="618" w:type="dxa"/>
                  <w:vAlign w:val="center"/>
                </w:tcPr>
                <w:p w14:paraId="6C6E031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北观社区</w:t>
                  </w:r>
                </w:p>
              </w:tc>
              <w:tc>
                <w:tcPr>
                  <w:tcW w:w="1420" w:type="dxa"/>
                  <w:vAlign w:val="center"/>
                </w:tcPr>
                <w:p w14:paraId="2796B61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103°</w:t>
                  </w:r>
                  <w:r>
                    <w:rPr>
                      <w:rFonts w:hint="eastAsia" w:ascii="Times New Roman" w:hAnsi="Times New Roman"/>
                      <w:color w:val="auto"/>
                      <w:sz w:val="21"/>
                      <w:szCs w:val="21"/>
                      <w:lang w:val="en-US" w:eastAsia="zh-CN"/>
                    </w:rPr>
                    <w:t>15</w:t>
                  </w:r>
                  <w:r>
                    <w:rPr>
                      <w:rFonts w:ascii="Times New Roman" w:hAnsi="Times New Roman" w:eastAsia="宋体"/>
                      <w:color w:val="auto"/>
                      <w:sz w:val="21"/>
                      <w:szCs w:val="21"/>
                    </w:rPr>
                    <w:t>′1</w:t>
                  </w:r>
                  <w:r>
                    <w:rPr>
                      <w:rFonts w:hint="eastAsia" w:ascii="Times New Roman" w:hAnsi="Times New Roman"/>
                      <w:color w:val="auto"/>
                      <w:sz w:val="21"/>
                      <w:szCs w:val="21"/>
                      <w:lang w:val="en-US" w:eastAsia="zh-CN"/>
                    </w:rPr>
                    <w:t>1.529</w:t>
                  </w:r>
                  <w:r>
                    <w:rPr>
                      <w:rFonts w:ascii="Times New Roman" w:hAnsi="Times New Roman" w:eastAsia="宋体"/>
                      <w:color w:val="auto"/>
                      <w:sz w:val="21"/>
                      <w:szCs w:val="21"/>
                    </w:rPr>
                    <w:t>″</w:t>
                  </w:r>
                </w:p>
              </w:tc>
              <w:tc>
                <w:tcPr>
                  <w:tcW w:w="1296" w:type="dxa"/>
                  <w:vAlign w:val="center"/>
                </w:tcPr>
                <w:p w14:paraId="4ECF67A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25°</w:t>
                  </w:r>
                  <w:r>
                    <w:rPr>
                      <w:rFonts w:hint="eastAsia" w:ascii="Times New Roman" w:hAnsi="Times New Roman"/>
                      <w:color w:val="auto"/>
                      <w:sz w:val="21"/>
                      <w:szCs w:val="21"/>
                      <w:lang w:val="en-US" w:eastAsia="zh-CN"/>
                    </w:rPr>
                    <w:t>35</w:t>
                  </w:r>
                  <w:r>
                    <w:rPr>
                      <w:rFonts w:ascii="Times New Roman" w:hAnsi="Times New Roman" w:eastAsia="宋体"/>
                      <w:color w:val="auto"/>
                      <w:sz w:val="21"/>
                      <w:szCs w:val="21"/>
                    </w:rPr>
                    <w:t>′</w:t>
                  </w:r>
                  <w:r>
                    <w:rPr>
                      <w:rFonts w:hint="eastAsia" w:ascii="Times New Roman" w:hAnsi="Times New Roman"/>
                      <w:color w:val="auto"/>
                      <w:sz w:val="21"/>
                      <w:szCs w:val="21"/>
                      <w:lang w:val="en-US" w:eastAsia="zh-CN"/>
                    </w:rPr>
                    <w:t>1.743</w:t>
                  </w:r>
                  <w:r>
                    <w:rPr>
                      <w:rFonts w:ascii="Times New Roman" w:hAnsi="Times New Roman" w:eastAsia="宋体"/>
                      <w:color w:val="auto"/>
                      <w:sz w:val="21"/>
                      <w:szCs w:val="21"/>
                    </w:rPr>
                    <w:t>″</w:t>
                  </w:r>
                </w:p>
              </w:tc>
              <w:tc>
                <w:tcPr>
                  <w:tcW w:w="509" w:type="dxa"/>
                  <w:vAlign w:val="center"/>
                </w:tcPr>
                <w:p w14:paraId="02558C3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居民区</w:t>
                  </w:r>
                </w:p>
              </w:tc>
              <w:tc>
                <w:tcPr>
                  <w:tcW w:w="847" w:type="dxa"/>
                  <w:vAlign w:val="center"/>
                </w:tcPr>
                <w:p w14:paraId="2FDBD67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约</w:t>
                  </w:r>
                  <w:r>
                    <w:rPr>
                      <w:rFonts w:hint="eastAsia" w:ascii="Times New Roman" w:hAnsi="Times New Roman"/>
                      <w:color w:val="auto"/>
                      <w:sz w:val="21"/>
                      <w:szCs w:val="21"/>
                      <w:lang w:val="en-US" w:eastAsia="zh-CN"/>
                    </w:rPr>
                    <w:t>100</w:t>
                  </w:r>
                  <w:r>
                    <w:rPr>
                      <w:rFonts w:ascii="Times New Roman" w:hAnsi="Times New Roman" w:eastAsia="宋体"/>
                      <w:color w:val="auto"/>
                      <w:sz w:val="21"/>
                      <w:szCs w:val="21"/>
                    </w:rPr>
                    <w:t>人</w:t>
                  </w:r>
                </w:p>
              </w:tc>
              <w:tc>
                <w:tcPr>
                  <w:tcW w:w="728" w:type="dxa"/>
                  <w:vAlign w:val="center"/>
                </w:tcPr>
                <w:p w14:paraId="0C1AD6C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东</w:t>
                  </w:r>
                  <w:r>
                    <w:rPr>
                      <w:rFonts w:ascii="Times New Roman" w:hAnsi="Times New Roman" w:eastAsia="宋体"/>
                      <w:color w:val="auto"/>
                      <w:sz w:val="21"/>
                      <w:szCs w:val="21"/>
                    </w:rPr>
                    <w:t>南侧</w:t>
                  </w:r>
                </w:p>
              </w:tc>
              <w:tc>
                <w:tcPr>
                  <w:tcW w:w="699" w:type="dxa"/>
                  <w:vAlign w:val="center"/>
                </w:tcPr>
                <w:p w14:paraId="7FE5A7F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3</w:t>
                  </w:r>
                  <w:r>
                    <w:rPr>
                      <w:rFonts w:hint="eastAsia" w:ascii="Times New Roman" w:hAnsi="Times New Roman"/>
                      <w:color w:val="auto"/>
                      <w:sz w:val="21"/>
                      <w:szCs w:val="21"/>
                      <w:lang w:val="en-US" w:eastAsia="zh-CN"/>
                    </w:rPr>
                    <w:t>70</w:t>
                  </w:r>
                  <w:r>
                    <w:rPr>
                      <w:rFonts w:ascii="Times New Roman" w:hAnsi="Times New Roman" w:eastAsia="宋体"/>
                      <w:color w:val="auto"/>
                      <w:sz w:val="21"/>
                      <w:szCs w:val="21"/>
                    </w:rPr>
                    <w:t>m</w:t>
                  </w:r>
                </w:p>
              </w:tc>
              <w:tc>
                <w:tcPr>
                  <w:tcW w:w="1521" w:type="dxa"/>
                  <w:vMerge w:val="continue"/>
                  <w:vAlign w:val="center"/>
                </w:tcPr>
                <w:p w14:paraId="0ADFD05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p>
              </w:tc>
            </w:tr>
            <w:tr w14:paraId="12946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77" w:type="dxa"/>
                  <w:tcBorders>
                    <w:bottom w:val="nil"/>
                  </w:tcBorders>
                  <w:textDirection w:val="tbRlV"/>
                  <w:vAlign w:val="center"/>
                </w:tcPr>
                <w:p w14:paraId="7AD5BA8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地表水</w:t>
                  </w:r>
                </w:p>
              </w:tc>
              <w:tc>
                <w:tcPr>
                  <w:tcW w:w="618" w:type="dxa"/>
                  <w:vAlign w:val="center"/>
                </w:tcPr>
                <w:p w14:paraId="54D91B7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兔耳</w:t>
                  </w:r>
                  <w:r>
                    <w:rPr>
                      <w:rFonts w:ascii="Times New Roman" w:hAnsi="Times New Roman" w:eastAsia="宋体"/>
                      <w:color w:val="auto"/>
                      <w:sz w:val="21"/>
                      <w:szCs w:val="21"/>
                    </w:rPr>
                    <w:t>河</w:t>
                  </w:r>
                </w:p>
              </w:tc>
              <w:tc>
                <w:tcPr>
                  <w:tcW w:w="1420" w:type="dxa"/>
                  <w:vAlign w:val="center"/>
                </w:tcPr>
                <w:p w14:paraId="65A66063">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w:t>
                  </w:r>
                </w:p>
              </w:tc>
              <w:tc>
                <w:tcPr>
                  <w:tcW w:w="1296" w:type="dxa"/>
                  <w:vAlign w:val="center"/>
                </w:tcPr>
                <w:p w14:paraId="46BB5C9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w:t>
                  </w:r>
                </w:p>
              </w:tc>
              <w:tc>
                <w:tcPr>
                  <w:tcW w:w="509" w:type="dxa"/>
                  <w:vAlign w:val="center"/>
                </w:tcPr>
                <w:p w14:paraId="738B2134">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w:t>
                  </w:r>
                </w:p>
              </w:tc>
              <w:tc>
                <w:tcPr>
                  <w:tcW w:w="847" w:type="dxa"/>
                  <w:vAlign w:val="center"/>
                </w:tcPr>
                <w:p w14:paraId="4F40B94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w:t>
                  </w:r>
                </w:p>
              </w:tc>
              <w:tc>
                <w:tcPr>
                  <w:tcW w:w="728" w:type="dxa"/>
                  <w:vAlign w:val="center"/>
                </w:tcPr>
                <w:p w14:paraId="47654C81">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东侧</w:t>
                  </w:r>
                </w:p>
              </w:tc>
              <w:tc>
                <w:tcPr>
                  <w:tcW w:w="699" w:type="dxa"/>
                  <w:vAlign w:val="center"/>
                </w:tcPr>
                <w:p w14:paraId="5A6D1932">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hint="eastAsia" w:ascii="Times New Roman" w:hAnsi="Times New Roman"/>
                      <w:color w:val="auto"/>
                      <w:sz w:val="21"/>
                      <w:szCs w:val="21"/>
                      <w:lang w:val="en-US" w:eastAsia="zh-CN"/>
                    </w:rPr>
                    <w:t>850</w:t>
                  </w:r>
                  <w:r>
                    <w:rPr>
                      <w:rFonts w:ascii="Times New Roman" w:hAnsi="Times New Roman" w:eastAsia="宋体"/>
                      <w:color w:val="auto"/>
                      <w:sz w:val="21"/>
                      <w:szCs w:val="21"/>
                    </w:rPr>
                    <w:t>m</w:t>
                  </w:r>
                </w:p>
              </w:tc>
              <w:tc>
                <w:tcPr>
                  <w:tcW w:w="1521" w:type="dxa"/>
                  <w:vAlign w:val="center"/>
                </w:tcPr>
                <w:p w14:paraId="1CEB17D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t>《地表水环境质量标准》（GB3838-2002）中Ⅲ类标准</w:t>
                  </w:r>
                </w:p>
              </w:tc>
            </w:tr>
          </w:tbl>
          <w:p w14:paraId="32EFC9BF">
            <w:pPr>
              <w:adjustRightInd w:val="0"/>
              <w:snapToGrid w:val="0"/>
              <w:spacing w:line="360" w:lineRule="auto"/>
              <w:ind w:firstLine="420" w:firstLineChars="200"/>
              <w:rPr>
                <w:rFonts w:ascii="Times New Roman" w:hAnsi="Times New Roman" w:cs="宋体"/>
                <w:color w:val="auto"/>
                <w:kern w:val="0"/>
                <w:szCs w:val="21"/>
              </w:rPr>
            </w:pPr>
          </w:p>
        </w:tc>
      </w:tr>
      <w:tr w14:paraId="26C7A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14:paraId="26C67ED1">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污染</w:t>
            </w:r>
          </w:p>
          <w:p w14:paraId="06BF8240">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物排</w:t>
            </w:r>
          </w:p>
          <w:p w14:paraId="2A3FC528">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放控</w:t>
            </w:r>
          </w:p>
          <w:p w14:paraId="444AF5D4">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制标</w:t>
            </w:r>
          </w:p>
          <w:p w14:paraId="24C6D360">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 w:val="24"/>
                <w:szCs w:val="24"/>
              </w:rPr>
              <w:t>准</w:t>
            </w:r>
          </w:p>
        </w:tc>
        <w:tc>
          <w:tcPr>
            <w:tcW w:w="8190" w:type="dxa"/>
            <w:vAlign w:val="center"/>
          </w:tcPr>
          <w:p w14:paraId="13242B8A">
            <w:pPr>
              <w:adjustRightInd w:val="0"/>
              <w:snapToGrid w:val="0"/>
              <w:spacing w:line="360" w:lineRule="auto"/>
              <w:ind w:firstLine="482" w:firstLineChars="200"/>
              <w:rPr>
                <w:rFonts w:hint="eastAsia" w:ascii="Times New Roman" w:hAnsi="Times New Roman" w:eastAsia="宋体" w:cs="宋体"/>
                <w:b/>
                <w:bCs/>
                <w:color w:val="auto"/>
                <w:kern w:val="0"/>
                <w:sz w:val="24"/>
                <w:lang w:eastAsia="zh-CN"/>
              </w:rPr>
            </w:pPr>
            <w:r>
              <w:rPr>
                <w:rFonts w:hint="eastAsia" w:ascii="Times New Roman" w:hAnsi="Times New Roman" w:cs="宋体"/>
                <w:b/>
                <w:bCs/>
                <w:color w:val="auto"/>
                <w:kern w:val="0"/>
                <w:sz w:val="24"/>
              </w:rPr>
              <w:t>1、</w:t>
            </w:r>
            <w:r>
              <w:rPr>
                <w:rFonts w:hint="eastAsia" w:ascii="Times New Roman" w:hAnsi="Times New Roman" w:cs="宋体"/>
                <w:b/>
                <w:bCs/>
                <w:color w:val="auto"/>
                <w:kern w:val="0"/>
                <w:sz w:val="24"/>
                <w:lang w:val="en-US" w:eastAsia="zh-CN"/>
              </w:rPr>
              <w:t>施工期</w:t>
            </w:r>
          </w:p>
          <w:p w14:paraId="739EEA25">
            <w:pPr>
              <w:adjustRightInd w:val="0"/>
              <w:snapToGrid w:val="0"/>
              <w:spacing w:line="360" w:lineRule="auto"/>
              <w:ind w:firstLine="482" w:firstLineChars="200"/>
              <w:rPr>
                <w:rFonts w:hint="eastAsia" w:ascii="Times New Roman" w:hAnsi="Times New Roman" w:eastAsia="宋体"/>
                <w:b/>
                <w:bCs/>
                <w:color w:val="auto"/>
                <w:kern w:val="0"/>
                <w:sz w:val="24"/>
                <w:lang w:eastAsia="zh-CN"/>
              </w:rPr>
            </w:pPr>
            <w:r>
              <w:rPr>
                <w:rFonts w:ascii="Times New Roman" w:hAnsi="Times New Roman"/>
                <w:b/>
                <w:bCs/>
                <w:color w:val="auto"/>
                <w:kern w:val="0"/>
                <w:sz w:val="24"/>
              </w:rPr>
              <w:t>（1）</w:t>
            </w:r>
            <w:r>
              <w:rPr>
                <w:rFonts w:hint="eastAsia" w:ascii="Times New Roman" w:hAnsi="Times New Roman"/>
                <w:b/>
                <w:bCs/>
                <w:color w:val="auto"/>
                <w:kern w:val="0"/>
                <w:sz w:val="24"/>
                <w:lang w:val="en-US" w:eastAsia="zh-CN"/>
              </w:rPr>
              <w:t>废气</w:t>
            </w:r>
          </w:p>
          <w:p w14:paraId="4EE399F3">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项目施工期废气主要为扬尘，扬尘排放执行《大气污染物综合排放标准》（GB16297-1996）表2中无组织排放监控浓度限值，标准值详见表3-</w:t>
            </w:r>
            <w:r>
              <w:rPr>
                <w:rFonts w:hint="eastAsia" w:ascii="Times New Roman" w:hAnsi="Times New Roman"/>
                <w:color w:val="auto"/>
                <w:kern w:val="0"/>
                <w:sz w:val="24"/>
                <w:lang w:val="en-US" w:eastAsia="zh-CN"/>
              </w:rPr>
              <w:t>4</w:t>
            </w:r>
            <w:r>
              <w:rPr>
                <w:rFonts w:ascii="Times New Roman" w:hAnsi="Times New Roman"/>
                <w:color w:val="auto"/>
                <w:kern w:val="0"/>
                <w:sz w:val="24"/>
              </w:rPr>
              <w:t>所示。</w:t>
            </w:r>
          </w:p>
          <w:p w14:paraId="63B7AB45">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4</w:t>
            </w:r>
            <w:r>
              <w:rPr>
                <w:rFonts w:ascii="Times New Roman" w:hAnsi="Times New Roman"/>
                <w:b/>
                <w:bCs/>
                <w:color w:val="auto"/>
                <w:kern w:val="0"/>
                <w:szCs w:val="21"/>
              </w:rPr>
              <w:t>大气污染物综合排放标准</w:t>
            </w:r>
          </w:p>
          <w:tbl>
            <w:tblPr>
              <w:tblStyle w:val="28"/>
              <w:tblW w:w="7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2653"/>
              <w:gridCol w:w="2655"/>
            </w:tblGrid>
            <w:tr w14:paraId="485F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restart"/>
                  <w:vAlign w:val="center"/>
                </w:tcPr>
                <w:p w14:paraId="7F2DF7C4">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污染物</w:t>
                  </w:r>
                </w:p>
              </w:tc>
              <w:tc>
                <w:tcPr>
                  <w:tcW w:w="5308" w:type="dxa"/>
                  <w:gridSpan w:val="2"/>
                  <w:vAlign w:val="center"/>
                </w:tcPr>
                <w:p w14:paraId="4A1F33A2">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无组织排放监控浓度限值</w:t>
                  </w:r>
                </w:p>
              </w:tc>
            </w:tr>
            <w:tr w14:paraId="5D08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continue"/>
                  <w:vAlign w:val="center"/>
                </w:tcPr>
                <w:p w14:paraId="0A3E21F8">
                  <w:pPr>
                    <w:adjustRightInd w:val="0"/>
                    <w:snapToGrid w:val="0"/>
                    <w:jc w:val="center"/>
                    <w:rPr>
                      <w:rFonts w:ascii="Times New Roman" w:hAnsi="Times New Roman" w:cs="宋体"/>
                      <w:b/>
                      <w:bCs/>
                      <w:color w:val="auto"/>
                      <w:kern w:val="0"/>
                      <w:szCs w:val="21"/>
                    </w:rPr>
                  </w:pPr>
                </w:p>
              </w:tc>
              <w:tc>
                <w:tcPr>
                  <w:tcW w:w="2653" w:type="dxa"/>
                  <w:vAlign w:val="center"/>
                </w:tcPr>
                <w:p w14:paraId="532920A3">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监控点</w:t>
                  </w:r>
                </w:p>
              </w:tc>
              <w:tc>
                <w:tcPr>
                  <w:tcW w:w="2655" w:type="dxa"/>
                  <w:vAlign w:val="center"/>
                </w:tcPr>
                <w:p w14:paraId="0FA32AC1">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浓度</w:t>
                  </w:r>
                </w:p>
              </w:tc>
            </w:tr>
            <w:tr w14:paraId="3F9D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Align w:val="center"/>
                </w:tcPr>
                <w:p w14:paraId="3B7ED22C">
                  <w:pPr>
                    <w:adjustRightInd w:val="0"/>
                    <w:snapToGrid w:val="0"/>
                    <w:jc w:val="center"/>
                    <w:rPr>
                      <w:rFonts w:ascii="Times New Roman" w:hAnsi="Times New Roman"/>
                      <w:color w:val="auto"/>
                      <w:kern w:val="0"/>
                      <w:szCs w:val="21"/>
                    </w:rPr>
                  </w:pPr>
                  <w:r>
                    <w:rPr>
                      <w:rFonts w:ascii="Times New Roman" w:hAnsi="Times New Roman"/>
                      <w:color w:val="auto"/>
                      <w:kern w:val="0"/>
                      <w:szCs w:val="21"/>
                    </w:rPr>
                    <w:t>颗粒物</w:t>
                  </w:r>
                </w:p>
              </w:tc>
              <w:tc>
                <w:tcPr>
                  <w:tcW w:w="2653" w:type="dxa"/>
                  <w:vAlign w:val="center"/>
                </w:tcPr>
                <w:p w14:paraId="05B38DB5">
                  <w:pPr>
                    <w:adjustRightInd w:val="0"/>
                    <w:snapToGrid w:val="0"/>
                    <w:jc w:val="center"/>
                    <w:rPr>
                      <w:rFonts w:ascii="Times New Roman" w:hAnsi="Times New Roman"/>
                      <w:color w:val="auto"/>
                      <w:kern w:val="0"/>
                      <w:szCs w:val="21"/>
                    </w:rPr>
                  </w:pPr>
                  <w:r>
                    <w:rPr>
                      <w:rFonts w:ascii="Times New Roman" w:hAnsi="Times New Roman"/>
                      <w:color w:val="auto"/>
                      <w:kern w:val="0"/>
                      <w:szCs w:val="21"/>
                    </w:rPr>
                    <w:t>周界外浓度最高点</w:t>
                  </w:r>
                </w:p>
              </w:tc>
              <w:tc>
                <w:tcPr>
                  <w:tcW w:w="2655" w:type="dxa"/>
                  <w:vAlign w:val="center"/>
                </w:tcPr>
                <w:p w14:paraId="13EFDE0E">
                  <w:pPr>
                    <w:adjustRightInd w:val="0"/>
                    <w:snapToGrid w:val="0"/>
                    <w:jc w:val="center"/>
                    <w:rPr>
                      <w:rFonts w:hint="eastAsia" w:ascii="Times New Roman" w:hAnsi="Times New Roman" w:eastAsia="宋体"/>
                      <w:color w:val="auto"/>
                      <w:kern w:val="0"/>
                      <w:szCs w:val="21"/>
                      <w:lang w:eastAsia="zh-CN"/>
                    </w:rPr>
                  </w:pPr>
                  <w:r>
                    <w:rPr>
                      <w:rFonts w:ascii="Times New Roman" w:hAnsi="Times New Roman"/>
                      <w:color w:val="auto"/>
                      <w:kern w:val="0"/>
                      <w:szCs w:val="21"/>
                    </w:rPr>
                    <w:t>1.0mg/</w:t>
                  </w:r>
                  <w:r>
                    <w:rPr>
                      <w:rFonts w:hint="eastAsia" w:ascii="Times New Roman" w:hAnsi="Times New Roman"/>
                      <w:color w:val="auto"/>
                      <w:kern w:val="0"/>
                      <w:szCs w:val="21"/>
                      <w:lang w:eastAsia="zh-CN"/>
                    </w:rPr>
                    <w:t>m</w:t>
                  </w:r>
                  <w:r>
                    <w:rPr>
                      <w:rFonts w:hint="eastAsia" w:ascii="Times New Roman" w:hAnsi="Times New Roman"/>
                      <w:color w:val="auto"/>
                      <w:kern w:val="0"/>
                      <w:szCs w:val="21"/>
                      <w:vertAlign w:val="superscript"/>
                      <w:lang w:eastAsia="zh-CN"/>
                    </w:rPr>
                    <w:t>3</w:t>
                  </w:r>
                </w:p>
              </w:tc>
            </w:tr>
          </w:tbl>
          <w:p w14:paraId="6AEA06D8">
            <w:pPr>
              <w:pStyle w:val="98"/>
              <w:spacing w:before="39" w:line="219" w:lineRule="auto"/>
              <w:ind w:left="600"/>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（2）废水</w:t>
            </w:r>
          </w:p>
          <w:p w14:paraId="59CF41D6">
            <w:pPr>
              <w:pStyle w:val="98"/>
              <w:spacing w:before="182" w:line="345" w:lineRule="auto"/>
              <w:ind w:left="112" w:right="104" w:firstLine="475"/>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施工期废水经过沉淀处理后回用于施工场地降尘洒水，不外排。因此，不设废水排放标准。</w:t>
            </w:r>
          </w:p>
          <w:p w14:paraId="578241CE">
            <w:pPr>
              <w:pStyle w:val="98"/>
              <w:spacing w:before="37" w:line="220" w:lineRule="auto"/>
              <w:ind w:left="600"/>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（3）噪声</w:t>
            </w:r>
          </w:p>
          <w:p w14:paraId="546DBFF2">
            <w:pPr>
              <w:pStyle w:val="98"/>
              <w:spacing w:before="179" w:line="345" w:lineRule="auto"/>
              <w:ind w:left="109" w:firstLine="474"/>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施工噪声排放执行《建筑施工场界环境噪声排放标准》（GB12523-2011）， 标准值见下表。</w:t>
            </w:r>
          </w:p>
          <w:p w14:paraId="55A8E111">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5</w:t>
            </w:r>
            <w:r>
              <w:rPr>
                <w:rFonts w:ascii="Times New Roman" w:hAnsi="Times New Roman"/>
                <w:b/>
                <w:bCs/>
                <w:color w:val="auto"/>
                <w:kern w:val="0"/>
                <w:szCs w:val="21"/>
              </w:rPr>
              <w:t xml:space="preserve">  建筑施工场界环境噪声排放限值   单位：dB（A）</w:t>
            </w:r>
          </w:p>
          <w:tbl>
            <w:tblPr>
              <w:tblStyle w:val="80"/>
              <w:tblW w:w="8092"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2"/>
              <w:gridCol w:w="3900"/>
            </w:tblGrid>
            <w:tr w14:paraId="7A9C5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92" w:type="dxa"/>
                  <w:vAlign w:val="top"/>
                </w:tcPr>
                <w:p w14:paraId="2DD93B0B">
                  <w:pPr>
                    <w:pStyle w:val="98"/>
                    <w:spacing w:before="85" w:line="222" w:lineRule="auto"/>
                    <w:ind w:left="1921"/>
                    <w:rPr>
                      <w:rFonts w:hint="eastAsia" w:ascii="Times New Roman" w:hAnsi="Times New Roman" w:eastAsia="宋体" w:cs="宋体"/>
                      <w:color w:val="auto"/>
                      <w:sz w:val="21"/>
                      <w:szCs w:val="21"/>
                    </w:rPr>
                  </w:pPr>
                  <w:r>
                    <w:rPr>
                      <w:rFonts w:hint="eastAsia" w:ascii="Times New Roman" w:hAnsi="Times New Roman" w:eastAsia="宋体" w:cs="宋体"/>
                      <w:color w:val="auto"/>
                      <w:spacing w:val="-4"/>
                      <w:sz w:val="21"/>
                      <w:szCs w:val="21"/>
                    </w:rPr>
                    <w:t>昼间</w:t>
                  </w:r>
                </w:p>
              </w:tc>
              <w:tc>
                <w:tcPr>
                  <w:tcW w:w="3900" w:type="dxa"/>
                  <w:vAlign w:val="top"/>
                </w:tcPr>
                <w:p w14:paraId="638D3350">
                  <w:pPr>
                    <w:pStyle w:val="98"/>
                    <w:spacing w:before="85" w:line="219" w:lineRule="auto"/>
                    <w:ind w:left="1777"/>
                    <w:rPr>
                      <w:rFonts w:hint="eastAsia" w:ascii="Times New Roman" w:hAnsi="Times New Roman" w:eastAsia="宋体" w:cs="宋体"/>
                      <w:color w:val="auto"/>
                      <w:sz w:val="21"/>
                      <w:szCs w:val="21"/>
                    </w:rPr>
                  </w:pPr>
                  <w:r>
                    <w:rPr>
                      <w:rFonts w:hint="eastAsia" w:ascii="Times New Roman" w:hAnsi="Times New Roman" w:eastAsia="宋体" w:cs="宋体"/>
                      <w:color w:val="auto"/>
                      <w:spacing w:val="-5"/>
                      <w:sz w:val="21"/>
                      <w:szCs w:val="21"/>
                    </w:rPr>
                    <w:t>夜间</w:t>
                  </w:r>
                </w:p>
              </w:tc>
            </w:tr>
            <w:tr w14:paraId="1D02D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92" w:type="dxa"/>
                  <w:vAlign w:val="top"/>
                </w:tcPr>
                <w:p w14:paraId="2A4758F0">
                  <w:pPr>
                    <w:spacing w:before="114" w:line="188" w:lineRule="auto"/>
                    <w:ind w:left="2011"/>
                    <w:rPr>
                      <w:rFonts w:hint="eastAsia" w:ascii="Times New Roman" w:hAnsi="Times New Roman" w:eastAsia="宋体" w:cs="宋体"/>
                      <w:color w:val="auto"/>
                      <w:sz w:val="21"/>
                      <w:szCs w:val="21"/>
                    </w:rPr>
                  </w:pPr>
                  <w:r>
                    <w:rPr>
                      <w:rFonts w:hint="eastAsia" w:ascii="Times New Roman" w:hAnsi="Times New Roman" w:eastAsia="宋体" w:cs="宋体"/>
                      <w:color w:val="auto"/>
                      <w:spacing w:val="-3"/>
                      <w:sz w:val="21"/>
                      <w:szCs w:val="21"/>
                    </w:rPr>
                    <w:t>70</w:t>
                  </w:r>
                </w:p>
              </w:tc>
              <w:tc>
                <w:tcPr>
                  <w:tcW w:w="3900" w:type="dxa"/>
                  <w:vAlign w:val="top"/>
                </w:tcPr>
                <w:p w14:paraId="04744092">
                  <w:pPr>
                    <w:spacing w:before="117" w:line="185" w:lineRule="auto"/>
                    <w:ind w:left="1865"/>
                    <w:rPr>
                      <w:rFonts w:hint="eastAsia" w:ascii="Times New Roman" w:hAnsi="Times New Roman" w:eastAsia="宋体" w:cs="宋体"/>
                      <w:color w:val="auto"/>
                      <w:sz w:val="21"/>
                      <w:szCs w:val="21"/>
                    </w:rPr>
                  </w:pPr>
                  <w:r>
                    <w:rPr>
                      <w:rFonts w:hint="eastAsia" w:ascii="Times New Roman" w:hAnsi="Times New Roman" w:eastAsia="宋体" w:cs="宋体"/>
                      <w:color w:val="auto"/>
                      <w:spacing w:val="-4"/>
                      <w:sz w:val="21"/>
                      <w:szCs w:val="21"/>
                    </w:rPr>
                    <w:t>55</w:t>
                  </w:r>
                </w:p>
              </w:tc>
            </w:tr>
          </w:tbl>
          <w:p w14:paraId="3783772A">
            <w:pPr>
              <w:adjustRightInd w:val="0"/>
              <w:snapToGrid w:val="0"/>
              <w:spacing w:line="360" w:lineRule="auto"/>
              <w:ind w:firstLine="482" w:firstLineChars="200"/>
              <w:rPr>
                <w:rFonts w:hint="eastAsia" w:ascii="Times New Roman" w:hAnsi="Times New Roman" w:eastAsia="宋体" w:cs="宋体"/>
                <w:b/>
                <w:bCs/>
                <w:color w:val="auto"/>
                <w:kern w:val="0"/>
                <w:sz w:val="24"/>
                <w:lang w:eastAsia="zh-CN"/>
              </w:rPr>
            </w:pPr>
            <w:r>
              <w:rPr>
                <w:rFonts w:hint="eastAsia" w:ascii="Times New Roman" w:hAnsi="Times New Roman" w:cs="宋体"/>
                <w:b/>
                <w:bCs/>
                <w:color w:val="auto"/>
                <w:kern w:val="0"/>
                <w:sz w:val="24"/>
              </w:rPr>
              <w:t>1、</w:t>
            </w:r>
            <w:r>
              <w:rPr>
                <w:rFonts w:hint="eastAsia" w:ascii="Times New Roman" w:hAnsi="Times New Roman" w:cs="宋体"/>
                <w:b/>
                <w:bCs/>
                <w:color w:val="auto"/>
                <w:kern w:val="0"/>
                <w:sz w:val="24"/>
                <w:lang w:val="en-US" w:eastAsia="zh-CN"/>
              </w:rPr>
              <w:t>运营期</w:t>
            </w:r>
          </w:p>
          <w:p w14:paraId="0B5AE89F">
            <w:pPr>
              <w:adjustRightInd w:val="0"/>
              <w:snapToGrid w:val="0"/>
              <w:spacing w:line="240" w:lineRule="auto"/>
              <w:ind w:firstLine="482" w:firstLineChars="200"/>
              <w:rPr>
                <w:rFonts w:hint="eastAsia" w:ascii="Times New Roman" w:hAnsi="Times New Roman" w:eastAsia="宋体"/>
                <w:b/>
                <w:bCs/>
                <w:color w:val="auto"/>
                <w:kern w:val="0"/>
                <w:sz w:val="24"/>
                <w:lang w:eastAsia="zh-CN"/>
              </w:rPr>
            </w:pPr>
            <w:r>
              <w:rPr>
                <w:rFonts w:ascii="Times New Roman" w:hAnsi="Times New Roman"/>
                <w:b/>
                <w:bCs/>
                <w:color w:val="auto"/>
                <w:kern w:val="0"/>
                <w:sz w:val="24"/>
              </w:rPr>
              <w:t>（1）</w:t>
            </w:r>
            <w:r>
              <w:rPr>
                <w:rFonts w:hint="eastAsia" w:ascii="Times New Roman" w:hAnsi="Times New Roman"/>
                <w:b/>
                <w:bCs/>
                <w:color w:val="auto"/>
                <w:kern w:val="0"/>
                <w:sz w:val="24"/>
                <w:lang w:val="en-US" w:eastAsia="zh-CN"/>
              </w:rPr>
              <w:t>废气</w:t>
            </w:r>
          </w:p>
          <w:p w14:paraId="6618AD9E">
            <w:pPr>
              <w:pStyle w:val="98"/>
              <w:spacing w:before="182" w:line="360" w:lineRule="auto"/>
              <w:ind w:left="587"/>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①有组织废气</w:t>
            </w:r>
          </w:p>
          <w:p w14:paraId="1A81F038">
            <w:pPr>
              <w:adjustRightInd w:val="0"/>
              <w:snapToGrid w:val="0"/>
              <w:spacing w:line="360" w:lineRule="auto"/>
              <w:ind w:firstLine="480" w:firstLineChars="200"/>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本项目使用生物质</w:t>
            </w:r>
            <w:r>
              <w:rPr>
                <w:rFonts w:hint="eastAsia" w:ascii="Times New Roman" w:hAnsi="Times New Roman" w:cs="Times New Roman"/>
                <w:color w:val="auto"/>
                <w:kern w:val="0"/>
                <w:sz w:val="24"/>
                <w:szCs w:val="24"/>
                <w:lang w:val="en-US" w:eastAsia="zh-CN" w:bidi="ar-SA"/>
              </w:rPr>
              <w:t>燃料</w:t>
            </w:r>
            <w:r>
              <w:rPr>
                <w:rFonts w:ascii="Times New Roman" w:hAnsi="Times New Roman" w:eastAsia="宋体" w:cs="Times New Roman"/>
                <w:color w:val="auto"/>
                <w:kern w:val="0"/>
                <w:sz w:val="24"/>
                <w:szCs w:val="24"/>
                <w:lang w:val="en-US" w:eastAsia="zh-CN" w:bidi="ar-SA"/>
              </w:rPr>
              <w:t>作为蒸汽发生器热源。在加热过程使用生物质</w:t>
            </w:r>
            <w:r>
              <w:rPr>
                <w:rFonts w:hint="eastAsia" w:ascii="Times New Roman" w:hAnsi="Times New Roman" w:cs="Times New Roman"/>
                <w:color w:val="auto"/>
                <w:kern w:val="0"/>
                <w:sz w:val="24"/>
                <w:szCs w:val="24"/>
                <w:lang w:val="en-US" w:eastAsia="zh-CN" w:bidi="ar-SA"/>
              </w:rPr>
              <w:t>燃料</w:t>
            </w:r>
            <w:r>
              <w:rPr>
                <w:rFonts w:ascii="Times New Roman" w:hAnsi="Times New Roman" w:eastAsia="宋体" w:cs="Times New Roman"/>
                <w:color w:val="auto"/>
                <w:kern w:val="0"/>
                <w:sz w:val="24"/>
                <w:szCs w:val="24"/>
                <w:lang w:val="en-US" w:eastAsia="zh-CN" w:bidi="ar-SA"/>
              </w:rPr>
              <w:t>燃烧过程会产生废气，废气中主要污染物为颗粒物、SO</w:t>
            </w:r>
            <w:r>
              <w:rPr>
                <w:rFonts w:ascii="Times New Roman" w:hAnsi="Times New Roman" w:eastAsia="宋体" w:cs="Times New Roman"/>
                <w:color w:val="auto"/>
                <w:kern w:val="0"/>
                <w:sz w:val="24"/>
                <w:szCs w:val="24"/>
                <w:vertAlign w:val="subscript"/>
                <w:lang w:val="en-US" w:eastAsia="zh-CN" w:bidi="ar-SA"/>
              </w:rPr>
              <w:t xml:space="preserve">2 </w:t>
            </w:r>
            <w:r>
              <w:rPr>
                <w:rFonts w:ascii="Times New Roman" w:hAnsi="Times New Roman" w:eastAsia="宋体" w:cs="Times New Roman"/>
                <w:color w:val="auto"/>
                <w:kern w:val="0"/>
                <w:sz w:val="24"/>
                <w:szCs w:val="24"/>
                <w:lang w:val="en-US" w:eastAsia="zh-CN" w:bidi="ar-SA"/>
              </w:rPr>
              <w:t xml:space="preserve">、NOx </w:t>
            </w:r>
            <w:r>
              <w:rPr>
                <w:rFonts w:hint="eastAsia" w:ascii="Times New Roman" w:hAnsi="Times New Roman" w:cs="Times New Roman"/>
                <w:color w:val="auto"/>
                <w:kern w:val="0"/>
                <w:sz w:val="24"/>
                <w:szCs w:val="24"/>
                <w:lang w:val="en-US" w:eastAsia="zh-CN" w:bidi="ar-SA"/>
              </w:rPr>
              <w:t>、烟气黑度</w:t>
            </w:r>
            <w:r>
              <w:rPr>
                <w:rFonts w:ascii="Times New Roman" w:hAnsi="Times New Roman" w:eastAsia="宋体" w:cs="Times New Roman"/>
                <w:color w:val="auto"/>
                <w:kern w:val="0"/>
                <w:sz w:val="24"/>
                <w:szCs w:val="24"/>
                <w:lang w:val="en-US" w:eastAsia="zh-CN" w:bidi="ar-SA"/>
              </w:rPr>
              <w:t>。生物质锅炉燃烧废气排放浓度参照执行《锅炉大气污染物排放标准》（GB1 3271-2014）表2新建锅炉大气污染物排放浓度限制中“燃煤锅炉 ”要求</w:t>
            </w:r>
            <w:r>
              <w:rPr>
                <w:rFonts w:hint="eastAsia" w:ascii="Times New Roman" w:hAnsi="Times New Roman" w:eastAsia="宋体" w:cs="Times New Roman"/>
                <w:color w:val="auto"/>
                <w:kern w:val="0"/>
                <w:sz w:val="24"/>
                <w:szCs w:val="24"/>
                <w:lang w:val="en-US" w:eastAsia="zh-CN" w:bidi="ar-SA"/>
              </w:rPr>
              <w:t>执行</w:t>
            </w:r>
            <w:r>
              <w:rPr>
                <w:rFonts w:ascii="Times New Roman" w:hAnsi="Times New Roman" w:eastAsia="宋体" w:cs="Times New Roman"/>
                <w:color w:val="auto"/>
                <w:kern w:val="0"/>
                <w:sz w:val="24"/>
                <w:szCs w:val="24"/>
                <w:lang w:val="en-US" w:eastAsia="zh-CN" w:bidi="ar-SA"/>
              </w:rPr>
              <w:t>，标准值见下表。</w:t>
            </w:r>
          </w:p>
          <w:p w14:paraId="050E15EA">
            <w:pPr>
              <w:adjustRightInd w:val="0"/>
              <w:snapToGrid w:val="0"/>
              <w:spacing w:line="360" w:lineRule="auto"/>
              <w:jc w:val="center"/>
              <w:rPr>
                <w:rFonts w:hint="eastAsia" w:ascii="Times New Roman" w:hAnsi="Times New Roman" w:eastAsia="宋体"/>
                <w:b/>
                <w:bCs/>
                <w:color w:val="auto"/>
                <w:kern w:val="0"/>
                <w:szCs w:val="21"/>
                <w:lang w:eastAsia="zh-CN"/>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6</w:t>
            </w:r>
            <w:r>
              <w:rPr>
                <w:rFonts w:ascii="Times New Roman" w:hAnsi="Times New Roman"/>
                <w:b/>
                <w:bCs/>
                <w:color w:val="auto"/>
                <w:kern w:val="0"/>
                <w:szCs w:val="21"/>
              </w:rPr>
              <w:t xml:space="preserve"> 新建锅炉大气污染物排放浓度限值    单位：mg/</w:t>
            </w:r>
            <w:r>
              <w:rPr>
                <w:rFonts w:hint="eastAsia" w:ascii="Times New Roman" w:hAnsi="Times New Roman"/>
                <w:b/>
                <w:bCs/>
                <w:color w:val="auto"/>
                <w:kern w:val="0"/>
                <w:szCs w:val="21"/>
                <w:lang w:eastAsia="zh-CN"/>
              </w:rPr>
              <w:t>m3</w:t>
            </w:r>
          </w:p>
          <w:tbl>
            <w:tblPr>
              <w:tblStyle w:val="80"/>
              <w:tblpPr w:leftFromText="180" w:rightFromText="180" w:vertAnchor="text" w:horzAnchor="page" w:tblpX="354" w:tblpY="95"/>
              <w:tblOverlap w:val="never"/>
              <w:tblW w:w="73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8"/>
              <w:gridCol w:w="2142"/>
              <w:gridCol w:w="2340"/>
            </w:tblGrid>
            <w:tr w14:paraId="3390C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2898" w:type="dxa"/>
                  <w:vMerge w:val="restart"/>
                  <w:tcBorders>
                    <w:bottom w:val="nil"/>
                  </w:tcBorders>
                  <w:vAlign w:val="top"/>
                </w:tcPr>
                <w:p w14:paraId="34DF7C92">
                  <w:pPr>
                    <w:pStyle w:val="98"/>
                    <w:spacing w:before="260" w:line="220" w:lineRule="auto"/>
                    <w:jc w:val="center"/>
                    <w:rPr>
                      <w:rFonts w:ascii="Times New Roman" w:hAnsi="Times New Roman"/>
                      <w:b/>
                      <w:bCs/>
                      <w:color w:val="auto"/>
                      <w:sz w:val="21"/>
                      <w:szCs w:val="21"/>
                    </w:rPr>
                  </w:pPr>
                  <w:r>
                    <w:rPr>
                      <w:rFonts w:ascii="Times New Roman" w:hAnsi="Times New Roman"/>
                      <w:b/>
                      <w:bCs/>
                      <w:color w:val="auto"/>
                      <w:spacing w:val="-2"/>
                      <w:sz w:val="21"/>
                      <w:szCs w:val="21"/>
                    </w:rPr>
                    <w:t>污染物项目</w:t>
                  </w:r>
                </w:p>
              </w:tc>
              <w:tc>
                <w:tcPr>
                  <w:tcW w:w="2142" w:type="dxa"/>
                  <w:vAlign w:val="top"/>
                </w:tcPr>
                <w:p w14:paraId="52F37CDE">
                  <w:pPr>
                    <w:pStyle w:val="98"/>
                    <w:spacing w:before="85" w:line="219" w:lineRule="auto"/>
                    <w:jc w:val="center"/>
                    <w:rPr>
                      <w:rFonts w:ascii="Times New Roman" w:hAnsi="Times New Roman"/>
                      <w:b/>
                      <w:bCs/>
                      <w:color w:val="auto"/>
                      <w:sz w:val="21"/>
                      <w:szCs w:val="21"/>
                    </w:rPr>
                  </w:pPr>
                  <w:r>
                    <w:rPr>
                      <w:rFonts w:ascii="Times New Roman" w:hAnsi="Times New Roman"/>
                      <w:b/>
                      <w:bCs/>
                      <w:color w:val="auto"/>
                      <w:spacing w:val="-10"/>
                      <w:sz w:val="21"/>
                      <w:szCs w:val="21"/>
                    </w:rPr>
                    <w:t>限值</w:t>
                  </w:r>
                </w:p>
              </w:tc>
              <w:tc>
                <w:tcPr>
                  <w:tcW w:w="2340" w:type="dxa"/>
                  <w:vMerge w:val="restart"/>
                  <w:tcBorders>
                    <w:bottom w:val="nil"/>
                  </w:tcBorders>
                  <w:vAlign w:val="top"/>
                </w:tcPr>
                <w:p w14:paraId="671DA374">
                  <w:pPr>
                    <w:pStyle w:val="98"/>
                    <w:spacing w:before="260" w:line="220" w:lineRule="auto"/>
                    <w:ind w:left="207"/>
                    <w:rPr>
                      <w:rFonts w:ascii="Times New Roman" w:hAnsi="Times New Roman"/>
                      <w:b/>
                      <w:bCs/>
                      <w:color w:val="auto"/>
                      <w:sz w:val="21"/>
                      <w:szCs w:val="21"/>
                    </w:rPr>
                  </w:pPr>
                  <w:r>
                    <w:rPr>
                      <w:rFonts w:ascii="Times New Roman" w:hAnsi="Times New Roman"/>
                      <w:b/>
                      <w:bCs/>
                      <w:color w:val="auto"/>
                      <w:spacing w:val="-1"/>
                      <w:sz w:val="21"/>
                      <w:szCs w:val="21"/>
                    </w:rPr>
                    <w:t>污染物排放监控位置</w:t>
                  </w:r>
                </w:p>
              </w:tc>
            </w:tr>
            <w:tr w14:paraId="42B49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898" w:type="dxa"/>
                  <w:vMerge w:val="continue"/>
                  <w:tcBorders>
                    <w:top w:val="nil"/>
                  </w:tcBorders>
                  <w:vAlign w:val="top"/>
                </w:tcPr>
                <w:p w14:paraId="23354712">
                  <w:pPr>
                    <w:jc w:val="center"/>
                    <w:rPr>
                      <w:rFonts w:ascii="Times New Roman" w:hAnsi="Times New Roman"/>
                      <w:color w:val="auto"/>
                      <w:sz w:val="21"/>
                      <w:szCs w:val="21"/>
                    </w:rPr>
                  </w:pPr>
                </w:p>
              </w:tc>
              <w:tc>
                <w:tcPr>
                  <w:tcW w:w="2142" w:type="dxa"/>
                  <w:vAlign w:val="top"/>
                </w:tcPr>
                <w:p w14:paraId="20046B54">
                  <w:pPr>
                    <w:pStyle w:val="98"/>
                    <w:spacing w:before="81" w:line="220" w:lineRule="auto"/>
                    <w:jc w:val="center"/>
                    <w:rPr>
                      <w:rFonts w:ascii="Times New Roman" w:hAnsi="Times New Roman"/>
                      <w:color w:val="auto"/>
                      <w:sz w:val="21"/>
                      <w:szCs w:val="21"/>
                    </w:rPr>
                  </w:pPr>
                  <w:r>
                    <w:rPr>
                      <w:rFonts w:ascii="Times New Roman" w:hAnsi="Times New Roman"/>
                      <w:b/>
                      <w:bCs/>
                      <w:color w:val="auto"/>
                      <w:spacing w:val="-2"/>
                      <w:sz w:val="21"/>
                      <w:szCs w:val="21"/>
                    </w:rPr>
                    <w:t>燃煤锅炉</w:t>
                  </w:r>
                </w:p>
              </w:tc>
              <w:tc>
                <w:tcPr>
                  <w:tcW w:w="2340" w:type="dxa"/>
                  <w:vMerge w:val="continue"/>
                  <w:tcBorders>
                    <w:top w:val="nil"/>
                  </w:tcBorders>
                  <w:vAlign w:val="top"/>
                </w:tcPr>
                <w:p w14:paraId="7229751D">
                  <w:pPr>
                    <w:rPr>
                      <w:rFonts w:ascii="Times New Roman" w:hAnsi="Times New Roman"/>
                      <w:color w:val="auto"/>
                      <w:sz w:val="21"/>
                      <w:szCs w:val="21"/>
                    </w:rPr>
                  </w:pPr>
                </w:p>
              </w:tc>
            </w:tr>
            <w:tr w14:paraId="7BB76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898" w:type="dxa"/>
                  <w:vAlign w:val="top"/>
                </w:tcPr>
                <w:p w14:paraId="52C0A87B">
                  <w:pPr>
                    <w:pStyle w:val="98"/>
                    <w:spacing w:before="80" w:line="220" w:lineRule="auto"/>
                    <w:jc w:val="center"/>
                    <w:rPr>
                      <w:rFonts w:ascii="Times New Roman" w:hAnsi="Times New Roman"/>
                      <w:color w:val="auto"/>
                      <w:sz w:val="21"/>
                      <w:szCs w:val="21"/>
                    </w:rPr>
                  </w:pPr>
                  <w:r>
                    <w:rPr>
                      <w:rFonts w:ascii="Times New Roman" w:hAnsi="Times New Roman"/>
                      <w:color w:val="auto"/>
                      <w:spacing w:val="-3"/>
                      <w:sz w:val="21"/>
                      <w:szCs w:val="21"/>
                    </w:rPr>
                    <w:t>颗粒物</w:t>
                  </w:r>
                </w:p>
              </w:tc>
              <w:tc>
                <w:tcPr>
                  <w:tcW w:w="2142" w:type="dxa"/>
                  <w:vAlign w:val="top"/>
                </w:tcPr>
                <w:p w14:paraId="1705BAC2">
                  <w:pPr>
                    <w:spacing w:before="111" w:line="188" w:lineRule="auto"/>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50</w:t>
                  </w:r>
                </w:p>
              </w:tc>
              <w:tc>
                <w:tcPr>
                  <w:tcW w:w="2340" w:type="dxa"/>
                  <w:vMerge w:val="restart"/>
                  <w:tcBorders>
                    <w:bottom w:val="nil"/>
                  </w:tcBorders>
                  <w:vAlign w:val="top"/>
                </w:tcPr>
                <w:p w14:paraId="33C571E3">
                  <w:pPr>
                    <w:spacing w:line="272" w:lineRule="auto"/>
                    <w:rPr>
                      <w:rFonts w:ascii="Times New Roman" w:hAnsi="Times New Roman"/>
                      <w:color w:val="auto"/>
                      <w:sz w:val="21"/>
                      <w:szCs w:val="21"/>
                    </w:rPr>
                  </w:pPr>
                </w:p>
                <w:p w14:paraId="665FDE12">
                  <w:pPr>
                    <w:pStyle w:val="98"/>
                    <w:spacing w:before="59" w:line="221" w:lineRule="auto"/>
                    <w:ind w:left="567"/>
                    <w:rPr>
                      <w:rFonts w:ascii="Times New Roman" w:hAnsi="Times New Roman"/>
                      <w:color w:val="auto"/>
                      <w:sz w:val="21"/>
                      <w:szCs w:val="21"/>
                    </w:rPr>
                  </w:pPr>
                  <w:r>
                    <w:rPr>
                      <w:rFonts w:ascii="Times New Roman" w:hAnsi="Times New Roman"/>
                      <w:color w:val="auto"/>
                      <w:spacing w:val="-2"/>
                      <w:sz w:val="21"/>
                      <w:szCs w:val="21"/>
                    </w:rPr>
                    <w:t>烟囱或烟道</w:t>
                  </w:r>
                </w:p>
              </w:tc>
            </w:tr>
            <w:tr w14:paraId="7E9AC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898" w:type="dxa"/>
                  <w:vAlign w:val="top"/>
                </w:tcPr>
                <w:p w14:paraId="7B84AA0A">
                  <w:pPr>
                    <w:pStyle w:val="98"/>
                    <w:spacing w:before="81" w:line="219" w:lineRule="auto"/>
                    <w:jc w:val="center"/>
                    <w:rPr>
                      <w:rFonts w:ascii="Times New Roman" w:hAnsi="Times New Roman"/>
                      <w:color w:val="auto"/>
                      <w:sz w:val="21"/>
                      <w:szCs w:val="21"/>
                    </w:rPr>
                  </w:pPr>
                  <w:r>
                    <w:rPr>
                      <w:rFonts w:ascii="Times New Roman" w:hAnsi="Times New Roman"/>
                      <w:color w:val="auto"/>
                      <w:spacing w:val="-3"/>
                      <w:sz w:val="21"/>
                      <w:szCs w:val="21"/>
                    </w:rPr>
                    <w:t>二氧化硫</w:t>
                  </w:r>
                </w:p>
              </w:tc>
              <w:tc>
                <w:tcPr>
                  <w:tcW w:w="2142" w:type="dxa"/>
                  <w:vAlign w:val="top"/>
                </w:tcPr>
                <w:p w14:paraId="26CB1F37">
                  <w:pPr>
                    <w:spacing w:before="113" w:line="188" w:lineRule="auto"/>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300</w:t>
                  </w:r>
                </w:p>
              </w:tc>
              <w:tc>
                <w:tcPr>
                  <w:tcW w:w="2340" w:type="dxa"/>
                  <w:vMerge w:val="continue"/>
                  <w:tcBorders>
                    <w:top w:val="nil"/>
                    <w:bottom w:val="nil"/>
                  </w:tcBorders>
                  <w:vAlign w:val="top"/>
                </w:tcPr>
                <w:p w14:paraId="2FA2CF70">
                  <w:pPr>
                    <w:rPr>
                      <w:rFonts w:ascii="Times New Roman" w:hAnsi="Times New Roman"/>
                      <w:color w:val="auto"/>
                      <w:sz w:val="21"/>
                      <w:szCs w:val="21"/>
                    </w:rPr>
                  </w:pPr>
                </w:p>
              </w:tc>
            </w:tr>
            <w:tr w14:paraId="3A9ED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898" w:type="dxa"/>
                  <w:vAlign w:val="top"/>
                </w:tcPr>
                <w:p w14:paraId="7797D554">
                  <w:pPr>
                    <w:pStyle w:val="98"/>
                    <w:spacing w:before="82" w:line="219" w:lineRule="auto"/>
                    <w:jc w:val="center"/>
                    <w:rPr>
                      <w:rFonts w:ascii="Times New Roman" w:hAnsi="Times New Roman"/>
                      <w:color w:val="auto"/>
                      <w:sz w:val="21"/>
                      <w:szCs w:val="21"/>
                    </w:rPr>
                  </w:pPr>
                  <w:r>
                    <w:rPr>
                      <w:rFonts w:ascii="Times New Roman" w:hAnsi="Times New Roman"/>
                      <w:color w:val="auto"/>
                      <w:spacing w:val="-2"/>
                      <w:sz w:val="21"/>
                      <w:szCs w:val="21"/>
                    </w:rPr>
                    <w:t>氮氧化物</w:t>
                  </w:r>
                </w:p>
              </w:tc>
              <w:tc>
                <w:tcPr>
                  <w:tcW w:w="2142" w:type="dxa"/>
                  <w:vAlign w:val="top"/>
                </w:tcPr>
                <w:p w14:paraId="267BDA94">
                  <w:pPr>
                    <w:spacing w:before="114" w:line="188" w:lineRule="auto"/>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300</w:t>
                  </w:r>
                </w:p>
              </w:tc>
              <w:tc>
                <w:tcPr>
                  <w:tcW w:w="2340" w:type="dxa"/>
                  <w:vMerge w:val="continue"/>
                  <w:tcBorders>
                    <w:top w:val="nil"/>
                  </w:tcBorders>
                  <w:vAlign w:val="top"/>
                </w:tcPr>
                <w:p w14:paraId="691141FC">
                  <w:pPr>
                    <w:rPr>
                      <w:rFonts w:ascii="Times New Roman" w:hAnsi="Times New Roman"/>
                      <w:color w:val="auto"/>
                      <w:sz w:val="21"/>
                      <w:szCs w:val="21"/>
                    </w:rPr>
                  </w:pPr>
                </w:p>
              </w:tc>
            </w:tr>
            <w:tr w14:paraId="05F28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898" w:type="dxa"/>
                  <w:vAlign w:val="top"/>
                </w:tcPr>
                <w:p w14:paraId="63579C63">
                  <w:pPr>
                    <w:pStyle w:val="98"/>
                    <w:spacing w:before="85" w:line="219" w:lineRule="auto"/>
                    <w:jc w:val="center"/>
                    <w:rPr>
                      <w:rFonts w:ascii="Times New Roman" w:hAnsi="Times New Roman"/>
                      <w:color w:val="auto"/>
                      <w:sz w:val="21"/>
                      <w:szCs w:val="21"/>
                    </w:rPr>
                  </w:pPr>
                  <w:r>
                    <w:rPr>
                      <w:rFonts w:ascii="Times New Roman" w:hAnsi="Times New Roman"/>
                      <w:color w:val="auto"/>
                      <w:spacing w:val="-1"/>
                      <w:sz w:val="21"/>
                      <w:szCs w:val="21"/>
                    </w:rPr>
                    <w:t>林格曼黑度（林格曼黑度，级）</w:t>
                  </w:r>
                </w:p>
              </w:tc>
              <w:tc>
                <w:tcPr>
                  <w:tcW w:w="2142" w:type="dxa"/>
                  <w:vAlign w:val="top"/>
                </w:tcPr>
                <w:p w14:paraId="3C25A306">
                  <w:pPr>
                    <w:spacing w:before="113" w:line="188" w:lineRule="auto"/>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≤1</w:t>
                  </w:r>
                </w:p>
              </w:tc>
              <w:tc>
                <w:tcPr>
                  <w:tcW w:w="2340" w:type="dxa"/>
                  <w:vAlign w:val="top"/>
                </w:tcPr>
                <w:p w14:paraId="500A41C9">
                  <w:pPr>
                    <w:pStyle w:val="98"/>
                    <w:spacing w:before="84" w:line="221" w:lineRule="auto"/>
                    <w:ind w:left="567"/>
                    <w:rPr>
                      <w:rFonts w:ascii="Times New Roman" w:hAnsi="Times New Roman"/>
                      <w:color w:val="auto"/>
                      <w:sz w:val="21"/>
                      <w:szCs w:val="21"/>
                    </w:rPr>
                  </w:pPr>
                  <w:r>
                    <w:rPr>
                      <w:rFonts w:ascii="Times New Roman" w:hAnsi="Times New Roman"/>
                      <w:color w:val="auto"/>
                      <w:spacing w:val="-2"/>
                      <w:sz w:val="21"/>
                      <w:szCs w:val="21"/>
                    </w:rPr>
                    <w:t>烟囱排放口</w:t>
                  </w:r>
                </w:p>
              </w:tc>
            </w:tr>
          </w:tbl>
          <w:p w14:paraId="2B449AA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宋体"/>
                <w:color w:val="auto"/>
                <w:sz w:val="24"/>
                <w:szCs w:val="24"/>
                <w:lang w:val="en-US" w:eastAsia="zh-CN"/>
              </w:rPr>
            </w:pPr>
          </w:p>
          <w:p w14:paraId="358D65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每个新建燃煤锅炉房只能设一根烟囱，烟囱高度应根据锅炉房装机总容量，按表4规定执行，燃油、燃气锅炉烟囱不低于8米，锅炉烟囱的具体高度按批复的环境影响评价文件确定。新建锅炉房的烟囱周围半径200m距离内有建筑物时，其烟囱应高出最高建筑物3m以上。</w:t>
            </w:r>
          </w:p>
          <w:p w14:paraId="7F0934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 xml:space="preserve">项目设置1台3t/h生物质蒸汽发生器，对照表4燃煤锅炉房烟囱最低允许高度可知，烟囱最低运行高度为30m。详见下表。 </w:t>
            </w:r>
          </w:p>
          <w:p w14:paraId="7CE01AA3">
            <w:pPr>
              <w:pStyle w:val="98"/>
              <w:spacing w:before="41" w:line="351" w:lineRule="auto"/>
              <w:ind w:left="2313" w:right="1514" w:hanging="2204"/>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表3-</w:t>
            </w:r>
            <w:r>
              <w:rPr>
                <w:rFonts w:hint="eastAsia" w:ascii="Times New Roman" w:hAnsi="Times New Roman" w:cs="Times New Roman"/>
                <w:b/>
                <w:bCs/>
                <w:color w:val="auto"/>
                <w:kern w:val="0"/>
                <w:sz w:val="21"/>
                <w:szCs w:val="21"/>
                <w:lang w:val="en-US" w:eastAsia="zh-CN" w:bidi="ar-SA"/>
              </w:rPr>
              <w:t>7</w:t>
            </w:r>
            <w:r>
              <w:rPr>
                <w:rFonts w:ascii="Times New Roman" w:hAnsi="Times New Roman" w:eastAsia="宋体" w:cs="Times New Roman"/>
                <w:b/>
                <w:bCs/>
                <w:color w:val="auto"/>
                <w:kern w:val="0"/>
                <w:sz w:val="21"/>
                <w:szCs w:val="21"/>
                <w:lang w:val="en-US" w:eastAsia="zh-CN" w:bidi="ar-SA"/>
              </w:rPr>
              <w:t xml:space="preserve"> 燃煤锅炉房烟囱最低允许高度</w:t>
            </w:r>
          </w:p>
          <w:p w14:paraId="6DE44199">
            <w:pPr>
              <w:spacing w:line="16" w:lineRule="auto"/>
              <w:rPr>
                <w:rFonts w:ascii="Times New Roman" w:hAnsi="Times New Roman"/>
                <w:color w:val="auto"/>
                <w:sz w:val="2"/>
              </w:rPr>
            </w:pPr>
          </w:p>
          <w:tbl>
            <w:tblPr>
              <w:tblStyle w:val="80"/>
              <w:tblW w:w="747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3"/>
              <w:gridCol w:w="1715"/>
              <w:gridCol w:w="2470"/>
            </w:tblGrid>
            <w:tr w14:paraId="142E3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293" w:type="dxa"/>
                  <w:vMerge w:val="restart"/>
                  <w:tcBorders>
                    <w:bottom w:val="nil"/>
                  </w:tcBorders>
                  <w:vAlign w:val="center"/>
                </w:tcPr>
                <w:p w14:paraId="672725C1">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锅炉房装机总容量</w:t>
                  </w:r>
                </w:p>
              </w:tc>
              <w:tc>
                <w:tcPr>
                  <w:tcW w:w="1715" w:type="dxa"/>
                  <w:vAlign w:val="top"/>
                </w:tcPr>
                <w:p w14:paraId="51D2E6F3">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MW</w:t>
                  </w:r>
                </w:p>
              </w:tc>
              <w:tc>
                <w:tcPr>
                  <w:tcW w:w="2470" w:type="dxa"/>
                  <w:vAlign w:val="top"/>
                </w:tcPr>
                <w:p w14:paraId="75D369AB">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1.4~＜2.8</w:t>
                  </w:r>
                </w:p>
              </w:tc>
            </w:tr>
            <w:tr w14:paraId="6CAE1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293" w:type="dxa"/>
                  <w:vMerge w:val="continue"/>
                  <w:tcBorders>
                    <w:top w:val="nil"/>
                  </w:tcBorders>
                  <w:vAlign w:val="top"/>
                </w:tcPr>
                <w:p w14:paraId="729E8C84">
                  <w:pPr>
                    <w:pStyle w:val="98"/>
                    <w:spacing w:before="82" w:line="219" w:lineRule="auto"/>
                    <w:jc w:val="center"/>
                    <w:rPr>
                      <w:rFonts w:ascii="Times New Roman" w:hAnsi="Times New Roman" w:eastAsia="宋体" w:cs="宋体"/>
                      <w:color w:val="auto"/>
                      <w:spacing w:val="-2"/>
                      <w:sz w:val="21"/>
                      <w:szCs w:val="21"/>
                    </w:rPr>
                  </w:pPr>
                </w:p>
              </w:tc>
              <w:tc>
                <w:tcPr>
                  <w:tcW w:w="1715" w:type="dxa"/>
                  <w:vAlign w:val="top"/>
                </w:tcPr>
                <w:p w14:paraId="115152CA">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t/h</w:t>
                  </w:r>
                </w:p>
              </w:tc>
              <w:tc>
                <w:tcPr>
                  <w:tcW w:w="2470" w:type="dxa"/>
                  <w:vAlign w:val="top"/>
                </w:tcPr>
                <w:p w14:paraId="107103D5">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2~＜4</w:t>
                  </w:r>
                </w:p>
              </w:tc>
            </w:tr>
            <w:tr w14:paraId="63375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293" w:type="dxa"/>
                  <w:vAlign w:val="top"/>
                </w:tcPr>
                <w:p w14:paraId="5A78AC56">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烟囱最低允许高度</w:t>
                  </w:r>
                </w:p>
              </w:tc>
              <w:tc>
                <w:tcPr>
                  <w:tcW w:w="1715" w:type="dxa"/>
                  <w:vAlign w:val="top"/>
                </w:tcPr>
                <w:p w14:paraId="2A2E3AA3">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m</w:t>
                  </w:r>
                </w:p>
              </w:tc>
              <w:tc>
                <w:tcPr>
                  <w:tcW w:w="2470" w:type="dxa"/>
                  <w:vAlign w:val="top"/>
                </w:tcPr>
                <w:p w14:paraId="7F0714F1">
                  <w:pPr>
                    <w:pStyle w:val="98"/>
                    <w:spacing w:before="82" w:line="219" w:lineRule="auto"/>
                    <w:jc w:val="center"/>
                    <w:rPr>
                      <w:rFonts w:ascii="Times New Roman" w:hAnsi="Times New Roman" w:eastAsia="宋体" w:cs="宋体"/>
                      <w:color w:val="auto"/>
                      <w:spacing w:val="-2"/>
                      <w:sz w:val="21"/>
                      <w:szCs w:val="21"/>
                    </w:rPr>
                  </w:pPr>
                  <w:r>
                    <w:rPr>
                      <w:rFonts w:ascii="Times New Roman" w:hAnsi="Times New Roman" w:eastAsia="宋体" w:cs="宋体"/>
                      <w:color w:val="auto"/>
                      <w:spacing w:val="-2"/>
                      <w:sz w:val="21"/>
                      <w:szCs w:val="21"/>
                    </w:rPr>
                    <w:t>30</w:t>
                  </w:r>
                </w:p>
              </w:tc>
            </w:tr>
          </w:tbl>
          <w:p w14:paraId="3C6813FD">
            <w:pPr>
              <w:pStyle w:val="98"/>
              <w:spacing w:before="29" w:line="360" w:lineRule="auto"/>
              <w:ind w:left="119" w:firstLine="466"/>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②无组织废气</w:t>
            </w:r>
          </w:p>
          <w:p w14:paraId="6670F74A">
            <w:pPr>
              <w:pStyle w:val="98"/>
              <w:spacing w:before="42" w:line="360" w:lineRule="auto"/>
              <w:ind w:firstLine="480" w:firstLineChars="200"/>
              <w:outlineLvl w:val="2"/>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项目运营期无组织废气主要</w:t>
            </w:r>
            <w:r>
              <w:rPr>
                <w:rFonts w:hint="eastAsia" w:ascii="Times New Roman" w:hAnsi="Times New Roman" w:eastAsia="宋体" w:cs="宋体"/>
                <w:color w:val="auto"/>
                <w:kern w:val="2"/>
                <w:sz w:val="24"/>
                <w:szCs w:val="24"/>
                <w:lang w:val="en-US" w:eastAsia="en-US" w:bidi="ar-SA"/>
              </w:rPr>
              <w:t>生物质燃料装卸、</w:t>
            </w:r>
            <w:r>
              <w:rPr>
                <w:rFonts w:hint="eastAsia" w:ascii="Times New Roman" w:hAnsi="Times New Roman" w:eastAsia="宋体" w:cs="宋体"/>
                <w:color w:val="auto"/>
                <w:kern w:val="2"/>
                <w:sz w:val="24"/>
                <w:szCs w:val="24"/>
                <w:lang w:val="en-US" w:eastAsia="zh-CN" w:bidi="ar-SA"/>
              </w:rPr>
              <w:t>燃烧</w:t>
            </w:r>
            <w:r>
              <w:rPr>
                <w:rFonts w:hint="eastAsia" w:ascii="Times New Roman" w:hAnsi="Times New Roman" w:eastAsia="宋体" w:cs="宋体"/>
                <w:color w:val="auto"/>
                <w:kern w:val="2"/>
                <w:sz w:val="24"/>
                <w:szCs w:val="24"/>
                <w:lang w:val="en-US" w:eastAsia="en-US" w:bidi="ar-SA"/>
              </w:rPr>
              <w:t>过程产生的颗粒物</w:t>
            </w:r>
            <w:r>
              <w:rPr>
                <w:rFonts w:hint="eastAsia" w:ascii="Times New Roman" w:hAnsi="Times New Roman"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en-US" w:bidi="ar-SA"/>
              </w:rPr>
              <w:t>执行《大气污染物综合排放标准》（GB16297-1996）表2中无组织监控浓度限值</w:t>
            </w:r>
            <w:r>
              <w:rPr>
                <w:rFonts w:hint="eastAsia" w:ascii="Times New Roman" w:hAnsi="Times New Roman" w:eastAsia="宋体" w:cs="宋体"/>
                <w:color w:val="auto"/>
                <w:kern w:val="2"/>
                <w:sz w:val="24"/>
                <w:szCs w:val="24"/>
                <w:lang w:val="en-US" w:eastAsia="zh-CN" w:bidi="ar-SA"/>
              </w:rPr>
              <w:t>，标准限值见表3-</w:t>
            </w:r>
            <w:r>
              <w:rPr>
                <w:rFonts w:hint="eastAsia" w:ascii="Times New Roman" w:hAnsi="Times New Roman" w:cs="宋体"/>
                <w:color w:val="auto"/>
                <w:kern w:val="2"/>
                <w:sz w:val="24"/>
                <w:szCs w:val="24"/>
                <w:lang w:val="en-US" w:eastAsia="zh-CN" w:bidi="ar-SA"/>
              </w:rPr>
              <w:t>8</w:t>
            </w:r>
            <w:r>
              <w:rPr>
                <w:rFonts w:hint="eastAsia" w:ascii="Times New Roman" w:hAnsi="Times New Roman" w:eastAsia="宋体" w:cs="宋体"/>
                <w:color w:val="auto"/>
                <w:kern w:val="2"/>
                <w:sz w:val="24"/>
                <w:szCs w:val="24"/>
                <w:lang w:val="en-US" w:eastAsia="zh-CN" w:bidi="ar-SA"/>
              </w:rPr>
              <w:t>。</w:t>
            </w:r>
          </w:p>
          <w:p w14:paraId="21109FA0">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表3-</w:t>
            </w:r>
            <w:r>
              <w:rPr>
                <w:rFonts w:hint="eastAsia" w:ascii="Times New Roman" w:hAnsi="Times New Roman" w:cs="宋体"/>
                <w:b/>
                <w:bCs/>
                <w:color w:val="auto"/>
                <w:sz w:val="21"/>
                <w:szCs w:val="21"/>
                <w:lang w:val="en-US" w:eastAsia="zh-CN"/>
              </w:rPr>
              <w:t>8</w:t>
            </w:r>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lang w:val="en-US" w:eastAsia="en-US"/>
              </w:rPr>
              <w:t>《大气污染物综合排放标准》（GB16297-1996）表2</w:t>
            </w:r>
          </w:p>
          <w:tbl>
            <w:tblPr>
              <w:tblStyle w:val="80"/>
              <w:tblW w:w="64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4"/>
              <w:gridCol w:w="2645"/>
            </w:tblGrid>
            <w:tr w14:paraId="47912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3814" w:type="dxa"/>
                  <w:vAlign w:val="center"/>
                </w:tcPr>
                <w:p w14:paraId="5A2DF582">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w:t>
                  </w:r>
                </w:p>
              </w:tc>
              <w:tc>
                <w:tcPr>
                  <w:tcW w:w="2645" w:type="dxa"/>
                  <w:vAlign w:val="center"/>
                </w:tcPr>
                <w:p w14:paraId="7396326E">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无组织监控浓度限值</w:t>
                  </w:r>
                </w:p>
              </w:tc>
            </w:tr>
            <w:tr w14:paraId="3C39B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3814" w:type="dxa"/>
                  <w:vAlign w:val="center"/>
                </w:tcPr>
                <w:p w14:paraId="13A1390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颗粒物</w:t>
                  </w:r>
                </w:p>
              </w:tc>
              <w:tc>
                <w:tcPr>
                  <w:tcW w:w="2645" w:type="dxa"/>
                  <w:vAlign w:val="center"/>
                </w:tcPr>
                <w:p w14:paraId="409277A0">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1.0mg/m</w:t>
                  </w:r>
                  <w:r>
                    <w:rPr>
                      <w:rFonts w:hint="eastAsia" w:ascii="Times New Roman" w:hAnsi="Times New Roman" w:eastAsia="宋体" w:cs="宋体"/>
                      <w:color w:val="auto"/>
                      <w:sz w:val="21"/>
                      <w:szCs w:val="21"/>
                      <w:vertAlign w:val="superscript"/>
                      <w:lang w:val="en-US" w:eastAsia="zh-CN"/>
                    </w:rPr>
                    <w:t>3</w:t>
                  </w:r>
                </w:p>
              </w:tc>
            </w:tr>
          </w:tbl>
          <w:p w14:paraId="7EF9346C">
            <w:pPr>
              <w:adjustRightInd w:val="0"/>
              <w:snapToGrid w:val="0"/>
              <w:spacing w:line="360" w:lineRule="auto"/>
              <w:ind w:firstLine="482" w:firstLineChars="200"/>
              <w:rPr>
                <w:rFonts w:hint="eastAsia" w:ascii="Times New Roman" w:hAnsi="Times New Roman" w:eastAsia="宋体"/>
                <w:b/>
                <w:bCs/>
                <w:color w:val="auto"/>
                <w:kern w:val="0"/>
                <w:sz w:val="24"/>
                <w:lang w:eastAsia="zh-CN"/>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2</w:t>
            </w: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废水</w:t>
            </w:r>
          </w:p>
          <w:p w14:paraId="45FC32E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Times New Roman" w:cs="宋体"/>
                <w:color w:val="auto"/>
                <w:sz w:val="24"/>
                <w:szCs w:val="24"/>
                <w:lang w:val="en-US" w:eastAsia="zh-CN"/>
              </w:rPr>
            </w:pPr>
            <w:r>
              <w:rPr>
                <w:rFonts w:hint="eastAsia" w:ascii="Times New Roman" w:hAnsi="Times New Roman" w:eastAsia="宋体" w:cs="Times New Roman"/>
                <w:color w:val="auto"/>
                <w:kern w:val="0"/>
                <w:sz w:val="24"/>
              </w:rPr>
              <w:t>本项目</w:t>
            </w:r>
            <w:r>
              <w:rPr>
                <w:rFonts w:hint="eastAsia" w:ascii="Times New Roman" w:hAnsi="Times New Roman" w:eastAsia="宋体" w:cs="Times New Roman"/>
                <w:color w:val="auto"/>
                <w:sz w:val="24"/>
                <w:szCs w:val="24"/>
                <w:lang w:val="en-US" w:eastAsia="zh-CN"/>
              </w:rPr>
              <w:t>生产废水经三级沉淀池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后与</w:t>
            </w:r>
            <w:r>
              <w:rPr>
                <w:rFonts w:hint="eastAsia" w:ascii="Times New Roman" w:hAnsi="Times New Roman" w:eastAsia="宋体"/>
                <w:color w:val="auto"/>
                <w:sz w:val="24"/>
                <w:szCs w:val="24"/>
              </w:rPr>
              <w:t>生活污</w:t>
            </w:r>
            <w:r>
              <w:rPr>
                <w:rFonts w:hint="eastAsia" w:ascii="Times New Roman" w:hAnsi="Times New Roman" w:eastAsia="宋体" w:cs="宋体"/>
                <w:color w:val="auto"/>
                <w:spacing w:val="-1"/>
                <w:sz w:val="24"/>
                <w:szCs w:val="24"/>
              </w:rPr>
              <w:t>水经化粪池</w:t>
            </w:r>
            <w:r>
              <w:rPr>
                <w:rFonts w:hint="eastAsia" w:ascii="Times New Roman" w:hAnsi="Times New Roman" w:eastAsia="宋体" w:cs="宋体"/>
                <w:color w:val="auto"/>
                <w:spacing w:val="-1"/>
                <w:sz w:val="24"/>
                <w:szCs w:val="24"/>
                <w:lang w:val="en-US" w:eastAsia="zh-CN"/>
              </w:rPr>
              <w:t>预</w:t>
            </w:r>
            <w:r>
              <w:rPr>
                <w:rFonts w:hint="eastAsia" w:ascii="Times New Roman" w:hAnsi="Times New Roman" w:eastAsia="宋体" w:cs="宋体"/>
                <w:color w:val="auto"/>
                <w:spacing w:val="-1"/>
                <w:sz w:val="24"/>
                <w:szCs w:val="24"/>
              </w:rPr>
              <w:t>处理</w:t>
            </w:r>
            <w:r>
              <w:rPr>
                <w:rFonts w:hint="eastAsia" w:ascii="Times New Roman" w:hAnsi="Times New Roman" w:eastAsia="宋体" w:cs="宋体"/>
                <w:color w:val="auto"/>
                <w:spacing w:val="-1"/>
                <w:sz w:val="24"/>
                <w:szCs w:val="24"/>
                <w:lang w:val="en-US" w:eastAsia="zh-CN"/>
              </w:rPr>
              <w:t>合并通过综合废水总排口DW001外排，</w:t>
            </w:r>
            <w:r>
              <w:rPr>
                <w:rFonts w:ascii="Times New Roman" w:hAnsi="Times New Roman"/>
                <w:color w:val="auto"/>
                <w:kern w:val="0"/>
                <w:sz w:val="24"/>
                <w:highlight w:val="none"/>
                <w:lang w:bidi="ar"/>
              </w:rPr>
              <w:t>出水水质</w:t>
            </w:r>
            <w:r>
              <w:rPr>
                <w:rFonts w:hint="eastAsia" w:ascii="Times New Roman" w:hAnsi="Times New Roman"/>
                <w:color w:val="auto"/>
                <w:kern w:val="0"/>
                <w:sz w:val="24"/>
                <w:highlight w:val="none"/>
                <w:lang w:val="en-US" w:eastAsia="zh-CN" w:bidi="ar"/>
              </w:rPr>
              <w:t>执行</w:t>
            </w:r>
            <w:r>
              <w:rPr>
                <w:rFonts w:hint="eastAsia" w:ascii="Times New Roman" w:hAnsi="Times New Roman" w:eastAsia="宋体" w:cs="宋体"/>
                <w:color w:val="auto"/>
                <w:spacing w:val="-1"/>
                <w:sz w:val="24"/>
                <w:szCs w:val="24"/>
              </w:rPr>
              <w:t>《污水排入城镇下水道水质标准》（GB/T31962-2015）</w:t>
            </w:r>
            <w:r>
              <w:rPr>
                <w:rFonts w:ascii="Times New Roman" w:hAnsi="Times New Roman"/>
                <w:color w:val="auto"/>
                <w:kern w:val="0"/>
                <w:sz w:val="24"/>
                <w:highlight w:val="none"/>
                <w:lang w:bidi="ar"/>
              </w:rPr>
              <w:t>表1中A级标准限值</w:t>
            </w:r>
            <w:r>
              <w:rPr>
                <w:rFonts w:hint="eastAsia" w:ascii="Times New Roman" w:hAnsi="Times New Roman" w:eastAsia="宋体" w:cs="Times New Roman"/>
                <w:color w:val="auto"/>
                <w:kern w:val="0"/>
                <w:sz w:val="24"/>
                <w:lang w:eastAsia="zh-CN"/>
              </w:rPr>
              <w:t>。</w:t>
            </w:r>
            <w:r>
              <w:rPr>
                <w:rFonts w:ascii="Times New Roman" w:hAnsi="Times New Roman" w:eastAsia="Times New Roman"/>
                <w:color w:val="auto"/>
                <w:spacing w:val="-5"/>
                <w:sz w:val="24"/>
              </w:rPr>
              <w:t xml:space="preserve">标准限值见下表 </w:t>
            </w:r>
            <w:r>
              <w:rPr>
                <w:rFonts w:ascii="Times New Roman" w:hAnsi="Times New Roman" w:eastAsia="Times New Roman"/>
                <w:color w:val="auto"/>
                <w:sz w:val="24"/>
              </w:rPr>
              <w:t>3-</w:t>
            </w:r>
            <w:r>
              <w:rPr>
                <w:rFonts w:hint="eastAsia" w:ascii="Times New Roman" w:hAnsi="Times New Roman" w:eastAsia="宋体"/>
                <w:color w:val="auto"/>
                <w:sz w:val="24"/>
                <w:lang w:val="en-US" w:eastAsia="zh-CN"/>
              </w:rPr>
              <w:t>9</w:t>
            </w:r>
            <w:r>
              <w:rPr>
                <w:rFonts w:hint="eastAsia" w:ascii="Times New Roman" w:hAnsi="Times New Roman" w:eastAsia="Times New Roman" w:cs="宋体"/>
                <w:color w:val="auto"/>
                <w:sz w:val="24"/>
                <w:szCs w:val="24"/>
                <w:lang w:val="en-US" w:eastAsia="zh-CN"/>
              </w:rPr>
              <w:t>。</w:t>
            </w:r>
          </w:p>
          <w:p w14:paraId="5BDFFE9A">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center"/>
              <w:textAlignment w:val="auto"/>
              <w:rPr>
                <w:rFonts w:hint="eastAsia" w:ascii="Times New Roman" w:hAnsi="Times New Roman" w:eastAsia="Times New Roman" w:cs="宋体"/>
                <w:b/>
                <w:bCs/>
                <w:color w:val="auto"/>
                <w:sz w:val="21"/>
                <w:szCs w:val="21"/>
                <w:lang w:val="en-US" w:eastAsia="zh-CN"/>
              </w:rPr>
            </w:pPr>
            <w:r>
              <w:rPr>
                <w:rFonts w:hint="eastAsia" w:ascii="Times New Roman" w:hAnsi="Times New Roman" w:eastAsia="Times New Roman" w:cs="宋体"/>
                <w:b/>
                <w:bCs/>
                <w:color w:val="auto"/>
                <w:sz w:val="21"/>
                <w:szCs w:val="21"/>
                <w:lang w:val="en-US" w:eastAsia="zh-CN"/>
              </w:rPr>
              <w:t>表3-9 《污水排入城镇下水道水质标准》表1中A等级标准</w:t>
            </w:r>
          </w:p>
          <w:tbl>
            <w:tblPr>
              <w:tblStyle w:val="80"/>
              <w:tblW w:w="61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939"/>
              <w:gridCol w:w="2406"/>
            </w:tblGrid>
            <w:tr w14:paraId="3AA78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854" w:type="dxa"/>
                  <w:vAlign w:val="center"/>
                </w:tcPr>
                <w:p w14:paraId="2B1FBCDF">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2939" w:type="dxa"/>
                  <w:vAlign w:val="center"/>
                </w:tcPr>
                <w:p w14:paraId="7DA07760">
                  <w:pPr>
                    <w:jc w:val="center"/>
                    <w:rPr>
                      <w:rFonts w:hint="eastAsia" w:ascii="Times New Roman" w:hAnsi="Times New Roman" w:eastAsia="宋体" w:cs="宋体"/>
                      <w:b/>
                      <w:bCs/>
                      <w:color w:val="auto"/>
                      <w:sz w:val="21"/>
                      <w:szCs w:val="21"/>
                      <w:lang w:eastAsia="zh-CN"/>
                    </w:rPr>
                  </w:pPr>
                  <w:r>
                    <w:rPr>
                      <w:rFonts w:hint="eastAsia" w:ascii="Times New Roman" w:hAnsi="Times New Roman" w:eastAsia="宋体" w:cs="宋体"/>
                      <w:b/>
                      <w:bCs/>
                      <w:color w:val="auto"/>
                      <w:sz w:val="21"/>
                      <w:szCs w:val="21"/>
                      <w:lang w:val="en-US" w:eastAsia="zh-CN"/>
                    </w:rPr>
                    <w:t>污染因子</w:t>
                  </w:r>
                </w:p>
              </w:tc>
              <w:tc>
                <w:tcPr>
                  <w:tcW w:w="2406" w:type="dxa"/>
                  <w:vAlign w:val="center"/>
                </w:tcPr>
                <w:p w14:paraId="1436C04F">
                  <w:pPr>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（GB/T31962-2015） 表1 中</w:t>
                  </w:r>
                  <w:r>
                    <w:rPr>
                      <w:rFonts w:hint="eastAsia" w:ascii="Times New Roman" w:hAnsi="Times New Roman" w:eastAsia="宋体" w:cs="宋体"/>
                      <w:b/>
                      <w:bCs/>
                      <w:color w:val="auto"/>
                      <w:sz w:val="21"/>
                      <w:szCs w:val="21"/>
                      <w:lang w:val="en-US" w:eastAsia="zh-CN"/>
                    </w:rPr>
                    <w:t>A</w:t>
                  </w:r>
                  <w:r>
                    <w:rPr>
                      <w:rFonts w:hint="eastAsia" w:ascii="Times New Roman" w:hAnsi="Times New Roman" w:eastAsia="宋体" w:cs="宋体"/>
                      <w:b/>
                      <w:bCs/>
                      <w:color w:val="auto"/>
                      <w:sz w:val="21"/>
                      <w:szCs w:val="21"/>
                    </w:rPr>
                    <w:t>级标准</w:t>
                  </w:r>
                </w:p>
              </w:tc>
            </w:tr>
            <w:tr w14:paraId="3375A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854" w:type="dxa"/>
                  <w:vAlign w:val="center"/>
                </w:tcPr>
                <w:p w14:paraId="3CB2D532">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w:t>
                  </w:r>
                </w:p>
              </w:tc>
              <w:tc>
                <w:tcPr>
                  <w:tcW w:w="2939" w:type="dxa"/>
                  <w:vAlign w:val="center"/>
                </w:tcPr>
                <w:p w14:paraId="5F53A400">
                  <w:pPr>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pH</w:t>
                  </w:r>
                </w:p>
              </w:tc>
              <w:tc>
                <w:tcPr>
                  <w:tcW w:w="2406" w:type="dxa"/>
                  <w:vAlign w:val="center"/>
                </w:tcPr>
                <w:p w14:paraId="2F32E030">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6.5～9.5</w:t>
                  </w:r>
                  <w:r>
                    <w:rPr>
                      <w:rFonts w:hint="eastAsia" w:ascii="Times New Roman" w:hAnsi="Times New Roman" w:eastAsia="宋体" w:cs="宋体"/>
                      <w:color w:val="auto"/>
                      <w:sz w:val="21"/>
                      <w:szCs w:val="21"/>
                      <w:lang w:val="en-US" w:eastAsia="zh-CN"/>
                    </w:rPr>
                    <w:t>(无量纲）</w:t>
                  </w:r>
                </w:p>
              </w:tc>
            </w:tr>
            <w:tr w14:paraId="524DD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762C3360">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w:t>
                  </w:r>
                </w:p>
              </w:tc>
              <w:tc>
                <w:tcPr>
                  <w:tcW w:w="2939" w:type="dxa"/>
                  <w:shd w:val="clear" w:color="auto" w:fill="auto"/>
                  <w:vAlign w:val="center"/>
                </w:tcPr>
                <w:p w14:paraId="5ECB323C">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化学需氧量（COD</w:t>
                  </w:r>
                  <w:r>
                    <w:rPr>
                      <w:rFonts w:hint="eastAsia" w:ascii="Times New Roman" w:hAnsi="Times New Roman" w:eastAsia="宋体" w:cs="宋体"/>
                      <w:color w:val="auto"/>
                      <w:sz w:val="21"/>
                      <w:szCs w:val="21"/>
                      <w:lang w:val="en-US" w:eastAsia="zh-CN"/>
                    </w:rPr>
                    <w:t>cr</w:t>
                  </w:r>
                  <w:r>
                    <w:rPr>
                      <w:rFonts w:hint="eastAsia" w:ascii="Times New Roman" w:hAnsi="Times New Roman" w:eastAsia="宋体" w:cs="宋体"/>
                      <w:color w:val="auto"/>
                      <w:sz w:val="21"/>
                      <w:szCs w:val="21"/>
                    </w:rPr>
                    <w:t>）</w:t>
                  </w:r>
                </w:p>
              </w:tc>
              <w:tc>
                <w:tcPr>
                  <w:tcW w:w="2406" w:type="dxa"/>
                  <w:shd w:val="clear" w:color="auto" w:fill="auto"/>
                  <w:vAlign w:val="center"/>
                </w:tcPr>
                <w:p w14:paraId="177E24C9">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500mg/L</w:t>
                  </w:r>
                </w:p>
              </w:tc>
            </w:tr>
            <w:tr w14:paraId="6E697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54" w:type="dxa"/>
                  <w:vAlign w:val="center"/>
                </w:tcPr>
                <w:p w14:paraId="6E5ACD66">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3</w:t>
                  </w:r>
                </w:p>
              </w:tc>
              <w:tc>
                <w:tcPr>
                  <w:tcW w:w="2939" w:type="dxa"/>
                  <w:shd w:val="clear" w:color="auto" w:fill="auto"/>
                  <w:vAlign w:val="center"/>
                </w:tcPr>
                <w:p w14:paraId="0592B702">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生化需氧量（BOD5）</w:t>
                  </w:r>
                </w:p>
              </w:tc>
              <w:tc>
                <w:tcPr>
                  <w:tcW w:w="2406" w:type="dxa"/>
                  <w:shd w:val="clear" w:color="auto" w:fill="auto"/>
                  <w:vAlign w:val="center"/>
                </w:tcPr>
                <w:p w14:paraId="01B76559">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350mg/L</w:t>
                  </w:r>
                </w:p>
              </w:tc>
            </w:tr>
            <w:tr w14:paraId="798D5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1E8AFDC7">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4</w:t>
                  </w:r>
                </w:p>
              </w:tc>
              <w:tc>
                <w:tcPr>
                  <w:tcW w:w="2939" w:type="dxa"/>
                  <w:shd w:val="clear" w:color="auto" w:fill="auto"/>
                  <w:vAlign w:val="center"/>
                </w:tcPr>
                <w:p w14:paraId="685F2754">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悬浮物（SS）</w:t>
                  </w:r>
                </w:p>
              </w:tc>
              <w:tc>
                <w:tcPr>
                  <w:tcW w:w="2406" w:type="dxa"/>
                  <w:shd w:val="clear" w:color="auto" w:fill="auto"/>
                  <w:vAlign w:val="center"/>
                </w:tcPr>
                <w:p w14:paraId="025619F4">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400mg/L</w:t>
                  </w:r>
                </w:p>
              </w:tc>
            </w:tr>
            <w:tr w14:paraId="5238D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277227F6">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5</w:t>
                  </w:r>
                </w:p>
              </w:tc>
              <w:tc>
                <w:tcPr>
                  <w:tcW w:w="2939" w:type="dxa"/>
                  <w:shd w:val="clear" w:color="auto" w:fill="auto"/>
                  <w:vAlign w:val="center"/>
                </w:tcPr>
                <w:p w14:paraId="617170F8">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氨氮（以 N 计）</w:t>
                  </w:r>
                </w:p>
              </w:tc>
              <w:tc>
                <w:tcPr>
                  <w:tcW w:w="2406" w:type="dxa"/>
                  <w:shd w:val="clear" w:color="auto" w:fill="auto"/>
                  <w:vAlign w:val="center"/>
                </w:tcPr>
                <w:p w14:paraId="4AF72395">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45mg/L</w:t>
                  </w:r>
                </w:p>
              </w:tc>
            </w:tr>
            <w:tr w14:paraId="04401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3045D488">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6</w:t>
                  </w:r>
                </w:p>
              </w:tc>
              <w:tc>
                <w:tcPr>
                  <w:tcW w:w="2939" w:type="dxa"/>
                  <w:shd w:val="clear" w:color="auto" w:fill="auto"/>
                  <w:vAlign w:val="center"/>
                </w:tcPr>
                <w:p w14:paraId="4A39A4C5">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总氮（以 N 计）</w:t>
                  </w:r>
                </w:p>
              </w:tc>
              <w:tc>
                <w:tcPr>
                  <w:tcW w:w="2406" w:type="dxa"/>
                  <w:shd w:val="clear" w:color="auto" w:fill="auto"/>
                  <w:vAlign w:val="center"/>
                </w:tcPr>
                <w:p w14:paraId="64E5635E">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70mg/L</w:t>
                  </w:r>
                </w:p>
              </w:tc>
            </w:tr>
            <w:tr w14:paraId="22985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14:paraId="64F59FD6">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7</w:t>
                  </w:r>
                </w:p>
              </w:tc>
              <w:tc>
                <w:tcPr>
                  <w:tcW w:w="2939" w:type="dxa"/>
                  <w:shd w:val="clear" w:color="auto" w:fill="auto"/>
                  <w:vAlign w:val="center"/>
                </w:tcPr>
                <w:p w14:paraId="6E473760">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总磷（以P 计）</w:t>
                  </w:r>
                </w:p>
              </w:tc>
              <w:tc>
                <w:tcPr>
                  <w:tcW w:w="2406" w:type="dxa"/>
                  <w:shd w:val="clear" w:color="auto" w:fill="auto"/>
                  <w:vAlign w:val="center"/>
                </w:tcPr>
                <w:p w14:paraId="766E92BC">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8mg/L</w:t>
                  </w:r>
                </w:p>
              </w:tc>
            </w:tr>
            <w:tr w14:paraId="46036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854" w:type="dxa"/>
                  <w:vAlign w:val="center"/>
                </w:tcPr>
                <w:p w14:paraId="213D3ECE">
                  <w:pPr>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val="en-US" w:eastAsia="zh-CN"/>
                    </w:rPr>
                    <w:t>8</w:t>
                  </w:r>
                </w:p>
              </w:tc>
              <w:tc>
                <w:tcPr>
                  <w:tcW w:w="2939" w:type="dxa"/>
                  <w:shd w:val="clear" w:color="auto" w:fill="auto"/>
                  <w:vAlign w:val="center"/>
                </w:tcPr>
                <w:p w14:paraId="6494F423">
                  <w:pPr>
                    <w:jc w:val="center"/>
                    <w:rPr>
                      <w:rFonts w:hint="eastAsia" w:ascii="Times New Roman" w:hAnsi="Times New Roman" w:eastAsia="宋体" w:cs="宋体"/>
                      <w:color w:val="auto"/>
                      <w:sz w:val="21"/>
                      <w:szCs w:val="21"/>
                      <w:lang w:val="en-US" w:eastAsia="en-US"/>
                    </w:rPr>
                  </w:pPr>
                  <w:r>
                    <w:rPr>
                      <w:rFonts w:hint="eastAsia" w:ascii="Times New Roman" w:hAnsi="Times New Roman" w:eastAsia="宋体" w:cs="宋体"/>
                      <w:color w:val="auto"/>
                      <w:sz w:val="21"/>
                      <w:szCs w:val="21"/>
                    </w:rPr>
                    <w:t>阴离子表面活性剂/（LAS）</w:t>
                  </w:r>
                </w:p>
              </w:tc>
              <w:tc>
                <w:tcPr>
                  <w:tcW w:w="2406" w:type="dxa"/>
                  <w:shd w:val="clear" w:color="auto" w:fill="auto"/>
                  <w:vAlign w:val="center"/>
                </w:tcPr>
                <w:p w14:paraId="3605C94C">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20mg/L</w:t>
                  </w:r>
                </w:p>
              </w:tc>
            </w:tr>
          </w:tbl>
          <w:p w14:paraId="2D57C1F7">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3</w:t>
            </w:r>
            <w:r>
              <w:rPr>
                <w:rFonts w:hint="eastAsia" w:ascii="Times New Roman" w:hAnsi="Times New Roman"/>
                <w:b/>
                <w:bCs/>
                <w:color w:val="auto"/>
                <w:kern w:val="0"/>
                <w:sz w:val="24"/>
                <w:lang w:eastAsia="zh-CN"/>
              </w:rPr>
              <w:t>）</w:t>
            </w:r>
            <w:r>
              <w:rPr>
                <w:rFonts w:ascii="Times New Roman" w:hAnsi="Times New Roman"/>
                <w:b/>
                <w:bCs/>
                <w:color w:val="auto"/>
                <w:kern w:val="0"/>
                <w:sz w:val="24"/>
              </w:rPr>
              <w:t>噪声</w:t>
            </w:r>
          </w:p>
          <w:p w14:paraId="1C030400">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snapToGrid w:val="0"/>
                <w:color w:val="auto"/>
                <w:kern w:val="0"/>
                <w:sz w:val="24"/>
              </w:rPr>
              <w:t>项目运营期</w:t>
            </w:r>
            <w:r>
              <w:rPr>
                <w:rFonts w:hint="eastAsia" w:ascii="Times New Roman" w:hAnsi="Times New Roman"/>
                <w:snapToGrid w:val="0"/>
                <w:color w:val="auto"/>
                <w:kern w:val="0"/>
                <w:sz w:val="24"/>
                <w:lang w:val="en-US" w:eastAsia="zh-CN"/>
              </w:rPr>
              <w:t>北、西、东侧</w:t>
            </w:r>
            <w:r>
              <w:rPr>
                <w:rFonts w:ascii="Times New Roman" w:hAnsi="Times New Roman"/>
                <w:snapToGrid w:val="0"/>
                <w:color w:val="auto"/>
                <w:kern w:val="0"/>
                <w:sz w:val="24"/>
              </w:rPr>
              <w:t>厂界噪声排放执行《工业企业厂界环境噪声排放标准》（GB12348-2008）</w:t>
            </w:r>
            <w:r>
              <w:rPr>
                <w:rFonts w:hint="eastAsia" w:ascii="Times New Roman" w:hAnsi="Times New Roman"/>
                <w:snapToGrid w:val="0"/>
                <w:color w:val="auto"/>
                <w:kern w:val="0"/>
                <w:sz w:val="24"/>
              </w:rPr>
              <w:t>2</w:t>
            </w:r>
            <w:r>
              <w:rPr>
                <w:rFonts w:ascii="Times New Roman" w:hAnsi="Times New Roman"/>
                <w:snapToGrid w:val="0"/>
                <w:color w:val="auto"/>
                <w:kern w:val="0"/>
                <w:sz w:val="24"/>
              </w:rPr>
              <w:t>类标准</w:t>
            </w:r>
            <w:r>
              <w:rPr>
                <w:rFonts w:hint="eastAsia" w:ascii="Times New Roman" w:hAnsi="Times New Roman"/>
                <w:snapToGrid w:val="0"/>
                <w:color w:val="auto"/>
                <w:kern w:val="0"/>
                <w:sz w:val="24"/>
              </w:rPr>
              <w:t>，</w:t>
            </w:r>
            <w:r>
              <w:rPr>
                <w:rFonts w:hint="eastAsia" w:ascii="Times New Roman" w:hAnsi="Times New Roman"/>
                <w:snapToGrid w:val="0"/>
                <w:color w:val="auto"/>
                <w:kern w:val="0"/>
                <w:sz w:val="24"/>
                <w:lang w:val="en-US" w:eastAsia="zh-CN"/>
              </w:rPr>
              <w:t>南侧（临寻白线公路一侧）</w:t>
            </w:r>
            <w:r>
              <w:rPr>
                <w:rFonts w:ascii="Times New Roman" w:hAnsi="Times New Roman"/>
                <w:snapToGrid w:val="0"/>
                <w:color w:val="auto"/>
                <w:kern w:val="0"/>
                <w:sz w:val="24"/>
              </w:rPr>
              <w:t>执行《工业企业厂界环境噪声排放标准》（GB12348-2008）</w:t>
            </w:r>
            <w:r>
              <w:rPr>
                <w:rFonts w:hint="eastAsia" w:ascii="Times New Roman" w:hAnsi="Times New Roman"/>
                <w:snapToGrid w:val="0"/>
                <w:color w:val="auto"/>
                <w:kern w:val="0"/>
                <w:sz w:val="24"/>
                <w:lang w:val="en-US" w:eastAsia="zh-CN"/>
              </w:rPr>
              <w:t>4</w:t>
            </w:r>
            <w:r>
              <w:rPr>
                <w:rFonts w:ascii="Times New Roman" w:hAnsi="Times New Roman"/>
                <w:snapToGrid w:val="0"/>
                <w:color w:val="auto"/>
                <w:kern w:val="0"/>
                <w:sz w:val="24"/>
              </w:rPr>
              <w:t>类标准</w:t>
            </w:r>
            <w:r>
              <w:rPr>
                <w:rFonts w:hint="eastAsia" w:ascii="Times New Roman" w:hAnsi="Times New Roman"/>
                <w:snapToGrid w:val="0"/>
                <w:color w:val="auto"/>
                <w:kern w:val="0"/>
                <w:sz w:val="24"/>
                <w:lang w:eastAsia="zh-CN"/>
              </w:rPr>
              <w:t>。</w:t>
            </w:r>
            <w:r>
              <w:rPr>
                <w:rFonts w:ascii="Times New Roman" w:hAnsi="Times New Roman"/>
                <w:color w:val="auto"/>
                <w:kern w:val="0"/>
                <w:sz w:val="24"/>
              </w:rPr>
              <w:t>具体标准值见表3-</w:t>
            </w:r>
            <w:r>
              <w:rPr>
                <w:rFonts w:hint="eastAsia" w:ascii="Times New Roman" w:hAnsi="Times New Roman"/>
                <w:color w:val="auto"/>
                <w:kern w:val="0"/>
                <w:sz w:val="24"/>
                <w:lang w:val="en-US" w:eastAsia="zh-CN"/>
              </w:rPr>
              <w:t>10</w:t>
            </w:r>
            <w:r>
              <w:rPr>
                <w:rFonts w:ascii="Times New Roman" w:hAnsi="Times New Roman"/>
                <w:color w:val="auto"/>
                <w:kern w:val="0"/>
                <w:sz w:val="24"/>
              </w:rPr>
              <w:t>所示。</w:t>
            </w:r>
          </w:p>
          <w:p w14:paraId="171FB201">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 xml:space="preserve">10 </w:t>
            </w:r>
            <w:r>
              <w:rPr>
                <w:rFonts w:ascii="Times New Roman" w:hAnsi="Times New Roman"/>
                <w:b/>
                <w:bCs/>
                <w:color w:val="auto"/>
                <w:kern w:val="0"/>
                <w:szCs w:val="21"/>
              </w:rPr>
              <w:t>工业企业厂界环境噪声排放标准</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1365"/>
              <w:gridCol w:w="1362"/>
              <w:gridCol w:w="2587"/>
            </w:tblGrid>
            <w:tr w14:paraId="57D6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2265" w:type="dxa"/>
                  <w:noWrap w:val="0"/>
                  <w:vAlign w:val="center"/>
                </w:tcPr>
                <w:p w14:paraId="36CA5D00">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365" w:type="dxa"/>
                  <w:noWrap w:val="0"/>
                  <w:vAlign w:val="center"/>
                </w:tcPr>
                <w:p w14:paraId="04A272F8">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1362" w:type="dxa"/>
                  <w:noWrap w:val="0"/>
                  <w:vAlign w:val="center"/>
                </w:tcPr>
                <w:p w14:paraId="25848E56">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2587" w:type="dxa"/>
                  <w:noWrap w:val="0"/>
                  <w:vAlign w:val="center"/>
                </w:tcPr>
                <w:p w14:paraId="3249A26E">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6871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265" w:type="dxa"/>
                  <w:noWrap w:val="0"/>
                  <w:vAlign w:val="center"/>
                </w:tcPr>
                <w:p w14:paraId="6C35C68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w:t>
                  </w:r>
                </w:p>
              </w:tc>
              <w:tc>
                <w:tcPr>
                  <w:tcW w:w="1365" w:type="dxa"/>
                  <w:noWrap w:val="0"/>
                  <w:vAlign w:val="center"/>
                </w:tcPr>
                <w:p w14:paraId="106E7119">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362" w:type="dxa"/>
                  <w:noWrap w:val="0"/>
                  <w:vAlign w:val="center"/>
                </w:tcPr>
                <w:p w14:paraId="217FF4AA">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2587" w:type="dxa"/>
                  <w:noWrap w:val="0"/>
                  <w:vAlign w:val="center"/>
                </w:tcPr>
                <w:p w14:paraId="7F02AC3A">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北、西、东侧</w:t>
                  </w:r>
                </w:p>
              </w:tc>
            </w:tr>
            <w:tr w14:paraId="4564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265" w:type="dxa"/>
                  <w:noWrap w:val="0"/>
                  <w:vAlign w:val="center"/>
                </w:tcPr>
                <w:p w14:paraId="3DC9EF7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类标准</w:t>
                  </w:r>
                </w:p>
              </w:tc>
              <w:tc>
                <w:tcPr>
                  <w:tcW w:w="1365" w:type="dxa"/>
                  <w:noWrap w:val="0"/>
                  <w:vAlign w:val="center"/>
                </w:tcPr>
                <w:p w14:paraId="7C406F45">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1362" w:type="dxa"/>
                  <w:noWrap w:val="0"/>
                  <w:vAlign w:val="center"/>
                </w:tcPr>
                <w:p w14:paraId="5298CA66">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2587" w:type="dxa"/>
                  <w:noWrap w:val="0"/>
                  <w:vAlign w:val="center"/>
                </w:tcPr>
                <w:p w14:paraId="6B419D18">
                  <w:pPr>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南侧（临寻白线公路一侧）</w:t>
                  </w:r>
                </w:p>
              </w:tc>
            </w:tr>
          </w:tbl>
          <w:p w14:paraId="096234BE">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4</w:t>
            </w:r>
            <w:r>
              <w:rPr>
                <w:rFonts w:hint="eastAsia" w:ascii="Times New Roman" w:hAnsi="Times New Roman"/>
                <w:b/>
                <w:bCs/>
                <w:color w:val="auto"/>
                <w:kern w:val="0"/>
                <w:sz w:val="24"/>
                <w:lang w:eastAsia="zh-CN"/>
              </w:rPr>
              <w:t>）</w:t>
            </w:r>
            <w:r>
              <w:rPr>
                <w:rFonts w:ascii="Times New Roman" w:hAnsi="Times New Roman"/>
                <w:b/>
                <w:bCs/>
                <w:color w:val="auto"/>
                <w:kern w:val="0"/>
                <w:sz w:val="24"/>
              </w:rPr>
              <w:t>固废污染物排放标准</w:t>
            </w:r>
          </w:p>
          <w:p w14:paraId="779F01FC">
            <w:pPr>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一般工业固体废物暂存、处置执行《</w:t>
            </w:r>
            <w:r>
              <w:rPr>
                <w:rFonts w:ascii="Times New Roman" w:hAnsi="Times New Roman"/>
                <w:color w:val="auto"/>
              </w:rPr>
              <w:fldChar w:fldCharType="begin"/>
            </w:r>
            <w:r>
              <w:rPr>
                <w:rFonts w:ascii="Times New Roman" w:hAnsi="Times New Roman"/>
                <w:color w:val="auto"/>
              </w:rPr>
              <w:instrText xml:space="preserve">HYPERLINK"https://www.eiacloud.com/hpyzs/lawsRegulations/searchDetail?id=aa2796ebd34247bfb15db7bdfa5bf721&amp;modelName=%E9%A6%96%E9%A1%B5"\t"https://www.eiacloud.com/hpyzs/lawsRegulations/_blank"</w:instrText>
            </w:r>
            <w:r>
              <w:rPr>
                <w:rFonts w:ascii="Times New Roman" w:hAnsi="Times New Roman"/>
                <w:color w:val="auto"/>
              </w:rPr>
              <w:fldChar w:fldCharType="separate"/>
            </w:r>
            <w:r>
              <w:rPr>
                <w:rFonts w:ascii="Times New Roman" w:hAnsi="Times New Roman"/>
                <w:color w:val="auto"/>
                <w:sz w:val="24"/>
              </w:rPr>
              <w:t>一般工业固体废物贮存和填埋污染控制标准</w:t>
            </w:r>
            <w:r>
              <w:rPr>
                <w:rFonts w:ascii="Times New Roman" w:hAnsi="Times New Roman"/>
                <w:color w:val="auto"/>
                <w:sz w:val="24"/>
              </w:rPr>
              <w:fldChar w:fldCharType="end"/>
            </w:r>
            <w:r>
              <w:rPr>
                <w:rFonts w:ascii="Times New Roman" w:hAnsi="Times New Roman"/>
                <w:color w:val="auto"/>
                <w:sz w:val="24"/>
              </w:rPr>
              <w:t>》（GB18599-2020）中的相关规定。</w:t>
            </w:r>
          </w:p>
          <w:p w14:paraId="54832F36">
            <w:pPr>
              <w:spacing w:line="360" w:lineRule="auto"/>
              <w:ind w:firstLine="480" w:firstLineChars="200"/>
              <w:rPr>
                <w:rFonts w:hint="eastAsia" w:ascii="Times New Roman" w:hAnsi="Times New Roman" w:eastAsia="宋体" w:cs="宋体"/>
                <w:color w:val="auto"/>
                <w:kern w:val="0"/>
                <w:szCs w:val="21"/>
                <w:lang w:eastAsia="zh-CN"/>
              </w:rPr>
            </w:pPr>
            <w:r>
              <w:rPr>
                <w:rFonts w:ascii="Times New Roman" w:hAnsi="Times New Roman"/>
                <w:color w:val="auto"/>
                <w:sz w:val="24"/>
              </w:rPr>
              <w:t>危险废物暂存执行《危险废物贮存污染控制标准》（GB18597-20</w:t>
            </w:r>
            <w:r>
              <w:rPr>
                <w:rFonts w:hint="eastAsia" w:ascii="Times New Roman" w:hAnsi="Times New Roman"/>
                <w:color w:val="auto"/>
                <w:sz w:val="24"/>
              </w:rPr>
              <w:t>23</w:t>
            </w:r>
            <w:r>
              <w:rPr>
                <w:rFonts w:ascii="Times New Roman" w:hAnsi="Times New Roman"/>
                <w:color w:val="auto"/>
                <w:sz w:val="24"/>
              </w:rPr>
              <w:t>）中的相关规定</w:t>
            </w:r>
            <w:r>
              <w:rPr>
                <w:rFonts w:hint="eastAsia" w:ascii="Times New Roman" w:hAnsi="Times New Roman"/>
                <w:color w:val="auto"/>
                <w:sz w:val="24"/>
                <w:lang w:eastAsia="zh-CN"/>
              </w:rPr>
              <w:t>，</w:t>
            </w:r>
            <w:r>
              <w:rPr>
                <w:rFonts w:hint="eastAsia" w:ascii="Times New Roman" w:hAnsi="Times New Roman" w:eastAsia="Times New Roman" w:cs="宋体"/>
                <w:color w:val="auto"/>
                <w:sz w:val="24"/>
                <w:szCs w:val="24"/>
              </w:rPr>
              <w:t>并按照</w:t>
            </w:r>
            <w:r>
              <w:rPr>
                <w:rFonts w:hint="eastAsia" w:ascii="Times New Roman" w:hAnsi="Times New Roman" w:eastAsia="Times New Roman" w:cs="宋体"/>
                <w:color w:val="auto"/>
                <w:sz w:val="24"/>
                <w:szCs w:val="24"/>
                <w:lang w:val="en-US" w:eastAsia="zh-CN"/>
              </w:rPr>
              <w:t>2023年07月01日实施的</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lang w:val="en-US" w:eastAsia="zh-CN"/>
              </w:rPr>
              <w:t>危险废物识别标志设置技术规范</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lang w:val="en-US" w:eastAsia="zh-CN"/>
              </w:rPr>
              <w:t>HJ1276-2022</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rPr>
              <w:t>中的要求设置标志牌</w:t>
            </w:r>
            <w:r>
              <w:rPr>
                <w:rFonts w:hint="eastAsia" w:ascii="Times New Roman" w:hAnsi="Times New Roman" w:eastAsia="宋体" w:cs="宋体"/>
                <w:color w:val="auto"/>
                <w:sz w:val="24"/>
                <w:szCs w:val="24"/>
                <w:lang w:eastAsia="zh-CN"/>
              </w:rPr>
              <w:t>。</w:t>
            </w:r>
          </w:p>
        </w:tc>
      </w:tr>
      <w:tr w14:paraId="54A76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386531EE">
            <w:pPr>
              <w:adjustRightInd w:val="0"/>
              <w:snapToGrid w:val="0"/>
              <w:spacing w:line="360" w:lineRule="auto"/>
              <w:jc w:val="center"/>
              <w:rPr>
                <w:rFonts w:ascii="Times New Roman" w:hAnsi="Times New Roman" w:cs="宋体"/>
                <w:color w:val="auto"/>
                <w:kern w:val="0"/>
                <w:szCs w:val="21"/>
              </w:rPr>
            </w:pPr>
            <w:r>
              <w:rPr>
                <w:rFonts w:hint="eastAsia" w:ascii="Times New Roman" w:hAnsi="Times New Roman" w:eastAsia="宋体" w:cs="宋体"/>
                <w:color w:val="auto"/>
                <w:kern w:val="0"/>
                <w:sz w:val="24"/>
              </w:rPr>
              <w:t>总量控制指标</w:t>
            </w:r>
          </w:p>
        </w:tc>
        <w:tc>
          <w:tcPr>
            <w:tcW w:w="8190" w:type="dxa"/>
            <w:vAlign w:val="center"/>
          </w:tcPr>
          <w:p w14:paraId="5BE716FE">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根据本项目的排污特征，结合国家污染物排放总量控制原则，列出本项目建议执行的总量控制指标：</w:t>
            </w:r>
          </w:p>
          <w:p w14:paraId="3A3FC113">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1、废气</w:t>
            </w:r>
          </w:p>
          <w:p w14:paraId="153DF070">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①有组织</w:t>
            </w:r>
          </w:p>
          <w:p w14:paraId="3B98824D">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废气量：69</w:t>
            </w:r>
            <w:r>
              <w:rPr>
                <w:rFonts w:hint="eastAsia" w:ascii="Times New Roman" w:hAnsi="Times New Roman" w:cs="宋体"/>
                <w:color w:val="auto"/>
                <w:kern w:val="0"/>
                <w:sz w:val="24"/>
                <w:lang w:val="en-US" w:eastAsia="zh-CN"/>
              </w:rPr>
              <w:t>1万</w:t>
            </w:r>
            <w:r>
              <w:rPr>
                <w:rFonts w:hint="eastAsia" w:ascii="Times New Roman" w:hAnsi="Times New Roman" w:eastAsia="宋体" w:cs="宋体"/>
                <w:color w:val="auto"/>
                <w:kern w:val="0"/>
                <w:sz w:val="24"/>
                <w:lang w:val="en-US" w:eastAsia="zh-CN"/>
              </w:rPr>
              <w:t>m</w:t>
            </w:r>
            <w:r>
              <w:rPr>
                <w:rFonts w:hint="eastAsia" w:ascii="Times New Roman" w:hAnsi="Times New Roman" w:eastAsia="宋体" w:cs="宋体"/>
                <w:color w:val="auto"/>
                <w:kern w:val="0"/>
                <w:sz w:val="24"/>
                <w:vertAlign w:val="superscript"/>
                <w:lang w:val="en-US" w:eastAsia="zh-CN"/>
              </w:rPr>
              <w:t>3</w:t>
            </w:r>
            <w:r>
              <w:rPr>
                <w:rFonts w:hint="eastAsia" w:ascii="Times New Roman" w:hAnsi="Times New Roman" w:eastAsia="宋体" w:cs="宋体"/>
                <w:color w:val="auto"/>
                <w:kern w:val="0"/>
                <w:sz w:val="24"/>
                <w:lang w:val="en-US" w:eastAsia="zh-CN"/>
              </w:rPr>
              <w:t>/a，</w:t>
            </w:r>
            <w:r>
              <w:rPr>
                <w:rFonts w:hint="eastAsia" w:ascii="Times New Roman" w:hAnsi="Times New Roman" w:eastAsia="宋体" w:cs="宋体"/>
                <w:color w:val="auto"/>
                <w:kern w:val="0"/>
                <w:sz w:val="24"/>
              </w:rPr>
              <w:t>颗粒物</w:t>
            </w:r>
            <w:r>
              <w:rPr>
                <w:rFonts w:hint="eastAsia" w:ascii="Times New Roman" w:hAnsi="Times New Roman" w:eastAsia="宋体" w:cs="宋体"/>
                <w:color w:val="auto"/>
                <w:kern w:val="0"/>
                <w:sz w:val="24"/>
                <w:lang w:val="en-US" w:eastAsia="zh-CN"/>
              </w:rPr>
              <w:t>：0.00554t/a，</w:t>
            </w:r>
            <w:r>
              <w:rPr>
                <w:rFonts w:hint="eastAsia" w:ascii="Times New Roman" w:hAnsi="Times New Roman" w:eastAsia="宋体" w:cs="宋体"/>
                <w:color w:val="auto"/>
                <w:kern w:val="0"/>
                <w:sz w:val="24"/>
              </w:rPr>
              <w:t>二氧化硫</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r>
              <w:rPr>
                <w:rFonts w:hint="eastAsia" w:ascii="Times New Roman" w:hAnsi="Times New Roman" w:eastAsia="宋体" w:cs="宋体"/>
                <w:color w:val="auto"/>
                <w:kern w:val="0"/>
                <w:sz w:val="24"/>
              </w:rPr>
              <w:t>氮氧化物</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p>
          <w:p w14:paraId="2E449A44">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②无组织</w:t>
            </w:r>
          </w:p>
          <w:p w14:paraId="650966F3">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lang w:val="en-US" w:eastAsia="zh-CN"/>
              </w:rPr>
              <w:t>颗粒物</w:t>
            </w:r>
            <w:r>
              <w:rPr>
                <w:rFonts w:hint="eastAsia" w:ascii="Times New Roman" w:hAnsi="Times New Roman" w:eastAsia="宋体" w:cs="宋体"/>
                <w:color w:val="auto"/>
                <w:kern w:val="0"/>
                <w:sz w:val="24"/>
              </w:rPr>
              <w:t>：</w:t>
            </w:r>
            <w:r>
              <w:rPr>
                <w:rFonts w:hint="eastAsia" w:ascii="Times New Roman" w:hAnsi="Times New Roman" w:cs="宋体"/>
                <w:color w:val="auto"/>
                <w:kern w:val="0"/>
                <w:sz w:val="24"/>
                <w:lang w:val="en-US" w:eastAsia="zh-CN"/>
              </w:rPr>
              <w:t>0.44</w:t>
            </w:r>
            <w:r>
              <w:rPr>
                <w:rFonts w:hint="eastAsia" w:ascii="Times New Roman" w:hAnsi="Times New Roman" w:eastAsia="宋体" w:cs="宋体"/>
                <w:color w:val="auto"/>
                <w:kern w:val="0"/>
                <w:sz w:val="24"/>
                <w:lang w:val="en-US" w:eastAsia="zh-CN"/>
              </w:rPr>
              <w:t>t</w:t>
            </w:r>
            <w:r>
              <w:rPr>
                <w:rFonts w:hint="eastAsia" w:ascii="Times New Roman" w:hAnsi="Times New Roman" w:eastAsia="宋体" w:cs="宋体"/>
                <w:color w:val="auto"/>
                <w:kern w:val="0"/>
                <w:sz w:val="24"/>
              </w:rPr>
              <w:t>/a。</w:t>
            </w:r>
          </w:p>
          <w:p w14:paraId="0247EF63">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③全厂排放总量情况</w:t>
            </w:r>
          </w:p>
          <w:p w14:paraId="0296ED8B">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cs="宋体"/>
                <w:color w:val="auto"/>
                <w:kern w:val="0"/>
                <w:sz w:val="24"/>
                <w:lang w:val="en-US" w:eastAsia="zh-CN"/>
              </w:rPr>
              <w:t>废气量：</w:t>
            </w:r>
            <w:r>
              <w:rPr>
                <w:rFonts w:hint="eastAsia" w:ascii="Times New Roman" w:hAnsi="Times New Roman" w:eastAsia="宋体" w:cs="宋体"/>
                <w:color w:val="auto"/>
                <w:kern w:val="0"/>
                <w:sz w:val="24"/>
                <w:lang w:val="en-US" w:eastAsia="zh-CN"/>
              </w:rPr>
              <w:t>69</w:t>
            </w:r>
            <w:r>
              <w:rPr>
                <w:rFonts w:hint="eastAsia" w:ascii="Times New Roman" w:hAnsi="Times New Roman" w:cs="宋体"/>
                <w:color w:val="auto"/>
                <w:kern w:val="0"/>
                <w:sz w:val="24"/>
                <w:lang w:val="en-US" w:eastAsia="zh-CN"/>
              </w:rPr>
              <w:t>1万</w:t>
            </w:r>
            <w:r>
              <w:rPr>
                <w:rFonts w:hint="eastAsia" w:ascii="Times New Roman" w:hAnsi="Times New Roman" w:eastAsia="宋体" w:cs="宋体"/>
                <w:color w:val="auto"/>
                <w:kern w:val="0"/>
                <w:sz w:val="24"/>
                <w:lang w:val="en-US" w:eastAsia="zh-CN"/>
              </w:rPr>
              <w:t>m</w:t>
            </w:r>
            <w:r>
              <w:rPr>
                <w:rFonts w:hint="eastAsia" w:ascii="Times New Roman" w:hAnsi="Times New Roman" w:eastAsia="宋体" w:cs="宋体"/>
                <w:color w:val="auto"/>
                <w:kern w:val="0"/>
                <w:sz w:val="24"/>
                <w:vertAlign w:val="superscript"/>
                <w:lang w:val="en-US" w:eastAsia="zh-CN"/>
              </w:rPr>
              <w:t>3</w:t>
            </w:r>
            <w:r>
              <w:rPr>
                <w:rFonts w:hint="eastAsia" w:ascii="Times New Roman" w:hAnsi="Times New Roman" w:eastAsia="宋体" w:cs="宋体"/>
                <w:color w:val="auto"/>
                <w:kern w:val="0"/>
                <w:sz w:val="24"/>
                <w:lang w:val="en-US" w:eastAsia="zh-CN"/>
              </w:rPr>
              <w:t>/a</w:t>
            </w:r>
            <w:r>
              <w:rPr>
                <w:rFonts w:hint="eastAsia" w:ascii="Times New Roman" w:hAnsi="Times New Roman" w:cs="宋体"/>
                <w:color w:val="auto"/>
                <w:kern w:val="0"/>
                <w:sz w:val="24"/>
                <w:lang w:val="en-US" w:eastAsia="zh-CN"/>
              </w:rPr>
              <w:t>，颗粒物</w:t>
            </w:r>
            <w:r>
              <w:rPr>
                <w:rFonts w:hint="eastAsia" w:ascii="Times New Roman" w:hAnsi="Times New Roman" w:cs="宋体"/>
                <w:color w:val="auto"/>
                <w:kern w:val="0"/>
                <w:sz w:val="24"/>
                <w:lang w:eastAsia="zh-CN"/>
              </w:rPr>
              <w:t>：</w:t>
            </w:r>
            <w:r>
              <w:rPr>
                <w:rFonts w:hint="eastAsia" w:ascii="Times New Roman" w:hAnsi="Times New Roman" w:eastAsia="宋体" w:cs="宋体"/>
                <w:color w:val="auto"/>
                <w:kern w:val="0"/>
                <w:sz w:val="24"/>
                <w:lang w:val="en-US" w:eastAsia="zh-CN"/>
              </w:rPr>
              <w:t>0.4</w:t>
            </w:r>
            <w:r>
              <w:rPr>
                <w:rFonts w:hint="eastAsia" w:ascii="Times New Roman" w:hAnsi="Times New Roman" w:cs="宋体"/>
                <w:color w:val="auto"/>
                <w:kern w:val="0"/>
                <w:sz w:val="24"/>
                <w:lang w:val="en-US" w:eastAsia="zh-CN"/>
              </w:rPr>
              <w:t>8554</w:t>
            </w:r>
            <w:r>
              <w:rPr>
                <w:rFonts w:hint="eastAsia" w:ascii="Times New Roman" w:hAnsi="Times New Roman" w:eastAsia="宋体" w:cs="宋体"/>
                <w:color w:val="auto"/>
                <w:kern w:val="0"/>
                <w:sz w:val="24"/>
              </w:rPr>
              <w:t>t/a；二氧化硫</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r>
              <w:rPr>
                <w:rFonts w:hint="eastAsia" w:ascii="Times New Roman" w:hAnsi="Times New Roman" w:eastAsia="宋体" w:cs="宋体"/>
                <w:color w:val="auto"/>
                <w:kern w:val="0"/>
                <w:sz w:val="24"/>
              </w:rPr>
              <w:t>氮氧化物</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p>
          <w:p w14:paraId="604947F2">
            <w:pPr>
              <w:adjustRightInd w:val="0"/>
              <w:snapToGrid w:val="0"/>
              <w:spacing w:line="360" w:lineRule="auto"/>
              <w:ind w:firstLine="480" w:firstLineChars="200"/>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Times New Roman" w:cs="宋体"/>
                <w:b w:val="0"/>
                <w:bCs/>
                <w:color w:val="auto"/>
                <w:sz w:val="24"/>
                <w:szCs w:val="24"/>
                <w:lang w:val="en-US" w:eastAsia="zh-CN"/>
              </w:rPr>
              <w:t>2、废水</w:t>
            </w:r>
          </w:p>
          <w:p w14:paraId="2BEC58FA">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项目生产废水（洗涤废水、纯水制备废水、锅炉排污水）经三级沉淀池处理达《污水排入城镇下水道水质标准》（GB/T31962-2015）表1A等级标准后</w:t>
            </w:r>
            <w:r>
              <w:rPr>
                <w:rFonts w:hint="eastAsia" w:ascii="Times New Roman" w:hAnsi="Times New Roman" w:cs="宋体"/>
                <w:color w:val="auto"/>
                <w:kern w:val="0"/>
                <w:sz w:val="24"/>
                <w:lang w:val="en-US" w:eastAsia="zh-CN"/>
              </w:rPr>
              <w:t>经综合废水排放口（DW001）</w:t>
            </w:r>
            <w:r>
              <w:rPr>
                <w:rFonts w:hint="eastAsia" w:ascii="Times New Roman" w:hAnsi="Times New Roman" w:eastAsia="宋体" w:cs="宋体"/>
                <w:color w:val="auto"/>
                <w:kern w:val="0"/>
                <w:sz w:val="24"/>
                <w:lang w:val="en-US" w:eastAsia="zh-CN"/>
              </w:rPr>
              <w:t>排入易天线市政污水管网，最终进入寻甸县污水处理厂统一处理。</w:t>
            </w:r>
          </w:p>
          <w:p w14:paraId="65B7872E">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cs="宋体"/>
                <w:color w:val="auto"/>
                <w:kern w:val="0"/>
                <w:sz w:val="24"/>
                <w:lang w:val="en-US" w:eastAsia="zh-CN"/>
              </w:rPr>
              <w:t>项目</w:t>
            </w:r>
            <w:r>
              <w:rPr>
                <w:rFonts w:hint="eastAsia" w:ascii="Times New Roman" w:hAnsi="Times New Roman" w:eastAsia="宋体" w:cs="宋体"/>
                <w:color w:val="auto"/>
                <w:kern w:val="0"/>
                <w:sz w:val="24"/>
                <w:lang w:val="en-US" w:eastAsia="zh-CN"/>
              </w:rPr>
              <w:t>生活废水经化粪池处理达《污水排入城镇下水道水质标准》（GB/T31962-2015）表1A等级标准后</w:t>
            </w:r>
            <w:r>
              <w:rPr>
                <w:rFonts w:hint="eastAsia" w:ascii="Times New Roman" w:hAnsi="Times New Roman" w:cs="宋体"/>
                <w:color w:val="auto"/>
                <w:kern w:val="0"/>
                <w:sz w:val="24"/>
                <w:lang w:val="en-US" w:eastAsia="zh-CN"/>
              </w:rPr>
              <w:t>与生产废水合并经综合废水排放口（DW001）</w:t>
            </w:r>
            <w:r>
              <w:rPr>
                <w:rFonts w:hint="eastAsia" w:ascii="Times New Roman" w:hAnsi="Times New Roman" w:eastAsia="宋体" w:cs="宋体"/>
                <w:color w:val="auto"/>
                <w:kern w:val="0"/>
                <w:sz w:val="24"/>
                <w:lang w:val="en-US" w:eastAsia="zh-CN"/>
              </w:rPr>
              <w:t>排入易天线市政污水管网，最终进入寻甸县污水处理厂统一处理。</w:t>
            </w:r>
          </w:p>
          <w:p w14:paraId="00D15102">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rPr>
            </w:pPr>
            <w:r>
              <w:rPr>
                <w:rFonts w:hint="eastAsia" w:ascii="Times New Roman" w:hAnsi="Times New Roman" w:eastAsia="Times New Roman" w:cs="Times New Roman"/>
                <w:color w:val="auto"/>
                <w:sz w:val="24"/>
                <w:szCs w:val="24"/>
                <w:lang w:val="en-US" w:eastAsia="zh-CN"/>
              </w:rPr>
              <w:t>项目</w:t>
            </w:r>
            <w:r>
              <w:rPr>
                <w:rFonts w:hint="eastAsia" w:ascii="Times New Roman" w:hAnsi="Times New Roman" w:eastAsia="Times New Roman" w:cs="Times New Roman"/>
                <w:color w:val="auto"/>
                <w:sz w:val="24"/>
                <w:szCs w:val="24"/>
              </w:rPr>
              <w:t>水污染物总量控制指标</w:t>
            </w:r>
            <w:r>
              <w:rPr>
                <w:rFonts w:hint="eastAsia" w:ascii="Times New Roman" w:hAnsi="Times New Roman" w:eastAsia="Times New Roman" w:cs="Times New Roman"/>
                <w:color w:val="auto"/>
                <w:sz w:val="24"/>
                <w:szCs w:val="24"/>
                <w:lang w:val="en-US" w:eastAsia="zh-CN"/>
              </w:rPr>
              <w:t>可</w:t>
            </w:r>
            <w:r>
              <w:rPr>
                <w:rFonts w:hint="eastAsia" w:ascii="Times New Roman" w:hAnsi="Times New Roman" w:eastAsia="Times New Roman" w:cs="Times New Roman"/>
                <w:color w:val="auto"/>
                <w:sz w:val="24"/>
                <w:szCs w:val="24"/>
              </w:rPr>
              <w:t>纳入</w:t>
            </w:r>
            <w:r>
              <w:rPr>
                <w:rFonts w:hint="eastAsia" w:ascii="Times New Roman" w:hAnsi="Times New Roman" w:eastAsia="宋体" w:cs="宋体"/>
                <w:color w:val="auto"/>
                <w:kern w:val="0"/>
                <w:sz w:val="24"/>
                <w:lang w:val="en-US" w:eastAsia="zh-CN"/>
              </w:rPr>
              <w:t>寻甸县污水处理厂</w:t>
            </w:r>
            <w:r>
              <w:rPr>
                <w:rFonts w:hint="eastAsia" w:ascii="Times New Roman" w:hAnsi="Times New Roman" w:eastAsia="Times New Roman" w:cs="宋体"/>
                <w:color w:val="auto"/>
                <w:sz w:val="24"/>
                <w:szCs w:val="24"/>
                <w:lang w:val="en-US" w:eastAsia="zh-CN"/>
              </w:rPr>
              <w:t>总量控制指标</w:t>
            </w:r>
            <w:r>
              <w:rPr>
                <w:rFonts w:hint="eastAsia" w:ascii="Times New Roman" w:hAnsi="Times New Roman" w:eastAsia="Times New Roman" w:cs="Times New Roman"/>
                <w:color w:val="auto"/>
                <w:sz w:val="24"/>
                <w:szCs w:val="24"/>
              </w:rPr>
              <w:t>，本项目不设总量控制指标</w:t>
            </w:r>
            <w:r>
              <w:rPr>
                <w:rFonts w:hint="eastAsia" w:ascii="Times New Roman" w:hAnsi="Times New Roman" w:eastAsia="Times New Roman" w:cs="Times New Roman"/>
                <w:color w:val="auto"/>
                <w:sz w:val="24"/>
                <w:szCs w:val="24"/>
                <w:lang w:eastAsia="zh-CN"/>
              </w:rPr>
              <w:t>。</w:t>
            </w:r>
          </w:p>
          <w:p w14:paraId="3B55F8B3">
            <w:pPr>
              <w:adjustRightInd w:val="0"/>
              <w:snapToGrid w:val="0"/>
              <w:spacing w:line="360" w:lineRule="auto"/>
              <w:ind w:firstLine="480" w:firstLineChars="200"/>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Times New Roman" w:cs="宋体"/>
                <w:b w:val="0"/>
                <w:bCs/>
                <w:color w:val="auto"/>
                <w:sz w:val="24"/>
                <w:szCs w:val="24"/>
                <w:lang w:val="en-US" w:eastAsia="zh-CN"/>
              </w:rPr>
              <w:t>3、固体废弃物</w:t>
            </w:r>
          </w:p>
          <w:p w14:paraId="62123677">
            <w:pPr>
              <w:adjustRightInd w:val="0"/>
              <w:snapToGrid w:val="0"/>
              <w:spacing w:line="360" w:lineRule="auto"/>
              <w:ind w:firstLine="480" w:firstLineChars="200"/>
              <w:rPr>
                <w:rFonts w:ascii="Times New Roman" w:hAnsi="Times New Roman" w:cs="宋体"/>
                <w:color w:val="auto"/>
                <w:kern w:val="0"/>
                <w:szCs w:val="21"/>
              </w:rPr>
            </w:pPr>
            <w:r>
              <w:rPr>
                <w:rFonts w:hint="eastAsia" w:ascii="Times New Roman" w:hAnsi="Times New Roman" w:eastAsia="Times New Roman" w:cs="宋体"/>
                <w:b w:val="0"/>
                <w:bCs/>
                <w:color w:val="auto"/>
                <w:sz w:val="24"/>
                <w:szCs w:val="24"/>
                <w:lang w:val="en-US" w:eastAsia="zh-CN"/>
              </w:rPr>
              <w:t>本项目固体废物处置率 100% ，不设总量控制指标。</w:t>
            </w:r>
          </w:p>
        </w:tc>
      </w:tr>
    </w:tbl>
    <w:p w14:paraId="3715BB6E">
      <w:pPr>
        <w:pStyle w:val="2"/>
        <w:jc w:val="center"/>
        <w:rPr>
          <w:rFonts w:ascii="Times New Roman" w:hAnsi="Times New Roman"/>
          <w:color w:val="auto"/>
        </w:rPr>
      </w:pPr>
      <w:r>
        <w:rPr>
          <w:rFonts w:ascii="Times New Roman" w:hAnsi="Times New Roman"/>
          <w:snapToGrid w:val="0"/>
          <w:color w:val="auto"/>
          <w:sz w:val="36"/>
          <w:szCs w:val="36"/>
        </w:rPr>
        <w:br w:type="page"/>
      </w:r>
      <w:bookmarkStart w:id="9" w:name="_Toc19281"/>
      <w:bookmarkStart w:id="10" w:name="_Toc31115"/>
      <w:r>
        <w:rPr>
          <w:rFonts w:hint="eastAsia" w:ascii="Times New Roman" w:hAnsi="Times New Roman"/>
          <w:color w:val="auto"/>
        </w:rPr>
        <w:t>四、主要环境影响和保护措施</w:t>
      </w:r>
      <w:bookmarkEnd w:id="9"/>
      <w:bookmarkEnd w:id="10"/>
    </w:p>
    <w:tbl>
      <w:tblPr>
        <w:tblStyle w:val="28"/>
        <w:tblW w:w="90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453"/>
      </w:tblGrid>
      <w:tr w14:paraId="5AA11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tcMar>
              <w:left w:w="28" w:type="dxa"/>
              <w:right w:w="28" w:type="dxa"/>
            </w:tcMar>
            <w:vAlign w:val="center"/>
          </w:tcPr>
          <w:p w14:paraId="2985303E">
            <w:pPr>
              <w:pStyle w:val="26"/>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施工</w:t>
            </w:r>
          </w:p>
          <w:p w14:paraId="775ED4EA">
            <w:pPr>
              <w:pStyle w:val="26"/>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期环</w:t>
            </w:r>
          </w:p>
          <w:p w14:paraId="5B2A1F5A">
            <w:pPr>
              <w:pStyle w:val="26"/>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境保</w:t>
            </w:r>
          </w:p>
          <w:p w14:paraId="119312DA">
            <w:pPr>
              <w:pStyle w:val="26"/>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护措</w:t>
            </w:r>
          </w:p>
          <w:p w14:paraId="31BCD6A5">
            <w:pPr>
              <w:pStyle w:val="26"/>
              <w:adjustRightInd w:val="0"/>
              <w:snapToGrid w:val="0"/>
              <w:spacing w:before="0" w:beforeAutospacing="0" w:after="0" w:afterAutospacing="0"/>
              <w:jc w:val="center"/>
              <w:rPr>
                <w:rFonts w:ascii="Times New Roman" w:hAnsi="Times New Roman"/>
                <w:bCs/>
                <w:color w:val="auto"/>
                <w:sz w:val="24"/>
                <w:szCs w:val="24"/>
              </w:rPr>
            </w:pPr>
            <w:r>
              <w:rPr>
                <w:rFonts w:ascii="Times New Roman" w:hAnsi="Times New Roman"/>
                <w:color w:val="auto"/>
                <w:sz w:val="24"/>
                <w:szCs w:val="24"/>
              </w:rPr>
              <w:t>施</w:t>
            </w:r>
          </w:p>
        </w:tc>
        <w:tc>
          <w:tcPr>
            <w:tcW w:w="8453" w:type="dxa"/>
            <w:vAlign w:val="center"/>
          </w:tcPr>
          <w:p w14:paraId="559C5678">
            <w:pPr>
              <w:pStyle w:val="98"/>
              <w:spacing w:before="179" w:line="356" w:lineRule="auto"/>
              <w:ind w:left="107" w:right="102" w:firstLine="481"/>
              <w:jc w:val="both"/>
              <w:rPr>
                <w:rFonts w:hint="eastAsia" w:ascii="Times New Roman" w:hAnsi="Times New Roman" w:eastAsia="Times New Roman" w:cs="宋体"/>
                <w:b w:val="0"/>
                <w:bCs/>
                <w:color w:val="auto"/>
                <w:kern w:val="2"/>
                <w:sz w:val="24"/>
                <w:szCs w:val="24"/>
                <w:lang w:val="en-US" w:eastAsia="zh-CN" w:bidi="ar-SA"/>
              </w:rPr>
            </w:pPr>
            <w:r>
              <w:rPr>
                <w:rFonts w:hint="eastAsia" w:ascii="Times New Roman" w:hAnsi="Times New Roman" w:eastAsia="宋体"/>
                <w:bCs/>
                <w:color w:val="auto"/>
                <w:sz w:val="24"/>
                <w:lang w:val="en-US" w:eastAsia="zh-CN"/>
              </w:rPr>
              <w:t>项目租用昆明市寻甸县仁德街道办事处易天线小功山寻甸仁德子超养殖场内已建厂房作为项目生产使用，根据</w:t>
            </w:r>
            <w:r>
              <w:rPr>
                <w:rFonts w:hint="eastAsia" w:ascii="Times New Roman" w:hAnsi="Times New Roman" w:eastAsia="Times New Roman" w:cs="宋体"/>
                <w:b w:val="0"/>
                <w:bCs/>
                <w:color w:val="auto"/>
                <w:sz w:val="24"/>
                <w:szCs w:val="24"/>
                <w:lang w:val="en-US" w:eastAsia="zh-CN"/>
              </w:rPr>
              <w:t>现场踏勘，厂房内还遗留原有养殖厂的混凝土隔档、废弃饲料包装袋等。</w:t>
            </w:r>
            <w:r>
              <w:rPr>
                <w:rFonts w:hint="eastAsia" w:ascii="Times New Roman" w:hAnsi="Times New Roman" w:eastAsia="Times New Roman" w:cs="宋体"/>
                <w:b w:val="0"/>
                <w:bCs/>
                <w:color w:val="auto"/>
                <w:kern w:val="2"/>
                <w:sz w:val="24"/>
                <w:szCs w:val="24"/>
                <w:lang w:val="en-US" w:eastAsia="zh-CN" w:bidi="ar-SA"/>
              </w:rPr>
              <w:t>本项目施工阶段主要为原隔档的拆除、废弃饲料包装袋等的清除、生产设备安装及环保设施的建设。施工期产生的污染物主要为施工扬尘、施工机械噪声、施工固废、施工人员生活垃圾及生活废水。施工期环境影响如下：</w:t>
            </w:r>
          </w:p>
          <w:p w14:paraId="176A9AFC">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w:t>
            </w:r>
            <w:r>
              <w:rPr>
                <w:rFonts w:hint="eastAsia" w:ascii="Times New Roman" w:hAnsi="Times New Roman" w:eastAsia="宋体" w:cs="Times New Roman"/>
                <w:b/>
                <w:bCs w:val="0"/>
                <w:color w:val="auto"/>
                <w:kern w:val="2"/>
                <w:sz w:val="24"/>
                <w:szCs w:val="24"/>
                <w:highlight w:val="none"/>
                <w:lang w:val="en-US" w:eastAsia="zh-CN" w:bidi="ar-SA"/>
              </w:rPr>
              <w:t>废气</w:t>
            </w:r>
          </w:p>
          <w:p w14:paraId="4FBD3569">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w:t>
            </w:r>
            <w:r>
              <w:rPr>
                <w:rFonts w:hint="eastAsia" w:ascii="Times New Roman" w:hAnsi="Times New Roman" w:eastAsia="宋体" w:cs="Times New Roman"/>
                <w:color w:val="auto"/>
                <w:kern w:val="0"/>
                <w:sz w:val="24"/>
                <w:szCs w:val="24"/>
                <w:highlight w:val="none"/>
                <w:lang w:val="en-US" w:eastAsia="zh-CN" w:bidi="ar"/>
              </w:rPr>
              <w:t>废气</w:t>
            </w:r>
            <w:r>
              <w:rPr>
                <w:rFonts w:hint="default" w:ascii="Times New Roman" w:hAnsi="Times New Roman" w:eastAsia="宋体" w:cs="Times New Roman"/>
                <w:color w:val="auto"/>
                <w:kern w:val="0"/>
                <w:sz w:val="24"/>
                <w:szCs w:val="24"/>
                <w:highlight w:val="none"/>
                <w:lang w:val="en-US" w:eastAsia="zh-CN" w:bidi="ar"/>
              </w:rPr>
              <w:t>主要来自</w:t>
            </w:r>
            <w:r>
              <w:rPr>
                <w:rFonts w:hint="eastAsia" w:ascii="Times New Roman" w:hAnsi="Times New Roman" w:eastAsia="宋体" w:cs="Times New Roman"/>
                <w:color w:val="auto"/>
                <w:kern w:val="0"/>
                <w:sz w:val="24"/>
                <w:szCs w:val="24"/>
                <w:highlight w:val="none"/>
                <w:lang w:val="en-US" w:eastAsia="zh-CN" w:bidi="ar"/>
              </w:rPr>
              <w:t>原养殖厂混凝土隔档拆除、</w:t>
            </w:r>
            <w:r>
              <w:rPr>
                <w:rFonts w:hint="default" w:ascii="Times New Roman" w:hAnsi="Times New Roman" w:eastAsia="宋体" w:cs="Times New Roman"/>
                <w:color w:val="auto"/>
                <w:kern w:val="0"/>
                <w:sz w:val="24"/>
                <w:szCs w:val="24"/>
                <w:highlight w:val="none"/>
                <w:lang w:val="en-US" w:eastAsia="zh-CN" w:bidi="ar"/>
              </w:rPr>
              <w:t>施工建筑材料装卸、运输，施工垃圾堆放，施工车辆的扬尘</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施工机械废气等。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14:paraId="6E533557">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现有厂房已建设完成，对厂房内</w:t>
            </w:r>
            <w:r>
              <w:rPr>
                <w:rFonts w:hint="eastAsia" w:ascii="Times New Roman" w:hAnsi="Times New Roman" w:eastAsia="宋体" w:cs="Times New Roman"/>
                <w:color w:val="auto"/>
                <w:kern w:val="0"/>
                <w:sz w:val="24"/>
                <w:szCs w:val="24"/>
                <w:highlight w:val="none"/>
                <w:lang w:val="en-US" w:eastAsia="zh-CN" w:bidi="ar"/>
              </w:rPr>
              <w:t>混凝土隔档拆除时需对</w:t>
            </w:r>
            <w:r>
              <w:rPr>
                <w:rFonts w:hint="default" w:ascii="Times New Roman" w:hAnsi="Times New Roman" w:eastAsia="宋体" w:cs="Times New Roman"/>
                <w:color w:val="auto"/>
                <w:kern w:val="2"/>
                <w:sz w:val="24"/>
                <w:szCs w:val="24"/>
                <w:highlight w:val="none"/>
                <w:lang w:val="en-US" w:eastAsia="zh-CN" w:bidi="ar-SA"/>
              </w:rPr>
              <w:t>施工场地定期洒水，有效防止扬尘</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大风天及干燥天气要适当增加洒水次数；</w:t>
            </w:r>
          </w:p>
          <w:p w14:paraId="5A32672D">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②施工过程中使用的水泥和其他细粒等散装材料，统一堆放，且采用篷布遮盖，对洒落的水泥等粉尘及时清扫；</w:t>
            </w:r>
          </w:p>
          <w:p w14:paraId="051D40B0">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③对运输粉料</w:t>
            </w:r>
            <w:r>
              <w:rPr>
                <w:rFonts w:hint="eastAsia" w:ascii="Times New Roman" w:hAnsi="Times New Roman" w:eastAsia="宋体" w:cs="Times New Roman"/>
                <w:color w:val="auto"/>
                <w:kern w:val="2"/>
                <w:sz w:val="24"/>
                <w:szCs w:val="24"/>
                <w:highlight w:val="none"/>
                <w:lang w:val="en-US" w:eastAsia="zh-CN" w:bidi="ar-SA"/>
              </w:rPr>
              <w:t>、建筑垃圾</w:t>
            </w:r>
            <w:r>
              <w:rPr>
                <w:rFonts w:hint="default" w:ascii="Times New Roman" w:hAnsi="Times New Roman" w:eastAsia="宋体" w:cs="Times New Roman"/>
                <w:color w:val="auto"/>
                <w:kern w:val="2"/>
                <w:sz w:val="24"/>
                <w:szCs w:val="24"/>
                <w:highlight w:val="none"/>
                <w:lang w:val="en-US" w:eastAsia="zh-CN" w:bidi="ar-SA"/>
              </w:rPr>
              <w:t>的车辆覆盖篷布，建筑材料轻装轻卸；</w:t>
            </w:r>
          </w:p>
          <w:p w14:paraId="328CE222">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④施工过程中产生的建筑垃圾定点堆放，且采用篷布遮盖</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及时清运垃圾，避免大风产生扬尘</w:t>
            </w:r>
            <w:r>
              <w:rPr>
                <w:rFonts w:hint="eastAsia" w:ascii="Times New Roman" w:hAnsi="Times New Roman" w:eastAsia="宋体" w:cs="Times New Roman"/>
                <w:color w:val="auto"/>
                <w:kern w:val="2"/>
                <w:sz w:val="24"/>
                <w:szCs w:val="24"/>
                <w:highlight w:val="none"/>
                <w:lang w:val="en-US" w:eastAsia="zh-CN" w:bidi="ar-SA"/>
              </w:rPr>
              <w:t>；</w:t>
            </w:r>
          </w:p>
          <w:p w14:paraId="7F954CD5">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⑤在施工过程中采用环保型、节能型机械设备进行施工，经常对机械设备进行检修，使设备处于良好的运行状态；合理规划运输路线，加强设备维护，使设备处于良好的运行状态；</w:t>
            </w:r>
          </w:p>
          <w:p w14:paraId="0BA053B8">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施工期产生的粉尘污染是短期的，随着施工活动的结束，施工扬尘对环境空气的影响也就随之结束，</w:t>
            </w:r>
            <w:r>
              <w:rPr>
                <w:rFonts w:hint="default" w:ascii="Times New Roman" w:hAnsi="Times New Roman" w:eastAsia="宋体" w:cs="Times New Roman"/>
                <w:color w:val="auto"/>
                <w:sz w:val="24"/>
                <w:szCs w:val="24"/>
                <w:highlight w:val="none"/>
                <w:lang w:val="en-US" w:eastAsia="zh-CN"/>
              </w:rPr>
              <w:t>在采取以上措施，并做好</w:t>
            </w:r>
            <w:r>
              <w:rPr>
                <w:rFonts w:hint="default" w:ascii="Times New Roman" w:hAnsi="Times New Roman" w:eastAsia="宋体" w:cs="Times New Roman"/>
                <w:color w:val="auto"/>
                <w:sz w:val="24"/>
                <w:szCs w:val="24"/>
                <w:highlight w:val="none"/>
              </w:rPr>
              <w:t>施工过程</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rPr>
              <w:t>时间和</w:t>
            </w:r>
            <w:r>
              <w:rPr>
                <w:rFonts w:hint="default" w:ascii="Times New Roman" w:hAnsi="Times New Roman" w:eastAsia="宋体" w:cs="Times New Roman"/>
                <w:color w:val="auto"/>
                <w:sz w:val="24"/>
                <w:szCs w:val="24"/>
                <w:highlight w:val="none"/>
                <w:lang w:val="en-US" w:eastAsia="zh-CN"/>
              </w:rPr>
              <w:t>人员</w:t>
            </w:r>
            <w:r>
              <w:rPr>
                <w:rFonts w:hint="default" w:ascii="Times New Roman" w:hAnsi="Times New Roman" w:eastAsia="宋体" w:cs="Times New Roman"/>
                <w:color w:val="auto"/>
                <w:sz w:val="24"/>
                <w:szCs w:val="24"/>
                <w:highlight w:val="none"/>
              </w:rPr>
              <w:t>管理后，</w:t>
            </w:r>
            <w:r>
              <w:rPr>
                <w:rFonts w:hint="default" w:ascii="Times New Roman" w:hAnsi="Times New Roman" w:eastAsia="宋体" w:cs="Times New Roman"/>
                <w:color w:val="auto"/>
                <w:sz w:val="24"/>
                <w:szCs w:val="24"/>
                <w:highlight w:val="none"/>
                <w:lang w:val="en-US" w:eastAsia="zh-CN"/>
              </w:rPr>
              <w:t>施工扬尘、施工机械废气</w:t>
            </w:r>
            <w:r>
              <w:rPr>
                <w:rFonts w:hint="default" w:ascii="Times New Roman" w:hAnsi="Times New Roman" w:eastAsia="宋体" w:cs="Times New Roman"/>
                <w:color w:val="auto"/>
                <w:sz w:val="24"/>
                <w:szCs w:val="24"/>
                <w:highlight w:val="none"/>
              </w:rPr>
              <w:t>对项目区大气环境影响</w:t>
            </w:r>
            <w:r>
              <w:rPr>
                <w:rFonts w:hint="eastAsia" w:ascii="Times New Roman" w:hAnsi="Times New Roman" w:eastAsia="宋体" w:cs="Times New Roman"/>
                <w:color w:val="auto"/>
                <w:sz w:val="24"/>
                <w:szCs w:val="24"/>
                <w:highlight w:val="none"/>
                <w:lang w:val="en-US" w:eastAsia="zh-CN"/>
              </w:rPr>
              <w:t>是可接受的</w:t>
            </w:r>
            <w:r>
              <w:rPr>
                <w:rFonts w:hint="default" w:ascii="Times New Roman" w:hAnsi="Times New Roman" w:eastAsia="宋体" w:cs="Times New Roman"/>
                <w:color w:val="auto"/>
                <w:sz w:val="24"/>
                <w:szCs w:val="24"/>
                <w:highlight w:val="none"/>
              </w:rPr>
              <w:t>。</w:t>
            </w:r>
          </w:p>
          <w:p w14:paraId="128F0ECB">
            <w:pPr>
              <w:adjustRightInd w:val="0"/>
              <w:snapToGrid w:val="0"/>
              <w:spacing w:line="360" w:lineRule="auto"/>
              <w:ind w:firstLine="480" w:firstLineChars="200"/>
              <w:rPr>
                <w:rFonts w:hint="default" w:ascii="Times New Roman" w:hAnsi="Times New Roman" w:eastAsia="Times New Roman" w:cs="宋体"/>
                <w:b/>
                <w:bCs w:val="0"/>
                <w:color w:val="auto"/>
                <w:sz w:val="24"/>
                <w:szCs w:val="24"/>
                <w:lang w:val="en-US" w:eastAsia="zh-CN"/>
              </w:rPr>
            </w:pPr>
            <w:r>
              <w:rPr>
                <w:rFonts w:hint="eastAsia" w:ascii="Times New Roman" w:hAnsi="Times New Roman" w:eastAsia="Times New Roman" w:cs="宋体"/>
                <w:b/>
                <w:bCs w:val="0"/>
                <w:color w:val="auto"/>
                <w:sz w:val="24"/>
                <w:szCs w:val="24"/>
                <w:lang w:val="en-US" w:eastAsia="zh-CN"/>
              </w:rPr>
              <w:t>（2）施工废水</w:t>
            </w:r>
          </w:p>
          <w:p w14:paraId="755ECAEC">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施工期产生的废水主要是施工废水</w:t>
            </w:r>
            <w:r>
              <w:rPr>
                <w:rFonts w:hint="default" w:ascii="Times New Roman" w:hAnsi="Times New Roman" w:eastAsia="宋体" w:cs="Times New Roman"/>
                <w:color w:val="auto"/>
                <w:sz w:val="24"/>
                <w:szCs w:val="24"/>
                <w:highlight w:val="none"/>
                <w:lang w:val="en-US" w:eastAsia="zh-CN"/>
              </w:rPr>
              <w:t>及施工人员</w:t>
            </w:r>
            <w:r>
              <w:rPr>
                <w:rFonts w:hint="default" w:ascii="Times New Roman" w:hAnsi="Times New Roman" w:eastAsia="宋体" w:cs="Times New Roman"/>
                <w:color w:val="auto"/>
                <w:sz w:val="24"/>
                <w:szCs w:val="24"/>
                <w:highlight w:val="none"/>
                <w:lang w:val="zh-CN" w:eastAsia="zh-CN"/>
              </w:rPr>
              <w:t>生活污水。</w:t>
            </w:r>
          </w:p>
          <w:p w14:paraId="2F96A28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①施工废水</w:t>
            </w:r>
          </w:p>
          <w:p w14:paraId="25802AEF">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本项目施工期由于混凝土用量较小，施工期间通过人工制备，不使用混凝 土搅拌机。施工设备冲洗过程将产生少量废水，施工废水经过</w:t>
            </w:r>
            <w:r>
              <w:rPr>
                <w:rFonts w:hint="eastAsia" w:ascii="Times New Roman" w:hAnsi="Times New Roman" w:eastAsia="宋体" w:cs="Times New Roman"/>
                <w:color w:val="auto"/>
                <w:kern w:val="2"/>
                <w:sz w:val="24"/>
                <w:szCs w:val="24"/>
                <w:highlight w:val="none"/>
                <w:lang w:val="en-US" w:eastAsia="zh-CN" w:bidi="ar-SA"/>
              </w:rPr>
              <w:t>临时沉淀池（2m³）</w:t>
            </w:r>
            <w:r>
              <w:rPr>
                <w:rFonts w:hint="default" w:ascii="Times New Roman" w:hAnsi="Times New Roman" w:eastAsia="宋体" w:cs="Times New Roman"/>
                <w:color w:val="auto"/>
                <w:kern w:val="2"/>
                <w:sz w:val="24"/>
                <w:szCs w:val="24"/>
                <w:highlight w:val="none"/>
                <w:lang w:val="zh-CN" w:eastAsia="zh-CN" w:bidi="ar-SA"/>
              </w:rPr>
              <w:t>收集沉淀后回用于施工场地降尘洒水，对周围环境影响较小</w:t>
            </w:r>
            <w:r>
              <w:rPr>
                <w:rFonts w:hint="eastAsia" w:ascii="Times New Roman" w:hAnsi="Times New Roman" w:eastAsia="宋体" w:cs="Times New Roman"/>
                <w:color w:val="auto"/>
                <w:kern w:val="2"/>
                <w:sz w:val="24"/>
                <w:szCs w:val="24"/>
                <w:highlight w:val="none"/>
                <w:lang w:val="zh-CN" w:eastAsia="zh-CN" w:bidi="ar-SA"/>
              </w:rPr>
              <w:t>。</w:t>
            </w:r>
          </w:p>
          <w:p w14:paraId="05A565F8">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②施工人员生活污水</w:t>
            </w:r>
          </w:p>
          <w:p w14:paraId="16F5877A">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项目施工期不设施工营地，施工人员均不在项目区食宿，</w:t>
            </w:r>
            <w:r>
              <w:rPr>
                <w:rFonts w:hint="default" w:ascii="Times New Roman" w:hAnsi="Times New Roman" w:eastAsia="宋体" w:cs="Times New Roman"/>
                <w:color w:val="auto"/>
                <w:sz w:val="24"/>
                <w:szCs w:val="24"/>
                <w:highlight w:val="none"/>
                <w:lang w:val="zh-CN"/>
              </w:rPr>
              <w:t>施工人员的餐饮住宿均依托周边配套服</w:t>
            </w:r>
            <w:r>
              <w:rPr>
                <w:rFonts w:hint="default" w:ascii="Times New Roman" w:hAnsi="Times New Roman" w:eastAsia="宋体" w:cs="Times New Roman"/>
                <w:caps w:val="0"/>
                <w:snapToGrid w:val="0"/>
                <w:color w:val="auto"/>
                <w:spacing w:val="0"/>
                <w:w w:val="100"/>
                <w:position w:val="0"/>
                <w:sz w:val="24"/>
                <w:highlight w:val="none"/>
                <w:lang w:val="zh-CN" w:eastAsia="zh-CN"/>
              </w:rPr>
              <w:t>务设施</w:t>
            </w:r>
            <w:r>
              <w:rPr>
                <w:rFonts w:hint="eastAsia" w:ascii="Times New Roman" w:hAnsi="Times New Roman" w:eastAsia="宋体" w:cs="Times New Roman"/>
                <w:caps w:val="0"/>
                <w:snapToGrid w:val="0"/>
                <w:color w:val="auto"/>
                <w:spacing w:val="0"/>
                <w:w w:val="100"/>
                <w:position w:val="0"/>
                <w:sz w:val="24"/>
                <w:highlight w:val="none"/>
                <w:lang w:val="zh-CN" w:eastAsia="zh-CN"/>
              </w:rPr>
              <w:t>，</w:t>
            </w:r>
            <w:r>
              <w:rPr>
                <w:rFonts w:hint="default" w:ascii="Times New Roman" w:hAnsi="Times New Roman" w:eastAsia="宋体" w:cs="Times New Roman"/>
                <w:caps w:val="0"/>
                <w:snapToGrid w:val="0"/>
                <w:color w:val="auto"/>
                <w:spacing w:val="0"/>
                <w:w w:val="100"/>
                <w:position w:val="0"/>
                <w:sz w:val="24"/>
                <w:highlight w:val="none"/>
                <w:lang w:val="zh-CN" w:eastAsia="zh-CN"/>
              </w:rPr>
              <w:t>仅产生少量洗手清洁废水</w:t>
            </w:r>
            <w:r>
              <w:rPr>
                <w:rFonts w:hint="eastAsia" w:ascii="Times New Roman" w:hAnsi="Times New Roman" w:eastAsia="宋体" w:cs="Times New Roman"/>
                <w:caps w:val="0"/>
                <w:snapToGrid w:val="0"/>
                <w:color w:val="auto"/>
                <w:spacing w:val="0"/>
                <w:w w:val="100"/>
                <w:position w:val="0"/>
                <w:sz w:val="24"/>
                <w:highlight w:val="none"/>
                <w:lang w:val="zh-CN" w:eastAsia="zh-CN"/>
              </w:rPr>
              <w:t>，</w:t>
            </w:r>
            <w:r>
              <w:rPr>
                <w:rFonts w:hint="eastAsia" w:ascii="Times New Roman" w:hAnsi="Times New Roman" w:eastAsia="宋体" w:cs="Times New Roman"/>
                <w:caps w:val="0"/>
                <w:snapToGrid w:val="0"/>
                <w:color w:val="auto"/>
                <w:spacing w:val="0"/>
                <w:w w:val="100"/>
                <w:position w:val="0"/>
                <w:sz w:val="24"/>
                <w:highlight w:val="none"/>
                <w:lang w:val="en-US" w:eastAsia="zh-CN"/>
              </w:rPr>
              <w:t>收集桶收集后全部用于施工场地洒水降尘，不外排。</w:t>
            </w:r>
          </w:p>
          <w:p w14:paraId="5F142A3C">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施工期废水经沉淀处理后回用于洒水降尘，不外排。在采取以上措施后，对地表水环境影响不大，是可以接受的。</w:t>
            </w:r>
          </w:p>
          <w:p w14:paraId="2F631AB1">
            <w:pPr>
              <w:pStyle w:val="11"/>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firstLine="482" w:firstLineChars="200"/>
              <w:textAlignment w:val="auto"/>
              <w:rPr>
                <w:rFonts w:hint="eastAsia" w:ascii="Times New Roman" w:hAnsi="Times New Roman" w:eastAsia="宋体" w:cs="Times New Roman"/>
                <w:b/>
                <w:bCs/>
                <w:caps w:val="0"/>
                <w:snapToGrid w:val="0"/>
                <w:color w:val="auto"/>
                <w:spacing w:val="0"/>
                <w:w w:val="100"/>
                <w:position w:val="0"/>
                <w:sz w:val="24"/>
                <w:highlight w:val="none"/>
                <w:lang w:val="en-US" w:eastAsia="zh-CN"/>
              </w:rPr>
            </w:pPr>
            <w:r>
              <w:rPr>
                <w:rFonts w:hint="eastAsia" w:ascii="Times New Roman" w:hAnsi="Times New Roman" w:eastAsia="宋体" w:cs="Times New Roman"/>
                <w:b/>
                <w:bCs/>
                <w:caps w:val="0"/>
                <w:snapToGrid w:val="0"/>
                <w:color w:val="auto"/>
                <w:spacing w:val="0"/>
                <w:w w:val="100"/>
                <w:position w:val="0"/>
                <w:sz w:val="24"/>
                <w:highlight w:val="none"/>
                <w:lang w:val="en-US" w:eastAsia="zh-CN"/>
              </w:rPr>
              <w:t>施工噪声</w:t>
            </w:r>
          </w:p>
          <w:p w14:paraId="5BA70A4F">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施工期噪声主要来源于各类施工机械噪声和运输车辆噪声，施工噪声具有阶段性、临时性和不固定性，不同的施工设备产生的噪声不同。在多台机械设备同时作业时，各台设备产生的噪声会产生叠加。为减缓施工噪声的影响，本环评提出如下措施：</w:t>
            </w:r>
          </w:p>
          <w:p w14:paraId="14DF1512">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1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①</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eastAsia="zh-CN"/>
              </w:rPr>
              <w:t>采用低噪声设备，并对高噪声设备设置减震垫；</w:t>
            </w:r>
          </w:p>
          <w:p w14:paraId="0F184D99">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2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②</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val="en-US" w:eastAsia="zh-CN"/>
              </w:rPr>
              <w:t>禁止夜间施工，并</w:t>
            </w:r>
            <w:r>
              <w:rPr>
                <w:rFonts w:hint="default" w:ascii="Times New Roman" w:hAnsi="Times New Roman" w:eastAsia="宋体" w:cs="Times New Roman"/>
                <w:b w:val="0"/>
                <w:bCs w:val="0"/>
                <w:color w:val="auto"/>
                <w:sz w:val="24"/>
                <w:szCs w:val="24"/>
                <w:highlight w:val="none"/>
                <w:lang w:eastAsia="zh-CN"/>
              </w:rPr>
              <w:t>合理布置施工现场，不在同一地点安排大量的高噪声设备，避免造成局部声级过高；</w:t>
            </w:r>
          </w:p>
          <w:p w14:paraId="7DB1BD38">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3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③</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eastAsia="zh-CN"/>
              </w:rPr>
              <w:t>对动力机械设备定期进行维修和养护，避免因松动部件振动或消声器损坏而加大设备工作时的声级。</w:t>
            </w:r>
          </w:p>
          <w:p w14:paraId="1CE83EAE">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④</w:t>
            </w:r>
            <w:r>
              <w:rPr>
                <w:rFonts w:hint="default" w:ascii="Times New Roman" w:hAnsi="Times New Roman" w:eastAsia="宋体" w:cs="Times New Roman"/>
                <w:b w:val="0"/>
                <w:bCs w:val="0"/>
                <w:color w:val="auto"/>
                <w:sz w:val="24"/>
                <w:szCs w:val="24"/>
                <w:highlight w:val="none"/>
                <w:lang w:val="en-US" w:eastAsia="zh-CN"/>
              </w:rPr>
              <w:t>合理安排施工作业面和施工时间，加强对施工人员的管理，做到文明施工，避免人为因素造成较大的噪声影响。</w:t>
            </w:r>
          </w:p>
          <w:p w14:paraId="6A77BED8">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在采取以上措施后，项目施工期的噪声污染可得到有效控制，并随着施工期的结束而消失，</w:t>
            </w:r>
            <w:r>
              <w:rPr>
                <w:rFonts w:hint="default" w:ascii="Times New Roman" w:hAnsi="Times New Roman" w:eastAsia="宋体" w:cs="Times New Roman"/>
                <w:b w:val="0"/>
                <w:bCs w:val="0"/>
                <w:color w:val="auto"/>
                <w:sz w:val="24"/>
                <w:szCs w:val="24"/>
                <w:highlight w:val="none"/>
                <w:lang w:val="en-US" w:eastAsia="zh-CN"/>
              </w:rPr>
              <w:t>且项目周围50m范围内无声环境敏感点</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eastAsia="zh-CN"/>
              </w:rPr>
              <w:t>施工噪声对周围环境的影响较小，</w:t>
            </w:r>
            <w:r>
              <w:rPr>
                <w:rFonts w:hint="default" w:ascii="Times New Roman" w:hAnsi="Times New Roman" w:eastAsia="宋体" w:cs="Times New Roman"/>
                <w:b w:val="0"/>
                <w:bCs w:val="0"/>
                <w:color w:val="auto"/>
                <w:sz w:val="24"/>
                <w:szCs w:val="24"/>
                <w:highlight w:val="none"/>
                <w:lang w:val="en-US" w:eastAsia="zh-CN"/>
              </w:rPr>
              <w:t>是可以接受的</w:t>
            </w:r>
            <w:r>
              <w:rPr>
                <w:rFonts w:hint="default" w:ascii="Times New Roman" w:hAnsi="Times New Roman" w:eastAsia="宋体" w:cs="Times New Roman"/>
                <w:b w:val="0"/>
                <w:bCs w:val="0"/>
                <w:color w:val="auto"/>
                <w:sz w:val="24"/>
                <w:szCs w:val="24"/>
                <w:highlight w:val="none"/>
                <w:lang w:eastAsia="zh-CN"/>
              </w:rPr>
              <w:t>。</w:t>
            </w:r>
          </w:p>
          <w:p w14:paraId="72471CD0">
            <w:pPr>
              <w:pStyle w:val="15"/>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施工固体废物</w:t>
            </w:r>
          </w:p>
          <w:p w14:paraId="1749A609">
            <w:pPr>
              <w:spacing w:line="360" w:lineRule="auto"/>
              <w:ind w:firstLine="48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项目施工期固废主要为土石方、建筑垃圾和</w:t>
            </w:r>
            <w:r>
              <w:rPr>
                <w:rFonts w:hint="eastAsia" w:ascii="Times New Roman" w:hAnsi="Times New Roman" w:cs="Times New Roman"/>
                <w:b w:val="0"/>
                <w:bCs w:val="0"/>
                <w:color w:val="auto"/>
                <w:kern w:val="0"/>
                <w:sz w:val="24"/>
                <w:szCs w:val="24"/>
                <w:highlight w:val="none"/>
                <w:lang w:val="en-US" w:eastAsia="zh-CN" w:bidi="ar-SA"/>
              </w:rPr>
              <w:t>遗留废弃饲料包装袋等、</w:t>
            </w:r>
            <w:r>
              <w:rPr>
                <w:rFonts w:hint="default" w:ascii="Times New Roman" w:hAnsi="Times New Roman" w:eastAsia="宋体" w:cs="Times New Roman"/>
                <w:b w:val="0"/>
                <w:bCs w:val="0"/>
                <w:color w:val="auto"/>
                <w:kern w:val="0"/>
                <w:sz w:val="24"/>
                <w:szCs w:val="24"/>
                <w:highlight w:val="none"/>
                <w:lang w:val="en-US" w:eastAsia="zh-CN" w:bidi="ar-SA"/>
              </w:rPr>
              <w:t>施工人员产生的生活垃圾。项目施工期土石方挖填平衡；建筑垃圾</w:t>
            </w:r>
            <w:r>
              <w:rPr>
                <w:rFonts w:hint="eastAsia" w:ascii="Times New Roman" w:hAnsi="Times New Roman" w:cs="Times New Roman"/>
                <w:b w:val="0"/>
                <w:bCs w:val="0"/>
                <w:color w:val="auto"/>
                <w:kern w:val="0"/>
                <w:sz w:val="24"/>
                <w:szCs w:val="24"/>
                <w:highlight w:val="none"/>
                <w:lang w:val="en-US" w:eastAsia="zh-CN" w:bidi="ar-SA"/>
              </w:rPr>
              <w:t>中</w:t>
            </w:r>
            <w:r>
              <w:rPr>
                <w:rFonts w:hint="default" w:ascii="Times New Roman" w:hAnsi="Times New Roman" w:eastAsia="宋体" w:cs="Times New Roman"/>
                <w:b w:val="0"/>
                <w:bCs w:val="0"/>
                <w:color w:val="auto"/>
                <w:kern w:val="0"/>
                <w:sz w:val="24"/>
                <w:szCs w:val="24"/>
                <w:highlight w:val="none"/>
                <w:lang w:val="en-US" w:eastAsia="zh-CN" w:bidi="ar-SA"/>
              </w:rPr>
              <w:t>可再生利用部分回收出售给有资质的废品收购站，不可回收部分由施工方统一清运至住建部门指定堆放点；</w:t>
            </w:r>
            <w:r>
              <w:rPr>
                <w:rFonts w:hint="eastAsia" w:ascii="Times New Roman" w:hAnsi="Times New Roman"/>
                <w:color w:val="auto"/>
                <w:kern w:val="0"/>
                <w:sz w:val="24"/>
                <w:lang w:val="en-US" w:eastAsia="zh-CN"/>
              </w:rPr>
              <w:t>废弃饲料包装袋等可回收利用的外售废品收购站，不可利用的委托当地环卫部门清运处置。</w:t>
            </w:r>
            <w:r>
              <w:rPr>
                <w:rFonts w:hint="default" w:ascii="Times New Roman" w:hAnsi="Times New Roman" w:eastAsia="宋体" w:cs="Times New Roman"/>
                <w:b w:val="0"/>
                <w:bCs w:val="0"/>
                <w:color w:val="auto"/>
                <w:kern w:val="0"/>
                <w:sz w:val="24"/>
                <w:szCs w:val="24"/>
                <w:highlight w:val="none"/>
                <w:lang w:val="en-US" w:eastAsia="zh-CN" w:bidi="ar-SA"/>
              </w:rPr>
              <w:t>生活垃圾经垃圾袋收集后，定期清运至最近的生活垃圾收集点，委托环卫部门清运处置。</w:t>
            </w:r>
          </w:p>
          <w:p w14:paraId="38E936B4">
            <w:pPr>
              <w:spacing w:line="360" w:lineRule="auto"/>
              <w:ind w:firstLine="480"/>
              <w:rPr>
                <w:rFonts w:hint="eastAsia" w:ascii="Times New Roman" w:hAnsi="Times New Roman" w:eastAsia="Times New Roman" w:cs="宋体"/>
                <w:color w:val="auto"/>
                <w:sz w:val="24"/>
                <w:szCs w:val="24"/>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在采取以上措施后，项目施工期固废得到100%处置，对环境影响较小，可接受。</w:t>
            </w:r>
          </w:p>
        </w:tc>
      </w:tr>
      <w:tr w14:paraId="05158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4" w:type="dxa"/>
            <w:tcMar>
              <w:left w:w="28" w:type="dxa"/>
              <w:right w:w="28" w:type="dxa"/>
            </w:tcMar>
            <w:vAlign w:val="center"/>
          </w:tcPr>
          <w:p w14:paraId="75D940E8">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运营</w:t>
            </w:r>
          </w:p>
          <w:p w14:paraId="3AB12BEB">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期环</w:t>
            </w:r>
          </w:p>
          <w:p w14:paraId="0CF56F2C">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境影</w:t>
            </w:r>
          </w:p>
          <w:p w14:paraId="1DC1709B">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响和</w:t>
            </w:r>
          </w:p>
          <w:p w14:paraId="6FF93380">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保护</w:t>
            </w:r>
          </w:p>
          <w:p w14:paraId="178E70F0">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措施</w:t>
            </w:r>
          </w:p>
        </w:tc>
        <w:tc>
          <w:tcPr>
            <w:tcW w:w="8453" w:type="dxa"/>
            <w:vAlign w:val="center"/>
          </w:tcPr>
          <w:p w14:paraId="5EE4AA43">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ascii="Times New Roman" w:hAnsi="Times New Roman"/>
                <w:b/>
                <w:color w:val="auto"/>
                <w:kern w:val="0"/>
                <w:sz w:val="24"/>
              </w:rPr>
            </w:pPr>
            <w:r>
              <w:rPr>
                <w:rFonts w:hint="eastAsia" w:ascii="Times New Roman" w:hAnsi="Times New Roman" w:eastAsia="宋体" w:cs="宋体"/>
                <w:color w:val="auto"/>
                <w:sz w:val="24"/>
                <w:szCs w:val="24"/>
              </w:rPr>
              <w:t>项目运营期的主要污染因素包括废气、废水、噪声和固体废物，项目污染物的排放具体如下：</w:t>
            </w:r>
          </w:p>
          <w:p w14:paraId="79AAF77E">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一、运营期废气环境影响分析</w:t>
            </w:r>
          </w:p>
          <w:p w14:paraId="72EDCA7B">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1.污染源源强核算</w:t>
            </w:r>
          </w:p>
          <w:p w14:paraId="679CEADB">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根据工艺流程分析，运营期废气主要为</w:t>
            </w:r>
            <w:r>
              <w:rPr>
                <w:rFonts w:hint="eastAsia" w:ascii="Times New Roman" w:hAnsi="Times New Roman" w:eastAsia="宋体" w:cs="宋体"/>
                <w:color w:val="auto"/>
                <w:sz w:val="24"/>
                <w:szCs w:val="24"/>
                <w:lang w:val="en-US" w:eastAsia="zh-CN"/>
              </w:rPr>
              <w:t>生物质锅炉</w:t>
            </w:r>
            <w:r>
              <w:rPr>
                <w:rFonts w:hint="eastAsia" w:ascii="Times New Roman" w:hAnsi="Times New Roman" w:eastAsia="宋体" w:cs="宋体"/>
                <w:color w:val="auto"/>
                <w:sz w:val="24"/>
                <w:szCs w:val="24"/>
              </w:rPr>
              <w:t>燃烧废气，一体化污水处理设备产生的异味及汽车尾气。</w:t>
            </w:r>
          </w:p>
          <w:p w14:paraId="24F306C4">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b/>
                <w:bCs/>
                <w:color w:val="auto"/>
                <w:sz w:val="24"/>
                <w:szCs w:val="24"/>
                <w:lang w:eastAsia="zh-CN"/>
              </w:rPr>
              <w:t>（</w:t>
            </w:r>
            <w:r>
              <w:rPr>
                <w:rFonts w:hint="eastAsia" w:ascii="Times New Roman" w:hAnsi="Times New Roman" w:eastAsia="宋体" w:cs="宋体"/>
                <w:b/>
                <w:bCs/>
                <w:color w:val="auto"/>
                <w:sz w:val="24"/>
                <w:szCs w:val="24"/>
                <w:lang w:val="en-US" w:eastAsia="zh-CN"/>
              </w:rPr>
              <w:t>1</w:t>
            </w:r>
            <w:r>
              <w:rPr>
                <w:rFonts w:hint="eastAsia" w:ascii="Times New Roman" w:hAnsi="Times New Roman" w:eastAsia="宋体" w:cs="宋体"/>
                <w:b/>
                <w:bCs/>
                <w:color w:val="auto"/>
                <w:sz w:val="24"/>
                <w:szCs w:val="24"/>
                <w:lang w:eastAsia="zh-CN"/>
              </w:rPr>
              <w:t>）</w:t>
            </w:r>
            <w:r>
              <w:rPr>
                <w:rFonts w:hint="eastAsia" w:ascii="Times New Roman" w:hAnsi="Times New Roman" w:eastAsia="宋体" w:cs="宋体"/>
                <w:b/>
                <w:bCs/>
                <w:color w:val="auto"/>
                <w:sz w:val="24"/>
                <w:szCs w:val="24"/>
              </w:rPr>
              <w:t>有组织废气</w:t>
            </w:r>
          </w:p>
          <w:p w14:paraId="588930BA">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本项目生产过程产生的有组织废气主要为生物质</w:t>
            </w:r>
            <w:r>
              <w:rPr>
                <w:rFonts w:hint="eastAsia" w:ascii="Times New Roman" w:hAnsi="Times New Roman" w:eastAsia="宋体" w:cs="宋体"/>
                <w:color w:val="auto"/>
                <w:sz w:val="24"/>
                <w:szCs w:val="24"/>
                <w:lang w:val="en-US" w:eastAsia="zh-CN"/>
              </w:rPr>
              <w:t>锅炉</w:t>
            </w:r>
            <w:r>
              <w:rPr>
                <w:rFonts w:hint="eastAsia" w:ascii="Times New Roman" w:hAnsi="Times New Roman" w:eastAsia="宋体" w:cs="宋体"/>
                <w:color w:val="auto"/>
                <w:sz w:val="24"/>
                <w:szCs w:val="24"/>
              </w:rPr>
              <w:t>燃烧过程中产生的废气，主要污染物为颗粒物、SO</w:t>
            </w:r>
            <w:r>
              <w:rPr>
                <w:rFonts w:hint="eastAsia" w:ascii="Times New Roman" w:hAnsi="Times New Roman" w:eastAsia="宋体" w:cs="宋体"/>
                <w:color w:val="auto"/>
                <w:sz w:val="24"/>
                <w:szCs w:val="24"/>
                <w:vertAlign w:val="subscript"/>
              </w:rPr>
              <w:t>2</w:t>
            </w:r>
            <w:r>
              <w:rPr>
                <w:rFonts w:hint="eastAsia" w:ascii="Times New Roman" w:hAnsi="Times New Roman" w:eastAsia="宋体" w:cs="宋体"/>
                <w:color w:val="auto"/>
                <w:sz w:val="24"/>
                <w:szCs w:val="24"/>
              </w:rPr>
              <w:t>、NOx</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烟气黑度</w:t>
            </w:r>
            <w:r>
              <w:rPr>
                <w:rFonts w:hint="eastAsia" w:ascii="Times New Roman" w:hAnsi="Times New Roman" w:eastAsia="宋体" w:cs="宋体"/>
                <w:color w:val="auto"/>
                <w:sz w:val="24"/>
                <w:szCs w:val="24"/>
              </w:rPr>
              <w:t>。</w:t>
            </w:r>
          </w:p>
          <w:p w14:paraId="3ADA4B75">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①燃料消耗量</w:t>
            </w:r>
          </w:p>
          <w:p w14:paraId="603B5F3E">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宋体"/>
                <w:color w:val="auto"/>
                <w:sz w:val="24"/>
                <w:szCs w:val="24"/>
              </w:rPr>
              <w:t>本项目设置</w:t>
            </w:r>
            <w:r>
              <w:rPr>
                <w:rFonts w:hint="eastAsia" w:ascii="Times New Roman" w:hAnsi="Times New Roman" w:cs="宋体"/>
                <w:color w:val="auto"/>
                <w:sz w:val="24"/>
                <w:szCs w:val="24"/>
                <w:lang w:val="en-US" w:eastAsia="zh-CN"/>
              </w:rPr>
              <w:t>1</w:t>
            </w:r>
            <w:r>
              <w:rPr>
                <w:rFonts w:hint="eastAsia" w:ascii="Times New Roman" w:hAnsi="Times New Roman" w:eastAsia="宋体" w:cs="宋体"/>
                <w:color w:val="auto"/>
                <w:sz w:val="24"/>
                <w:szCs w:val="24"/>
              </w:rPr>
              <w:t>台</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t/h生物质蒸汽发生器</w:t>
            </w:r>
            <w:r>
              <w:rPr>
                <w:rFonts w:hint="eastAsia" w:ascii="Times New Roman" w:hAnsi="Times New Roman" w:eastAsia="宋体" w:cs="宋体"/>
                <w:color w:val="auto"/>
                <w:sz w:val="24"/>
                <w:szCs w:val="24"/>
                <w:lang w:val="en-US" w:eastAsia="zh-CN"/>
              </w:rPr>
              <w:t>锅炉</w:t>
            </w:r>
            <w:r>
              <w:rPr>
                <w:rFonts w:hint="eastAsia" w:ascii="Times New Roman" w:hAnsi="Times New Roman" w:eastAsia="宋体" w:cs="宋体"/>
                <w:color w:val="auto"/>
                <w:sz w:val="24"/>
                <w:szCs w:val="24"/>
              </w:rPr>
              <w:t>为洗涤过程中提供蒸汽加热，燃料为成型生物质，工作时间为8h/d，</w:t>
            </w:r>
            <w:r>
              <w:rPr>
                <w:rFonts w:hint="eastAsia" w:ascii="Times New Roman" w:hAnsi="Times New Roman" w:cs="宋体"/>
                <w:color w:val="auto"/>
                <w:sz w:val="24"/>
                <w:szCs w:val="24"/>
                <w:lang w:val="en-US" w:eastAsia="zh-CN"/>
              </w:rPr>
              <w:t>30</w:t>
            </w:r>
            <w:r>
              <w:rPr>
                <w:rFonts w:hint="eastAsia" w:ascii="Times New Roman" w:hAnsi="Times New Roman" w:eastAsia="宋体" w:cs="宋体"/>
                <w:color w:val="auto"/>
                <w:sz w:val="24"/>
                <w:szCs w:val="24"/>
              </w:rPr>
              <w:t>0d/a。</w:t>
            </w:r>
            <w:r>
              <w:rPr>
                <w:rFonts w:hint="default" w:ascii="Times New Roman" w:hAnsi="Times New Roman" w:eastAsia="宋体" w:cs="Times New Roman"/>
                <w:color w:val="auto"/>
                <w:sz w:val="24"/>
                <w:highlight w:val="none"/>
                <w:lang w:eastAsia="zh-CN"/>
              </w:rPr>
              <w:t>根据建设单位提供的资料可知，本项目拟安装的锅炉各参数见表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所示。</w:t>
            </w:r>
          </w:p>
          <w:p w14:paraId="42902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rPr>
              <w:t xml:space="preserve"> 锅炉基本参数</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327"/>
              <w:gridCol w:w="1182"/>
              <w:gridCol w:w="1545"/>
              <w:gridCol w:w="1212"/>
              <w:gridCol w:w="1309"/>
            </w:tblGrid>
            <w:tr w14:paraId="38E0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22" w:type="dxa"/>
                  <w:tcBorders>
                    <w:tl2br w:val="nil"/>
                    <w:tr2bl w:val="nil"/>
                  </w:tcBorders>
                  <w:noWrap w:val="0"/>
                  <w:vAlign w:val="center"/>
                </w:tcPr>
                <w:p w14:paraId="75B42E54">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锅炉型号</w:t>
                  </w:r>
                </w:p>
              </w:tc>
              <w:tc>
                <w:tcPr>
                  <w:tcW w:w="1327" w:type="dxa"/>
                  <w:tcBorders>
                    <w:tl2br w:val="nil"/>
                    <w:tr2bl w:val="nil"/>
                  </w:tcBorders>
                  <w:noWrap w:val="0"/>
                  <w:vAlign w:val="center"/>
                </w:tcPr>
                <w:p w14:paraId="701BABAB">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额定蒸发量</w:t>
                  </w:r>
                </w:p>
              </w:tc>
              <w:tc>
                <w:tcPr>
                  <w:tcW w:w="1182" w:type="dxa"/>
                  <w:tcBorders>
                    <w:tl2br w:val="nil"/>
                    <w:tr2bl w:val="nil"/>
                  </w:tcBorders>
                  <w:noWrap w:val="0"/>
                  <w:vAlign w:val="center"/>
                </w:tcPr>
                <w:p w14:paraId="1DC18B82">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额定压力</w:t>
                  </w:r>
                </w:p>
              </w:tc>
              <w:tc>
                <w:tcPr>
                  <w:tcW w:w="1545" w:type="dxa"/>
                  <w:tcBorders>
                    <w:tl2br w:val="nil"/>
                    <w:tr2bl w:val="nil"/>
                  </w:tcBorders>
                  <w:noWrap w:val="0"/>
                  <w:vAlign w:val="center"/>
                </w:tcPr>
                <w:p w14:paraId="59A86CD0">
                  <w:pPr>
                    <w:pStyle w:val="15"/>
                    <w:keepLines w:val="0"/>
                    <w:widowControl w:val="0"/>
                    <w:suppressLineNumbers w:val="0"/>
                    <w:spacing w:beforeAutospacing="0" w:afterAutospacing="0"/>
                    <w:ind w:left="0" w:leftChars="0" w:right="0" w:rightChars="0" w:firstLine="0" w:firstLineChars="0"/>
                    <w:jc w:val="both"/>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额定</w:t>
                  </w:r>
                  <w:r>
                    <w:rPr>
                      <w:rFonts w:hint="default" w:ascii="Times New Roman" w:hAnsi="Times New Roman" w:eastAsia="宋体" w:cs="Times New Roman"/>
                      <w:b/>
                      <w:bCs/>
                      <w:color w:val="auto"/>
                      <w:sz w:val="21"/>
                      <w:szCs w:val="21"/>
                      <w:highlight w:val="none"/>
                    </w:rPr>
                    <w:t>蒸汽温度</w:t>
                  </w:r>
                </w:p>
              </w:tc>
              <w:tc>
                <w:tcPr>
                  <w:tcW w:w="1212" w:type="dxa"/>
                  <w:tcBorders>
                    <w:tl2br w:val="nil"/>
                    <w:tr2bl w:val="nil"/>
                  </w:tcBorders>
                  <w:noWrap w:val="0"/>
                  <w:vAlign w:val="center"/>
                </w:tcPr>
                <w:p w14:paraId="019FCFE1">
                  <w:pPr>
                    <w:pStyle w:val="15"/>
                    <w:keepNext/>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排烟温度</w:t>
                  </w:r>
                </w:p>
              </w:tc>
              <w:tc>
                <w:tcPr>
                  <w:tcW w:w="1309" w:type="dxa"/>
                  <w:tcBorders>
                    <w:tl2br w:val="nil"/>
                    <w:tr2bl w:val="nil"/>
                  </w:tcBorders>
                  <w:noWrap w:val="0"/>
                  <w:vAlign w:val="center"/>
                </w:tcPr>
                <w:p w14:paraId="4C826D69">
                  <w:pPr>
                    <w:pStyle w:val="15"/>
                    <w:keepLines w:val="0"/>
                    <w:widowControl w:val="0"/>
                    <w:suppressLineNumbers w:val="0"/>
                    <w:spacing w:beforeAutospacing="0" w:afterAutospacing="0"/>
                    <w:ind w:left="0" w:leftChars="0" w:right="0"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热效率</w:t>
                  </w:r>
                  <w:r>
                    <w:rPr>
                      <w:rFonts w:hint="eastAsia" w:ascii="Times New Roman" w:hAnsi="Times New Roman" w:eastAsia="宋体" w:cs="Times New Roman"/>
                      <w:b/>
                      <w:bCs/>
                      <w:color w:val="auto"/>
                      <w:sz w:val="21"/>
                      <w:szCs w:val="21"/>
                      <w:highlight w:val="none"/>
                      <w:lang w:val="en-US" w:eastAsia="zh-CN"/>
                    </w:rPr>
                    <w:t>设计</w:t>
                  </w:r>
                </w:p>
              </w:tc>
            </w:tr>
            <w:tr w14:paraId="3A5E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22" w:type="dxa"/>
                  <w:tcBorders>
                    <w:tl2br w:val="nil"/>
                    <w:tr2bl w:val="nil"/>
                  </w:tcBorders>
                  <w:noWrap w:val="0"/>
                  <w:vAlign w:val="center"/>
                </w:tcPr>
                <w:p w14:paraId="22BBC5A8">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990-111</w:t>
                  </w:r>
                </w:p>
              </w:tc>
              <w:tc>
                <w:tcPr>
                  <w:tcW w:w="1327" w:type="dxa"/>
                  <w:tcBorders>
                    <w:tl2br w:val="nil"/>
                    <w:tr2bl w:val="nil"/>
                  </w:tcBorders>
                  <w:noWrap w:val="0"/>
                  <w:vAlign w:val="center"/>
                </w:tcPr>
                <w:p w14:paraId="6009C306">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3000kg/h</w:t>
                  </w:r>
                </w:p>
              </w:tc>
              <w:tc>
                <w:tcPr>
                  <w:tcW w:w="1182" w:type="dxa"/>
                  <w:tcBorders>
                    <w:tl2br w:val="nil"/>
                    <w:tr2bl w:val="nil"/>
                  </w:tcBorders>
                  <w:noWrap w:val="0"/>
                  <w:vAlign w:val="center"/>
                </w:tcPr>
                <w:p w14:paraId="6440EE28">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0.7</w:t>
                  </w:r>
                  <w:r>
                    <w:rPr>
                      <w:rFonts w:hint="default" w:ascii="Times New Roman" w:hAnsi="Times New Roman" w:eastAsia="宋体" w:cs="Times New Roman"/>
                      <w:color w:val="auto"/>
                      <w:sz w:val="21"/>
                      <w:szCs w:val="21"/>
                      <w:highlight w:val="none"/>
                    </w:rPr>
                    <w:t>Mpa</w:t>
                  </w:r>
                </w:p>
              </w:tc>
              <w:tc>
                <w:tcPr>
                  <w:tcW w:w="1545" w:type="dxa"/>
                  <w:tcBorders>
                    <w:tl2br w:val="nil"/>
                    <w:tr2bl w:val="nil"/>
                  </w:tcBorders>
                  <w:noWrap w:val="0"/>
                  <w:vAlign w:val="center"/>
                </w:tcPr>
                <w:p w14:paraId="3CD7AECF">
                  <w:pPr>
                    <w:pStyle w:val="15"/>
                    <w:keepLines w:val="0"/>
                    <w:widowControl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260</w:t>
                  </w:r>
                  <w:r>
                    <w:rPr>
                      <w:rFonts w:hint="default" w:ascii="Times New Roman" w:hAnsi="Times New Roman" w:eastAsia="宋体" w:cs="Times New Roman"/>
                      <w:color w:val="auto"/>
                      <w:sz w:val="21"/>
                      <w:szCs w:val="21"/>
                      <w:highlight w:val="none"/>
                    </w:rPr>
                    <w:t>℃</w:t>
                  </w:r>
                </w:p>
              </w:tc>
              <w:tc>
                <w:tcPr>
                  <w:tcW w:w="1212" w:type="dxa"/>
                  <w:tcBorders>
                    <w:tl2br w:val="nil"/>
                    <w:tr2bl w:val="nil"/>
                  </w:tcBorders>
                  <w:noWrap w:val="0"/>
                  <w:vAlign w:val="center"/>
                </w:tcPr>
                <w:p w14:paraId="0431B57D">
                  <w:pPr>
                    <w:pStyle w:val="15"/>
                    <w:keepLines w:val="0"/>
                    <w:widowControl w:val="0"/>
                    <w:suppressLineNumbers w:val="0"/>
                    <w:spacing w:beforeAutospacing="0" w:afterAutospacing="0"/>
                    <w:ind w:left="0" w:leftChars="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95-105℃</w:t>
                  </w:r>
                </w:p>
              </w:tc>
              <w:tc>
                <w:tcPr>
                  <w:tcW w:w="1309" w:type="dxa"/>
                  <w:tcBorders>
                    <w:tl2br w:val="nil"/>
                    <w:tr2bl w:val="nil"/>
                  </w:tcBorders>
                  <w:noWrap w:val="0"/>
                  <w:vAlign w:val="center"/>
                </w:tcPr>
                <w:p w14:paraId="61FEA9ED">
                  <w:pPr>
                    <w:pStyle w:val="15"/>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106</w:t>
                  </w:r>
                  <w:r>
                    <w:rPr>
                      <w:rFonts w:hint="default" w:ascii="Times New Roman" w:hAnsi="Times New Roman" w:eastAsia="宋体" w:cs="Times New Roman"/>
                      <w:color w:val="auto"/>
                      <w:sz w:val="21"/>
                      <w:szCs w:val="21"/>
                      <w:highlight w:val="none"/>
                    </w:rPr>
                    <w:t>%</w:t>
                  </w:r>
                </w:p>
              </w:tc>
            </w:tr>
          </w:tbl>
          <w:p w14:paraId="38C085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生物质燃料用量根据《环境统计手册》进行计算，其计算方法如下：</w:t>
            </w:r>
          </w:p>
          <w:p w14:paraId="00327A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position w:val="-30"/>
                <w:sz w:val="24"/>
                <w:highlight w:val="none"/>
                <w:lang w:eastAsia="zh-CN"/>
              </w:rPr>
              <w:object>
                <v:shape id="_x0000_i1027" o:spt="75" type="#_x0000_t75" style="height:36pt;width:75pt;" o:ole="t" filled="f" o:preferrelative="t" stroked="f" coordsize="21600,21600">
                  <v:path/>
                  <v:fill on="f" focussize="0,0"/>
                  <v:stroke on="f"/>
                  <v:imagedata r:id="rId17" o:title=""/>
                  <o:lock v:ext="edit" aspectratio="t"/>
                  <w10:wrap type="none"/>
                  <w10:anchorlock/>
                </v:shape>
                <o:OLEObject Type="Embed" ProgID="Equation.KSEE3" ShapeID="_x0000_i1027" DrawAspect="Content" ObjectID="_1468075727" r:id="rId16">
                  <o:LockedField>false</o:LockedField>
                </o:OLEObject>
              </w:object>
            </w:r>
            <w:r>
              <w:rPr>
                <w:rFonts w:hint="default" w:ascii="Times New Roman" w:hAnsi="Times New Roman" w:eastAsia="宋体" w:cs="Times New Roman"/>
                <w:color w:val="auto"/>
                <w:position w:val="-30"/>
                <w:sz w:val="24"/>
                <w:highlight w:val="none"/>
                <w:lang w:val="en-US" w:eastAsia="zh-CN"/>
              </w:rPr>
              <w:t xml:space="preserve">     （1）</w:t>
            </w:r>
          </w:p>
          <w:p w14:paraId="5C1B17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——锅炉燃料耗量（单位kg/h）；</w:t>
            </w:r>
          </w:p>
          <w:p w14:paraId="0C37ED22">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——锅炉产气量（单位kg/h），本项目锅炉为</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000kg/h；</w:t>
            </w:r>
          </w:p>
          <w:p w14:paraId="73E3A26F">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生物质燃料低位发热值为</w:t>
            </w:r>
            <w:r>
              <w:rPr>
                <w:rFonts w:hint="eastAsia" w:ascii="Times New Roman" w:hAnsi="Times New Roman" w:cs="Times New Roman"/>
                <w:color w:val="auto"/>
                <w:sz w:val="24"/>
                <w:highlight w:val="none"/>
                <w:lang w:val="en-US" w:eastAsia="zh-CN"/>
              </w:rPr>
              <w:t>16430</w:t>
            </w:r>
            <w:r>
              <w:rPr>
                <w:rFonts w:hint="default" w:ascii="Times New Roman" w:hAnsi="Times New Roman" w:eastAsia="宋体" w:cs="Times New Roman"/>
                <w:color w:val="auto"/>
                <w:sz w:val="24"/>
                <w:highlight w:val="none"/>
                <w:lang w:val="en-US" w:eastAsia="zh-CN"/>
              </w:rPr>
              <w:t>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14:paraId="1BEDE80F">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n</w:t>
            </w:r>
            <w:r>
              <w:rPr>
                <w:rFonts w:hint="default" w:ascii="Times New Roman" w:hAnsi="Times New Roman" w:eastAsia="宋体" w:cs="Times New Roman"/>
                <w:color w:val="auto"/>
                <w:sz w:val="24"/>
                <w:highlight w:val="none"/>
              </w:rPr>
              <w:t>——锅炉的热效率，项目锅炉热效率为</w:t>
            </w:r>
            <w:r>
              <w:rPr>
                <w:rFonts w:hint="eastAsia" w:ascii="Times New Roman" w:hAnsi="Times New Roman" w:cs="Times New Roman"/>
                <w:color w:val="auto"/>
                <w:sz w:val="24"/>
                <w:highlight w:val="none"/>
                <w:lang w:val="en-US" w:eastAsia="zh-CN"/>
              </w:rPr>
              <w:t>106</w:t>
            </w:r>
            <w:r>
              <w:rPr>
                <w:rFonts w:hint="default" w:ascii="Times New Roman" w:hAnsi="Times New Roman" w:eastAsia="宋体" w:cs="Times New Roman"/>
                <w:color w:val="auto"/>
                <w:sz w:val="24"/>
                <w:highlight w:val="none"/>
              </w:rPr>
              <w:t>%；</w:t>
            </w:r>
          </w:p>
          <w:p w14:paraId="2D7E5460">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——锅炉在绝对工作压力下的饱和蒸汽热焓值（单位kJ/kg），项目锅炉额定蒸汽压力为</w:t>
            </w:r>
            <w:r>
              <w:rPr>
                <w:rFonts w:hint="eastAsia" w:ascii="Times New Roman" w:hAnsi="Times New Roman" w:eastAsia="宋体" w:cs="Times New Roman"/>
                <w:color w:val="auto"/>
                <w:sz w:val="24"/>
                <w:highlight w:val="none"/>
                <w:lang w:val="en-US" w:eastAsia="zh-CN"/>
              </w:rPr>
              <w:t>0.7</w:t>
            </w:r>
            <w:r>
              <w:rPr>
                <w:rFonts w:hint="default" w:ascii="Times New Roman" w:hAnsi="Times New Roman" w:eastAsia="宋体" w:cs="Times New Roman"/>
                <w:color w:val="auto"/>
                <w:sz w:val="24"/>
                <w:highlight w:val="none"/>
              </w:rPr>
              <w:t>MPa，经查询蒸汽热焓值为</w:t>
            </w:r>
            <w:r>
              <w:rPr>
                <w:rFonts w:hint="eastAsia" w:ascii="Times New Roman" w:hAnsi="Times New Roman" w:eastAsia="宋体" w:cs="Times New Roman"/>
                <w:color w:val="auto"/>
                <w:sz w:val="24"/>
                <w:highlight w:val="none"/>
                <w:lang w:val="en-US" w:eastAsia="zh-CN"/>
              </w:rPr>
              <w:t>2762.9</w:t>
            </w:r>
            <w:r>
              <w:rPr>
                <w:rFonts w:hint="default" w:ascii="Times New Roman" w:hAnsi="Times New Roman" w:eastAsia="宋体" w:cs="Times New Roman"/>
                <w:color w:val="auto"/>
                <w:sz w:val="24"/>
                <w:highlight w:val="none"/>
              </w:rPr>
              <w:t>kJ/kg；</w:t>
            </w:r>
          </w:p>
          <w:p w14:paraId="3FF95040">
            <w:pPr>
              <w:widowControl w:val="0"/>
              <w:spacing w:line="360" w:lineRule="auto"/>
              <w:ind w:firstLine="1200" w:firstLineChars="5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——锅炉给水热焓值（单位kJ/kg），</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锅炉给水温度为20℃，给水热焓值为83.71kJ/kg；</w:t>
            </w:r>
          </w:p>
          <w:p w14:paraId="5DA2CFE6">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rPr>
              <w:t>根据</w:t>
            </w:r>
            <w:r>
              <w:rPr>
                <w:rFonts w:hint="eastAsia" w:ascii="Times New Roman" w:hAnsi="Times New Roman" w:eastAsia="宋体" w:cs="宋体"/>
                <w:color w:val="auto"/>
                <w:sz w:val="24"/>
                <w:szCs w:val="24"/>
                <w:lang w:val="en-US" w:eastAsia="zh-CN"/>
              </w:rPr>
              <w:t>项目</w:t>
            </w:r>
            <w:r>
              <w:rPr>
                <w:rFonts w:hint="default" w:ascii="Times New Roman" w:hAnsi="Times New Roman" w:eastAsia="宋体" w:cs="宋体"/>
                <w:color w:val="auto"/>
                <w:sz w:val="24"/>
                <w:szCs w:val="24"/>
                <w:lang w:val="en-US" w:eastAsia="zh-CN"/>
              </w:rPr>
              <w:t>生物质燃料</w:t>
            </w:r>
            <w:r>
              <w:rPr>
                <w:rFonts w:hint="eastAsia" w:ascii="Times New Roman" w:hAnsi="Times New Roman" w:eastAsia="宋体" w:cs="宋体"/>
                <w:color w:val="auto"/>
                <w:sz w:val="24"/>
                <w:szCs w:val="24"/>
                <w:lang w:val="en-US" w:eastAsia="zh-CN"/>
              </w:rPr>
              <w:t>成分分析（表2-6），</w:t>
            </w:r>
            <w:r>
              <w:rPr>
                <w:rFonts w:hint="default" w:ascii="Times New Roman" w:hAnsi="Times New Roman" w:eastAsia="宋体" w:cs="宋体"/>
                <w:color w:val="auto"/>
                <w:sz w:val="24"/>
                <w:szCs w:val="24"/>
                <w:lang w:val="en-US" w:eastAsia="zh-CN"/>
              </w:rPr>
              <w:t>本项目使用的生物质燃料低位发热值为</w:t>
            </w:r>
            <w:r>
              <w:rPr>
                <w:rFonts w:hint="eastAsia" w:ascii="Times New Roman" w:hAnsi="Times New Roman" w:eastAsia="宋体" w:cs="宋体"/>
                <w:color w:val="auto"/>
                <w:sz w:val="24"/>
                <w:szCs w:val="24"/>
                <w:lang w:val="en-US" w:eastAsia="zh-CN"/>
              </w:rPr>
              <w:t>16430</w:t>
            </w:r>
            <w:r>
              <w:rPr>
                <w:rFonts w:hint="default" w:ascii="Times New Roman" w:hAnsi="Times New Roman" w:eastAsia="宋体" w:cs="宋体"/>
                <w:color w:val="auto"/>
                <w:sz w:val="24"/>
                <w:szCs w:val="24"/>
                <w:lang w:val="en-US" w:eastAsia="zh-CN"/>
              </w:rPr>
              <w:t>kJ/kg</w:t>
            </w:r>
            <w:r>
              <w:rPr>
                <w:rFonts w:hint="eastAsia" w:ascii="Times New Roman" w:hAnsi="Times New Roman" w:eastAsia="宋体" w:cs="宋体"/>
                <w:color w:val="auto"/>
                <w:sz w:val="24"/>
                <w:szCs w:val="24"/>
                <w:lang w:val="en-US" w:eastAsia="zh-CN"/>
              </w:rPr>
              <w:t>，</w:t>
            </w:r>
            <w:r>
              <w:rPr>
                <w:rFonts w:hint="default" w:ascii="Times New Roman" w:hAnsi="Times New Roman" w:eastAsia="宋体" w:cs="宋体"/>
                <w:color w:val="auto"/>
                <w:sz w:val="24"/>
                <w:szCs w:val="24"/>
                <w:lang w:val="en-US" w:eastAsia="zh-CN"/>
              </w:rPr>
              <w:t>经以上公式及锅炉参数计算得出，锅炉满负荷运行时生物质燃料用量为</w:t>
            </w:r>
            <w:r>
              <w:rPr>
                <w:rFonts w:hint="eastAsia" w:ascii="Times New Roman" w:hAnsi="Times New Roman" w:eastAsia="宋体" w:cs="宋体"/>
                <w:color w:val="auto"/>
                <w:sz w:val="24"/>
                <w:szCs w:val="24"/>
                <w:lang w:val="en-US" w:eastAsia="zh-CN"/>
              </w:rPr>
              <w:t>461.51</w:t>
            </w:r>
            <w:r>
              <w:rPr>
                <w:rFonts w:hint="default" w:ascii="Times New Roman" w:hAnsi="Times New Roman" w:eastAsia="宋体" w:cs="宋体"/>
                <w:color w:val="auto"/>
                <w:sz w:val="24"/>
                <w:szCs w:val="24"/>
                <w:lang w:val="en-US" w:eastAsia="zh-CN"/>
              </w:rPr>
              <w:t>kg/h，</w:t>
            </w:r>
            <w:r>
              <w:rPr>
                <w:rFonts w:hint="eastAsia" w:ascii="Times New Roman" w:hAnsi="Times New Roman" w:eastAsia="宋体" w:cs="宋体"/>
                <w:color w:val="auto"/>
                <w:sz w:val="24"/>
                <w:szCs w:val="24"/>
                <w:lang w:val="en-US" w:eastAsia="zh-CN"/>
              </w:rPr>
              <w:t>3.69t</w:t>
            </w:r>
            <w:r>
              <w:rPr>
                <w:rFonts w:hint="default" w:ascii="Times New Roman" w:hAnsi="Times New Roman" w:eastAsia="宋体" w:cs="宋体"/>
                <w:color w:val="auto"/>
                <w:sz w:val="24"/>
                <w:szCs w:val="24"/>
                <w:lang w:val="en-US" w:eastAsia="zh-CN"/>
              </w:rPr>
              <w:t>/</w:t>
            </w:r>
            <w:r>
              <w:rPr>
                <w:rFonts w:hint="default" w:ascii="Times New Roman" w:hAnsi="Times New Roman" w:eastAsia="宋体" w:cs="宋体"/>
                <w:color w:val="auto"/>
                <w:sz w:val="24"/>
                <w:szCs w:val="24"/>
              </w:rPr>
              <w:t>d，</w:t>
            </w:r>
            <w:r>
              <w:rPr>
                <w:rFonts w:hint="eastAsia" w:ascii="Times New Roman" w:hAnsi="Times New Roman" w:eastAsia="宋体" w:cs="宋体"/>
                <w:color w:val="auto"/>
                <w:sz w:val="24"/>
                <w:szCs w:val="24"/>
                <w:lang w:val="en-US" w:eastAsia="zh-CN"/>
              </w:rPr>
              <w:t>1107t</w:t>
            </w:r>
            <w:r>
              <w:rPr>
                <w:rFonts w:hint="default" w:ascii="Times New Roman" w:hAnsi="Times New Roman" w:eastAsia="宋体" w:cs="宋体"/>
                <w:color w:val="auto"/>
                <w:sz w:val="24"/>
                <w:szCs w:val="24"/>
              </w:rPr>
              <w:t>/a</w:t>
            </w:r>
            <w:r>
              <w:rPr>
                <w:rFonts w:hint="default" w:ascii="Times New Roman" w:hAnsi="Times New Roman" w:eastAsia="宋体" w:cs="宋体"/>
                <w:color w:val="auto"/>
                <w:sz w:val="24"/>
                <w:szCs w:val="24"/>
                <w:lang w:eastAsia="zh-CN"/>
              </w:rPr>
              <w:t>。</w:t>
            </w:r>
          </w:p>
          <w:p w14:paraId="34E4DCF6">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②污染物产生量核算</w:t>
            </w:r>
          </w:p>
          <w:p w14:paraId="12DD4F4C">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生物质燃烧过程中污染物的产生量参照《排放源统计调查产排污核算方法和系数手册》（公告2021年第24号）中“4430工业锅炉（热力供应）行业系数手册-生物质工业锅炉”中的产排污系数计算。生物质燃烧颗粒物、SO2和NOx产污系数见下表4-</w:t>
            </w:r>
            <w:r>
              <w:rPr>
                <w:rFonts w:hint="eastAsia" w:ascii="Times New Roman" w:hAnsi="Times New Roman" w:cs="宋体"/>
                <w:color w:val="auto"/>
                <w:sz w:val="24"/>
                <w:szCs w:val="24"/>
                <w:lang w:val="en-US" w:eastAsia="zh-CN"/>
              </w:rPr>
              <w:t>2</w:t>
            </w:r>
            <w:r>
              <w:rPr>
                <w:rFonts w:hint="eastAsia" w:ascii="Times New Roman" w:hAnsi="Times New Roman" w:eastAsia="宋体" w:cs="宋体"/>
                <w:color w:val="auto"/>
                <w:sz w:val="24"/>
                <w:szCs w:val="24"/>
              </w:rPr>
              <w:t>。</w:t>
            </w:r>
          </w:p>
          <w:p w14:paraId="090705E3">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2</w:t>
            </w:r>
            <w:r>
              <w:rPr>
                <w:rFonts w:hint="eastAsia" w:ascii="Times New Roman" w:hAnsi="Times New Roman" w:eastAsia="宋体" w:cs="宋体"/>
                <w:b/>
                <w:bCs/>
                <w:color w:val="auto"/>
                <w:sz w:val="21"/>
                <w:szCs w:val="21"/>
              </w:rPr>
              <w:t>工业锅炉（热力生产和供应行业）产污系数表-生物质工业锅炉</w:t>
            </w:r>
          </w:p>
          <w:tbl>
            <w:tblPr>
              <w:tblStyle w:val="80"/>
              <w:tblW w:w="8317"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631"/>
              <w:gridCol w:w="768"/>
              <w:gridCol w:w="1261"/>
              <w:gridCol w:w="1391"/>
              <w:gridCol w:w="1011"/>
              <w:gridCol w:w="1261"/>
              <w:gridCol w:w="1237"/>
            </w:tblGrid>
            <w:tr w14:paraId="4BAD7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757" w:type="dxa"/>
                  <w:vAlign w:val="center"/>
                </w:tcPr>
                <w:p w14:paraId="08C3F06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产品名称</w:t>
                  </w:r>
                </w:p>
              </w:tc>
              <w:tc>
                <w:tcPr>
                  <w:tcW w:w="631" w:type="dxa"/>
                  <w:vAlign w:val="center"/>
                </w:tcPr>
                <w:p w14:paraId="4CDC514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原料名称</w:t>
                  </w:r>
                </w:p>
              </w:tc>
              <w:tc>
                <w:tcPr>
                  <w:tcW w:w="768" w:type="dxa"/>
                  <w:vAlign w:val="center"/>
                </w:tcPr>
                <w:p w14:paraId="6FBFE07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规模等级</w:t>
                  </w:r>
                </w:p>
              </w:tc>
              <w:tc>
                <w:tcPr>
                  <w:tcW w:w="1261" w:type="dxa"/>
                  <w:vAlign w:val="center"/>
                </w:tcPr>
                <w:p w14:paraId="2CAFEB2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污染物指标</w:t>
                  </w:r>
                </w:p>
              </w:tc>
              <w:tc>
                <w:tcPr>
                  <w:tcW w:w="1391" w:type="dxa"/>
                  <w:vAlign w:val="center"/>
                </w:tcPr>
                <w:p w14:paraId="6B39D0B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单位</w:t>
                  </w:r>
                </w:p>
              </w:tc>
              <w:tc>
                <w:tcPr>
                  <w:tcW w:w="1011" w:type="dxa"/>
                  <w:vAlign w:val="center"/>
                </w:tcPr>
                <w:p w14:paraId="76C7762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产污系数</w:t>
                  </w:r>
                </w:p>
              </w:tc>
              <w:tc>
                <w:tcPr>
                  <w:tcW w:w="1261" w:type="dxa"/>
                  <w:vAlign w:val="center"/>
                </w:tcPr>
                <w:p w14:paraId="109C479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末端治理技术名称</w:t>
                  </w:r>
                </w:p>
              </w:tc>
              <w:tc>
                <w:tcPr>
                  <w:tcW w:w="1237" w:type="dxa"/>
                  <w:vAlign w:val="center"/>
                </w:tcPr>
                <w:p w14:paraId="23F7782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去除效率（%）</w:t>
                  </w:r>
                </w:p>
              </w:tc>
            </w:tr>
            <w:tr w14:paraId="19251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restart"/>
                  <w:tcBorders>
                    <w:bottom w:val="nil"/>
                  </w:tcBorders>
                  <w:vAlign w:val="center"/>
                </w:tcPr>
                <w:p w14:paraId="0CE2944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蒸汽</w:t>
                  </w:r>
                </w:p>
              </w:tc>
              <w:tc>
                <w:tcPr>
                  <w:tcW w:w="631" w:type="dxa"/>
                  <w:vMerge w:val="restart"/>
                  <w:tcBorders>
                    <w:bottom w:val="nil"/>
                  </w:tcBorders>
                  <w:vAlign w:val="center"/>
                </w:tcPr>
                <w:p w14:paraId="1021717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生物质燃料</w:t>
                  </w:r>
                </w:p>
              </w:tc>
              <w:tc>
                <w:tcPr>
                  <w:tcW w:w="768" w:type="dxa"/>
                  <w:vMerge w:val="restart"/>
                  <w:tcBorders>
                    <w:bottom w:val="nil"/>
                  </w:tcBorders>
                  <w:vAlign w:val="center"/>
                </w:tcPr>
                <w:p w14:paraId="5E9972E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1台</w:t>
                  </w:r>
                  <w:r>
                    <w:rPr>
                      <w:rFonts w:hint="eastAsia" w:ascii="Times New Roman" w:hAnsi="Times New Roman" w:cs="宋体"/>
                      <w:color w:val="auto"/>
                      <w:sz w:val="21"/>
                      <w:szCs w:val="21"/>
                      <w:lang w:val="en-US" w:eastAsia="zh-CN"/>
                    </w:rPr>
                    <w:t>3</w:t>
                  </w:r>
                  <w:r>
                    <w:rPr>
                      <w:rFonts w:hint="eastAsia" w:ascii="Times New Roman" w:hAnsi="Times New Roman" w:eastAsia="宋体" w:cs="宋体"/>
                      <w:color w:val="auto"/>
                      <w:sz w:val="21"/>
                      <w:szCs w:val="21"/>
                    </w:rPr>
                    <w:t>t/h</w:t>
                  </w:r>
                </w:p>
              </w:tc>
              <w:tc>
                <w:tcPr>
                  <w:tcW w:w="1261" w:type="dxa"/>
                  <w:vAlign w:val="center"/>
                </w:tcPr>
                <w:p w14:paraId="7BE0788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工业废气量</w:t>
                  </w:r>
                </w:p>
              </w:tc>
              <w:tc>
                <w:tcPr>
                  <w:tcW w:w="1391" w:type="dxa"/>
                  <w:vAlign w:val="center"/>
                </w:tcPr>
                <w:p w14:paraId="0CF35A2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N</w:t>
                  </w:r>
                  <w:r>
                    <w:rPr>
                      <w:rFonts w:hint="eastAsia" w:ascii="Times New Roman" w:hAnsi="Times New Roman" w:eastAsia="宋体" w:cs="宋体"/>
                      <w:color w:val="auto"/>
                      <w:sz w:val="21"/>
                      <w:szCs w:val="21"/>
                      <w:lang w:eastAsia="zh-CN"/>
                    </w:rPr>
                    <w:t>m</w:t>
                  </w:r>
                  <w:r>
                    <w:rPr>
                      <w:rFonts w:hint="eastAsia" w:ascii="Times New Roman" w:hAnsi="Times New Roman" w:eastAsia="宋体" w:cs="宋体"/>
                      <w:color w:val="auto"/>
                      <w:sz w:val="21"/>
                      <w:szCs w:val="21"/>
                      <w:vertAlign w:val="superscript"/>
                      <w:lang w:eastAsia="zh-CN"/>
                    </w:rPr>
                    <w:t>3</w:t>
                  </w:r>
                  <w:r>
                    <w:rPr>
                      <w:rFonts w:hint="eastAsia" w:ascii="Times New Roman" w:hAnsi="Times New Roman" w:eastAsia="宋体" w:cs="宋体"/>
                      <w:color w:val="auto"/>
                      <w:sz w:val="21"/>
                      <w:szCs w:val="21"/>
                    </w:rPr>
                    <w:t>/t（原料）</w:t>
                  </w:r>
                </w:p>
              </w:tc>
              <w:tc>
                <w:tcPr>
                  <w:tcW w:w="1011" w:type="dxa"/>
                  <w:vAlign w:val="center"/>
                </w:tcPr>
                <w:p w14:paraId="7EFC3D5D">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6240</w:t>
                  </w:r>
                </w:p>
              </w:tc>
              <w:tc>
                <w:tcPr>
                  <w:tcW w:w="1261" w:type="dxa"/>
                  <w:vAlign w:val="center"/>
                </w:tcPr>
                <w:p w14:paraId="0BFEFF4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237" w:type="dxa"/>
                  <w:vAlign w:val="center"/>
                </w:tcPr>
                <w:p w14:paraId="78C47F4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w:t>
                  </w:r>
                </w:p>
              </w:tc>
            </w:tr>
            <w:tr w14:paraId="592D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bottom w:val="nil"/>
                  </w:tcBorders>
                  <w:vAlign w:val="center"/>
                </w:tcPr>
                <w:p w14:paraId="3DC1FE9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631" w:type="dxa"/>
                  <w:vMerge w:val="continue"/>
                  <w:tcBorders>
                    <w:top w:val="nil"/>
                    <w:bottom w:val="nil"/>
                  </w:tcBorders>
                  <w:vAlign w:val="center"/>
                </w:tcPr>
                <w:p w14:paraId="6A2F079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768" w:type="dxa"/>
                  <w:vMerge w:val="continue"/>
                  <w:tcBorders>
                    <w:top w:val="nil"/>
                    <w:bottom w:val="nil"/>
                  </w:tcBorders>
                  <w:vAlign w:val="center"/>
                </w:tcPr>
                <w:p w14:paraId="66E488F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261" w:type="dxa"/>
                  <w:vAlign w:val="center"/>
                </w:tcPr>
                <w:p w14:paraId="43DCF6B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颗粒物</w:t>
                  </w:r>
                </w:p>
              </w:tc>
              <w:tc>
                <w:tcPr>
                  <w:tcW w:w="1391" w:type="dxa"/>
                  <w:vAlign w:val="center"/>
                </w:tcPr>
                <w:p w14:paraId="0A5DFA5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1011" w:type="dxa"/>
                  <w:vAlign w:val="center"/>
                </w:tcPr>
                <w:p w14:paraId="35A8175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0.5</w:t>
                  </w:r>
                </w:p>
              </w:tc>
              <w:tc>
                <w:tcPr>
                  <w:tcW w:w="1261" w:type="dxa"/>
                  <w:vAlign w:val="center"/>
                </w:tcPr>
                <w:p w14:paraId="2F4F193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布袋除尘</w:t>
                  </w:r>
                </w:p>
              </w:tc>
              <w:tc>
                <w:tcPr>
                  <w:tcW w:w="1237" w:type="dxa"/>
                  <w:vAlign w:val="center"/>
                </w:tcPr>
                <w:p w14:paraId="0B4B4C9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99</w:t>
                  </w:r>
                </w:p>
              </w:tc>
            </w:tr>
            <w:tr w14:paraId="5FE78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bottom w:val="nil"/>
                  </w:tcBorders>
                  <w:vAlign w:val="center"/>
                </w:tcPr>
                <w:p w14:paraId="2ACB00F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631" w:type="dxa"/>
                  <w:vMerge w:val="continue"/>
                  <w:tcBorders>
                    <w:top w:val="nil"/>
                    <w:bottom w:val="nil"/>
                  </w:tcBorders>
                  <w:vAlign w:val="center"/>
                </w:tcPr>
                <w:p w14:paraId="5C586F3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768" w:type="dxa"/>
                  <w:vMerge w:val="continue"/>
                  <w:tcBorders>
                    <w:top w:val="nil"/>
                    <w:bottom w:val="nil"/>
                  </w:tcBorders>
                  <w:vAlign w:val="center"/>
                </w:tcPr>
                <w:p w14:paraId="24F539F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261" w:type="dxa"/>
                  <w:vAlign w:val="center"/>
                </w:tcPr>
                <w:p w14:paraId="1FCA6B8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二氧化硫</w:t>
                  </w:r>
                </w:p>
              </w:tc>
              <w:tc>
                <w:tcPr>
                  <w:tcW w:w="1391" w:type="dxa"/>
                  <w:vAlign w:val="center"/>
                </w:tcPr>
                <w:p w14:paraId="65DA300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1011" w:type="dxa"/>
                  <w:vAlign w:val="center"/>
                </w:tcPr>
                <w:p w14:paraId="0DC147A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17S</w:t>
                  </w:r>
                </w:p>
              </w:tc>
              <w:tc>
                <w:tcPr>
                  <w:tcW w:w="1261" w:type="dxa"/>
                  <w:vAlign w:val="center"/>
                </w:tcPr>
                <w:p w14:paraId="0FA10DB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237" w:type="dxa"/>
                  <w:vAlign w:val="center"/>
                </w:tcPr>
                <w:p w14:paraId="2D0812D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w:t>
                  </w:r>
                </w:p>
              </w:tc>
            </w:tr>
            <w:tr w14:paraId="38DB7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tcBorders>
                  <w:vAlign w:val="center"/>
                </w:tcPr>
                <w:p w14:paraId="16EA738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631" w:type="dxa"/>
                  <w:vMerge w:val="continue"/>
                  <w:tcBorders>
                    <w:top w:val="nil"/>
                  </w:tcBorders>
                  <w:vAlign w:val="center"/>
                </w:tcPr>
                <w:p w14:paraId="215E3D0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768" w:type="dxa"/>
                  <w:vMerge w:val="continue"/>
                  <w:tcBorders>
                    <w:top w:val="nil"/>
                  </w:tcBorders>
                  <w:vAlign w:val="center"/>
                </w:tcPr>
                <w:p w14:paraId="2283AEB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261" w:type="dxa"/>
                  <w:vAlign w:val="center"/>
                </w:tcPr>
                <w:p w14:paraId="2505E04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氮氧化物</w:t>
                  </w:r>
                </w:p>
              </w:tc>
              <w:tc>
                <w:tcPr>
                  <w:tcW w:w="1391" w:type="dxa"/>
                  <w:vAlign w:val="center"/>
                </w:tcPr>
                <w:p w14:paraId="3CA8904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1011" w:type="dxa"/>
                  <w:vAlign w:val="center"/>
                </w:tcPr>
                <w:p w14:paraId="57A1A1E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1.02</w:t>
                  </w:r>
                </w:p>
              </w:tc>
              <w:tc>
                <w:tcPr>
                  <w:tcW w:w="1261" w:type="dxa"/>
                  <w:vAlign w:val="center"/>
                </w:tcPr>
                <w:p w14:paraId="58273CC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1237" w:type="dxa"/>
                  <w:vAlign w:val="center"/>
                </w:tcPr>
                <w:p w14:paraId="00849C8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w:t>
                  </w:r>
                </w:p>
              </w:tc>
            </w:tr>
            <w:tr w14:paraId="7B9E2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8317" w:type="dxa"/>
                  <w:gridSpan w:val="8"/>
                  <w:vAlign w:val="center"/>
                </w:tcPr>
                <w:p w14:paraId="63B612A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0"/>
                      <w:szCs w:val="20"/>
                    </w:rPr>
                    <w:t>注：二氧化硫的产污系数是以含硫量（S%）的形式表示的，其中含硫量（S%）是指生物质收到基硫分含量，以质量百分数的形式表示。本项目生物质含硫量为</w:t>
                  </w:r>
                  <w:r>
                    <w:rPr>
                      <w:rFonts w:hint="eastAsia" w:ascii="Times New Roman" w:hAnsi="Times New Roman" w:cs="宋体"/>
                      <w:color w:val="auto"/>
                      <w:sz w:val="20"/>
                      <w:szCs w:val="20"/>
                      <w:lang w:val="en-US" w:eastAsia="zh-CN"/>
                    </w:rPr>
                    <w:t>0.06</w:t>
                  </w:r>
                  <w:r>
                    <w:rPr>
                      <w:rFonts w:hint="eastAsia" w:ascii="Times New Roman" w:hAnsi="Times New Roman" w:eastAsia="宋体" w:cs="宋体"/>
                      <w:color w:val="auto"/>
                      <w:sz w:val="20"/>
                      <w:szCs w:val="20"/>
                    </w:rPr>
                    <w:t>%，则S取值</w:t>
                  </w:r>
                  <w:r>
                    <w:rPr>
                      <w:rFonts w:hint="eastAsia" w:ascii="Times New Roman" w:hAnsi="Times New Roman" w:cs="宋体"/>
                      <w:color w:val="auto"/>
                      <w:sz w:val="20"/>
                      <w:szCs w:val="20"/>
                      <w:lang w:val="en-US" w:eastAsia="zh-CN"/>
                    </w:rPr>
                    <w:t>0.06</w:t>
                  </w:r>
                  <w:r>
                    <w:rPr>
                      <w:rFonts w:hint="eastAsia" w:ascii="Times New Roman" w:hAnsi="Times New Roman" w:eastAsia="宋体" w:cs="宋体"/>
                      <w:color w:val="auto"/>
                      <w:sz w:val="20"/>
                      <w:szCs w:val="20"/>
                    </w:rPr>
                    <w:t>。</w:t>
                  </w:r>
                </w:p>
              </w:tc>
            </w:tr>
          </w:tbl>
          <w:p w14:paraId="3A41255B">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项目生物质蒸汽发生器年工作时间为</w:t>
            </w:r>
            <w:r>
              <w:rPr>
                <w:rFonts w:hint="eastAsia" w:ascii="Times New Roman" w:hAnsi="Times New Roman" w:cs="宋体"/>
                <w:color w:val="auto"/>
                <w:sz w:val="24"/>
                <w:szCs w:val="24"/>
                <w:lang w:val="en-US" w:eastAsia="zh-CN"/>
              </w:rPr>
              <w:t>300</w:t>
            </w:r>
            <w:r>
              <w:rPr>
                <w:rFonts w:hint="eastAsia" w:ascii="Times New Roman" w:hAnsi="Times New Roman" w:eastAsia="宋体" w:cs="宋体"/>
                <w:color w:val="auto"/>
                <w:sz w:val="24"/>
                <w:szCs w:val="24"/>
              </w:rPr>
              <w:t>d/a，8h/d，生物质燃料使用量约为</w:t>
            </w:r>
            <w:r>
              <w:rPr>
                <w:rFonts w:hint="eastAsia" w:ascii="Times New Roman" w:hAnsi="Times New Roman" w:cs="Times New Roman"/>
                <w:color w:val="auto"/>
                <w:sz w:val="24"/>
                <w:highlight w:val="none"/>
                <w:lang w:val="en-US" w:eastAsia="zh-CN"/>
              </w:rPr>
              <w:t>3.69t</w:t>
            </w:r>
            <w:r>
              <w:rPr>
                <w:rFonts w:hint="default"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1107t</w:t>
            </w:r>
            <w:r>
              <w:rPr>
                <w:rFonts w:hint="default" w:ascii="Times New Roman" w:hAnsi="Times New Roman" w:eastAsia="宋体" w:cs="Times New Roman"/>
                <w:color w:val="auto"/>
                <w:sz w:val="24"/>
                <w:highlight w:val="none"/>
              </w:rPr>
              <w:t>/a</w:t>
            </w:r>
            <w:r>
              <w:rPr>
                <w:rFonts w:hint="eastAsia" w:ascii="Times New Roman" w:hAnsi="Times New Roman" w:eastAsia="宋体" w:cs="宋体"/>
                <w:color w:val="auto"/>
                <w:sz w:val="24"/>
                <w:szCs w:val="24"/>
              </w:rPr>
              <w:t>。废气量及各污染物产生量情况核算如下表：</w:t>
            </w:r>
          </w:p>
          <w:p w14:paraId="6893EAEC">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3</w:t>
            </w:r>
            <w:r>
              <w:rPr>
                <w:rFonts w:hint="eastAsia" w:ascii="Times New Roman" w:hAnsi="Times New Roman" w:eastAsia="宋体" w:cs="宋体"/>
                <w:b/>
                <w:bCs/>
                <w:color w:val="auto"/>
                <w:sz w:val="21"/>
                <w:szCs w:val="21"/>
              </w:rPr>
              <w:t>项目污染物产生量核算情况表</w:t>
            </w:r>
          </w:p>
          <w:tbl>
            <w:tblPr>
              <w:tblStyle w:val="80"/>
              <w:tblW w:w="813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2"/>
              <w:gridCol w:w="1044"/>
              <w:gridCol w:w="1121"/>
              <w:gridCol w:w="1390"/>
              <w:gridCol w:w="921"/>
              <w:gridCol w:w="1348"/>
              <w:gridCol w:w="1246"/>
            </w:tblGrid>
            <w:tr w14:paraId="0FF9E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Align w:val="center"/>
                </w:tcPr>
                <w:p w14:paraId="3364CB3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原料使用量</w:t>
                  </w:r>
                </w:p>
              </w:tc>
              <w:tc>
                <w:tcPr>
                  <w:tcW w:w="1044" w:type="dxa"/>
                  <w:vAlign w:val="center"/>
                </w:tcPr>
                <w:p w14:paraId="2C2E07C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年工</w:t>
                  </w:r>
                </w:p>
                <w:p w14:paraId="192C275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作时间</w:t>
                  </w:r>
                </w:p>
              </w:tc>
              <w:tc>
                <w:tcPr>
                  <w:tcW w:w="1121" w:type="dxa"/>
                  <w:vAlign w:val="center"/>
                </w:tcPr>
                <w:p w14:paraId="78519A9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污染物名称</w:t>
                  </w:r>
                </w:p>
              </w:tc>
              <w:tc>
                <w:tcPr>
                  <w:tcW w:w="1390" w:type="dxa"/>
                  <w:vAlign w:val="center"/>
                </w:tcPr>
                <w:p w14:paraId="6495B62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单位</w:t>
                  </w:r>
                </w:p>
              </w:tc>
              <w:tc>
                <w:tcPr>
                  <w:tcW w:w="921" w:type="dxa"/>
                  <w:vAlign w:val="center"/>
                </w:tcPr>
                <w:p w14:paraId="05DF46B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产污系数</w:t>
                  </w:r>
                </w:p>
              </w:tc>
              <w:tc>
                <w:tcPr>
                  <w:tcW w:w="2594" w:type="dxa"/>
                  <w:gridSpan w:val="2"/>
                  <w:vAlign w:val="center"/>
                </w:tcPr>
                <w:p w14:paraId="22FCA9F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产生量</w:t>
                  </w:r>
                </w:p>
              </w:tc>
            </w:tr>
            <w:tr w14:paraId="0A5CA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restart"/>
                  <w:tcBorders>
                    <w:bottom w:val="nil"/>
                  </w:tcBorders>
                  <w:vAlign w:val="center"/>
                </w:tcPr>
                <w:p w14:paraId="34437A0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1107</w:t>
                  </w:r>
                  <w:r>
                    <w:rPr>
                      <w:rFonts w:hint="eastAsia" w:ascii="Times New Roman" w:hAnsi="Times New Roman" w:eastAsia="宋体" w:cs="宋体"/>
                      <w:color w:val="auto"/>
                      <w:sz w:val="21"/>
                      <w:szCs w:val="21"/>
                    </w:rPr>
                    <w:t>t/a</w:t>
                  </w:r>
                </w:p>
              </w:tc>
              <w:tc>
                <w:tcPr>
                  <w:tcW w:w="1044" w:type="dxa"/>
                  <w:vMerge w:val="restart"/>
                  <w:tcBorders>
                    <w:bottom w:val="nil"/>
                  </w:tcBorders>
                  <w:vAlign w:val="center"/>
                </w:tcPr>
                <w:p w14:paraId="601F7B3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2400</w:t>
                  </w:r>
                  <w:r>
                    <w:rPr>
                      <w:rFonts w:hint="eastAsia" w:ascii="Times New Roman" w:hAnsi="Times New Roman" w:eastAsia="宋体" w:cs="宋体"/>
                      <w:color w:val="auto"/>
                      <w:sz w:val="21"/>
                      <w:szCs w:val="21"/>
                    </w:rPr>
                    <w:t>h</w:t>
                  </w:r>
                </w:p>
              </w:tc>
              <w:tc>
                <w:tcPr>
                  <w:tcW w:w="1121" w:type="dxa"/>
                  <w:vAlign w:val="center"/>
                </w:tcPr>
                <w:p w14:paraId="714CD74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废气量</w:t>
                  </w:r>
                </w:p>
              </w:tc>
              <w:tc>
                <w:tcPr>
                  <w:tcW w:w="1390" w:type="dxa"/>
                  <w:vAlign w:val="center"/>
                </w:tcPr>
                <w:p w14:paraId="3504D50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N</w:t>
                  </w:r>
                  <w:r>
                    <w:rPr>
                      <w:rFonts w:hint="eastAsia" w:ascii="Times New Roman" w:hAnsi="Times New Roman" w:eastAsia="宋体" w:cs="宋体"/>
                      <w:color w:val="auto"/>
                      <w:sz w:val="21"/>
                      <w:szCs w:val="21"/>
                      <w:lang w:eastAsia="zh-CN"/>
                    </w:rPr>
                    <w:t>m</w:t>
                  </w:r>
                  <w:r>
                    <w:rPr>
                      <w:rFonts w:hint="eastAsia" w:ascii="Times New Roman" w:hAnsi="Times New Roman" w:eastAsia="宋体" w:cs="宋体"/>
                      <w:color w:val="auto"/>
                      <w:sz w:val="21"/>
                      <w:szCs w:val="21"/>
                      <w:vertAlign w:val="superscript"/>
                      <w:lang w:eastAsia="zh-CN"/>
                    </w:rPr>
                    <w:t>3</w:t>
                  </w:r>
                  <w:r>
                    <w:rPr>
                      <w:rFonts w:hint="eastAsia" w:ascii="Times New Roman" w:hAnsi="Times New Roman" w:eastAsia="宋体" w:cs="宋体"/>
                      <w:color w:val="auto"/>
                      <w:sz w:val="21"/>
                      <w:szCs w:val="21"/>
                    </w:rPr>
                    <w:t>/t（原料）</w:t>
                  </w:r>
                </w:p>
              </w:tc>
              <w:tc>
                <w:tcPr>
                  <w:tcW w:w="921" w:type="dxa"/>
                  <w:vAlign w:val="center"/>
                </w:tcPr>
                <w:p w14:paraId="71DC41E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6240</w:t>
                  </w:r>
                </w:p>
              </w:tc>
              <w:tc>
                <w:tcPr>
                  <w:tcW w:w="1348" w:type="dxa"/>
                  <w:vAlign w:val="center"/>
                </w:tcPr>
                <w:p w14:paraId="06A5C9D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6907680</w:t>
                  </w:r>
                  <w:r>
                    <w:rPr>
                      <w:rFonts w:hint="eastAsia" w:ascii="Times New Roman" w:hAnsi="Times New Roman" w:eastAsia="宋体" w:cs="宋体"/>
                      <w:color w:val="auto"/>
                      <w:sz w:val="21"/>
                      <w:szCs w:val="21"/>
                    </w:rPr>
                    <w:t>N</w:t>
                  </w:r>
                  <w:r>
                    <w:rPr>
                      <w:rFonts w:hint="eastAsia" w:ascii="Times New Roman" w:hAnsi="Times New Roman" w:eastAsia="宋体" w:cs="宋体"/>
                      <w:color w:val="auto"/>
                      <w:sz w:val="21"/>
                      <w:szCs w:val="21"/>
                      <w:lang w:eastAsia="zh-CN"/>
                    </w:rPr>
                    <w:t>m</w:t>
                  </w:r>
                  <w:r>
                    <w:rPr>
                      <w:rFonts w:hint="eastAsia" w:ascii="Times New Roman" w:hAnsi="Times New Roman" w:eastAsia="宋体" w:cs="宋体"/>
                      <w:color w:val="auto"/>
                      <w:sz w:val="21"/>
                      <w:szCs w:val="21"/>
                      <w:vertAlign w:val="superscript"/>
                      <w:lang w:eastAsia="zh-CN"/>
                    </w:rPr>
                    <w:t>3</w:t>
                  </w:r>
                  <w:r>
                    <w:rPr>
                      <w:rFonts w:hint="eastAsia" w:ascii="Times New Roman" w:hAnsi="Times New Roman" w:eastAsia="宋体" w:cs="宋体"/>
                      <w:color w:val="auto"/>
                      <w:sz w:val="21"/>
                      <w:szCs w:val="21"/>
                    </w:rPr>
                    <w:t>/a</w:t>
                  </w:r>
                </w:p>
              </w:tc>
              <w:tc>
                <w:tcPr>
                  <w:tcW w:w="1246" w:type="dxa"/>
                  <w:vAlign w:val="center"/>
                </w:tcPr>
                <w:p w14:paraId="318E816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2878</w:t>
                  </w:r>
                  <w:r>
                    <w:rPr>
                      <w:rFonts w:hint="eastAsia" w:ascii="Times New Roman" w:hAnsi="Times New Roman" w:eastAsia="宋体" w:cs="宋体"/>
                      <w:color w:val="auto"/>
                      <w:sz w:val="21"/>
                      <w:szCs w:val="21"/>
                    </w:rPr>
                    <w:t>N</w:t>
                  </w:r>
                  <w:r>
                    <w:rPr>
                      <w:rFonts w:hint="eastAsia" w:ascii="Times New Roman" w:hAnsi="Times New Roman" w:eastAsia="宋体" w:cs="宋体"/>
                      <w:color w:val="auto"/>
                      <w:sz w:val="21"/>
                      <w:szCs w:val="21"/>
                      <w:lang w:eastAsia="zh-CN"/>
                    </w:rPr>
                    <w:t>m</w:t>
                  </w:r>
                  <w:r>
                    <w:rPr>
                      <w:rFonts w:hint="eastAsia" w:ascii="Times New Roman" w:hAnsi="Times New Roman" w:eastAsia="宋体" w:cs="宋体"/>
                      <w:color w:val="auto"/>
                      <w:sz w:val="21"/>
                      <w:szCs w:val="21"/>
                      <w:vertAlign w:val="superscript"/>
                      <w:lang w:eastAsia="zh-CN"/>
                    </w:rPr>
                    <w:t>3</w:t>
                  </w:r>
                  <w:r>
                    <w:rPr>
                      <w:rFonts w:hint="eastAsia" w:ascii="Times New Roman" w:hAnsi="Times New Roman" w:eastAsia="宋体" w:cs="宋体"/>
                      <w:color w:val="auto"/>
                      <w:sz w:val="21"/>
                      <w:szCs w:val="21"/>
                    </w:rPr>
                    <w:t>/h</w:t>
                  </w:r>
                </w:p>
              </w:tc>
            </w:tr>
            <w:tr w14:paraId="0E4E8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continue"/>
                  <w:tcBorders>
                    <w:top w:val="nil"/>
                    <w:bottom w:val="nil"/>
                  </w:tcBorders>
                  <w:vAlign w:val="center"/>
                </w:tcPr>
                <w:p w14:paraId="63F2F33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044" w:type="dxa"/>
                  <w:vMerge w:val="continue"/>
                  <w:tcBorders>
                    <w:top w:val="nil"/>
                    <w:bottom w:val="nil"/>
                  </w:tcBorders>
                  <w:vAlign w:val="center"/>
                </w:tcPr>
                <w:p w14:paraId="512E715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121" w:type="dxa"/>
                  <w:vAlign w:val="center"/>
                </w:tcPr>
                <w:p w14:paraId="2E58296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颗粒物</w:t>
                  </w:r>
                </w:p>
              </w:tc>
              <w:tc>
                <w:tcPr>
                  <w:tcW w:w="1390" w:type="dxa"/>
                  <w:vAlign w:val="center"/>
                </w:tcPr>
                <w:p w14:paraId="02D94CA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921" w:type="dxa"/>
                  <w:vAlign w:val="center"/>
                </w:tcPr>
                <w:p w14:paraId="523B206C">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0.5</w:t>
                  </w:r>
                </w:p>
              </w:tc>
              <w:tc>
                <w:tcPr>
                  <w:tcW w:w="1348" w:type="dxa"/>
                  <w:vAlign w:val="center"/>
                </w:tcPr>
                <w:p w14:paraId="76EF236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553.5</w:t>
                  </w:r>
                  <w:r>
                    <w:rPr>
                      <w:rFonts w:hint="eastAsia" w:ascii="Times New Roman" w:hAnsi="Times New Roman" w:eastAsia="宋体" w:cs="宋体"/>
                      <w:color w:val="auto"/>
                      <w:sz w:val="21"/>
                      <w:szCs w:val="21"/>
                    </w:rPr>
                    <w:t>kg/a</w:t>
                  </w:r>
                </w:p>
              </w:tc>
              <w:tc>
                <w:tcPr>
                  <w:tcW w:w="1246" w:type="dxa"/>
                  <w:vAlign w:val="center"/>
                </w:tcPr>
                <w:p w14:paraId="5DEFDF7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0.554</w:t>
                  </w:r>
                  <w:r>
                    <w:rPr>
                      <w:rFonts w:hint="eastAsia" w:ascii="Times New Roman" w:hAnsi="Times New Roman" w:eastAsia="宋体" w:cs="宋体"/>
                      <w:color w:val="auto"/>
                      <w:sz w:val="21"/>
                      <w:szCs w:val="21"/>
                    </w:rPr>
                    <w:t>t/a</w:t>
                  </w:r>
                </w:p>
              </w:tc>
            </w:tr>
            <w:tr w14:paraId="2DD0B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continue"/>
                  <w:tcBorders>
                    <w:top w:val="nil"/>
                    <w:bottom w:val="nil"/>
                  </w:tcBorders>
                  <w:vAlign w:val="center"/>
                </w:tcPr>
                <w:p w14:paraId="2D3F0EDA">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044" w:type="dxa"/>
                  <w:vMerge w:val="continue"/>
                  <w:tcBorders>
                    <w:top w:val="nil"/>
                    <w:bottom w:val="nil"/>
                  </w:tcBorders>
                  <w:vAlign w:val="center"/>
                </w:tcPr>
                <w:p w14:paraId="664F15A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121" w:type="dxa"/>
                  <w:vAlign w:val="center"/>
                </w:tcPr>
                <w:p w14:paraId="783354B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二氧化硫</w:t>
                  </w:r>
                </w:p>
              </w:tc>
              <w:tc>
                <w:tcPr>
                  <w:tcW w:w="1390" w:type="dxa"/>
                  <w:vAlign w:val="center"/>
                </w:tcPr>
                <w:p w14:paraId="1DE5710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921" w:type="dxa"/>
                  <w:vAlign w:val="center"/>
                </w:tcPr>
                <w:p w14:paraId="5E89A5D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17S</w:t>
                  </w:r>
                </w:p>
              </w:tc>
              <w:tc>
                <w:tcPr>
                  <w:tcW w:w="1348" w:type="dxa"/>
                  <w:vAlign w:val="center"/>
                </w:tcPr>
                <w:p w14:paraId="3C5E3377">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1129.14</w:t>
                  </w:r>
                  <w:r>
                    <w:rPr>
                      <w:rFonts w:hint="eastAsia" w:ascii="Times New Roman" w:hAnsi="Times New Roman" w:eastAsia="宋体" w:cs="宋体"/>
                      <w:color w:val="auto"/>
                      <w:sz w:val="21"/>
                      <w:szCs w:val="21"/>
                    </w:rPr>
                    <w:t>kg/a</w:t>
                  </w:r>
                </w:p>
              </w:tc>
              <w:tc>
                <w:tcPr>
                  <w:tcW w:w="1246" w:type="dxa"/>
                  <w:vAlign w:val="center"/>
                </w:tcPr>
                <w:p w14:paraId="206E0CD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1.129</w:t>
                  </w:r>
                  <w:r>
                    <w:rPr>
                      <w:rFonts w:hint="eastAsia" w:ascii="Times New Roman" w:hAnsi="Times New Roman" w:eastAsia="宋体" w:cs="宋体"/>
                      <w:color w:val="auto"/>
                      <w:sz w:val="21"/>
                      <w:szCs w:val="21"/>
                    </w:rPr>
                    <w:t>t/a</w:t>
                  </w:r>
                </w:p>
              </w:tc>
            </w:tr>
            <w:tr w14:paraId="23B1E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062" w:type="dxa"/>
                  <w:vMerge w:val="continue"/>
                  <w:tcBorders>
                    <w:top w:val="nil"/>
                  </w:tcBorders>
                  <w:vAlign w:val="center"/>
                </w:tcPr>
                <w:p w14:paraId="1A52F8E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044" w:type="dxa"/>
                  <w:vMerge w:val="continue"/>
                  <w:tcBorders>
                    <w:top w:val="nil"/>
                  </w:tcBorders>
                  <w:vAlign w:val="center"/>
                </w:tcPr>
                <w:p w14:paraId="443E627E">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p>
              </w:tc>
              <w:tc>
                <w:tcPr>
                  <w:tcW w:w="1121" w:type="dxa"/>
                  <w:vAlign w:val="center"/>
                </w:tcPr>
                <w:p w14:paraId="6640C79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氮氧化物</w:t>
                  </w:r>
                </w:p>
              </w:tc>
              <w:tc>
                <w:tcPr>
                  <w:tcW w:w="1390" w:type="dxa"/>
                  <w:vAlign w:val="center"/>
                </w:tcPr>
                <w:p w14:paraId="38D0D00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kg/t（原料）</w:t>
                  </w:r>
                </w:p>
              </w:tc>
              <w:tc>
                <w:tcPr>
                  <w:tcW w:w="921" w:type="dxa"/>
                  <w:vAlign w:val="center"/>
                </w:tcPr>
                <w:p w14:paraId="75CC2D4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1.02</w:t>
                  </w:r>
                </w:p>
              </w:tc>
              <w:tc>
                <w:tcPr>
                  <w:tcW w:w="1348" w:type="dxa"/>
                  <w:vAlign w:val="center"/>
                </w:tcPr>
                <w:p w14:paraId="5E2735F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1129.14</w:t>
                  </w:r>
                  <w:r>
                    <w:rPr>
                      <w:rFonts w:hint="eastAsia" w:ascii="Times New Roman" w:hAnsi="Times New Roman" w:eastAsia="宋体" w:cs="宋体"/>
                      <w:color w:val="auto"/>
                      <w:sz w:val="21"/>
                      <w:szCs w:val="21"/>
                    </w:rPr>
                    <w:t>kg/a</w:t>
                  </w:r>
                </w:p>
              </w:tc>
              <w:tc>
                <w:tcPr>
                  <w:tcW w:w="1246" w:type="dxa"/>
                  <w:vAlign w:val="center"/>
                </w:tcPr>
                <w:p w14:paraId="2D415324">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1.129</w:t>
                  </w:r>
                  <w:r>
                    <w:rPr>
                      <w:rFonts w:hint="eastAsia" w:ascii="Times New Roman" w:hAnsi="Times New Roman" w:eastAsia="宋体" w:cs="宋体"/>
                      <w:color w:val="auto"/>
                      <w:sz w:val="21"/>
                      <w:szCs w:val="21"/>
                    </w:rPr>
                    <w:t>t/a</w:t>
                  </w:r>
                </w:p>
              </w:tc>
            </w:tr>
          </w:tbl>
          <w:p w14:paraId="60DF5A53">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根据表4.</w:t>
            </w:r>
            <w:r>
              <w:rPr>
                <w:rFonts w:hint="eastAsia" w:ascii="Times New Roman" w:hAnsi="Times New Roman" w:cs="宋体"/>
                <w:color w:val="auto"/>
                <w:sz w:val="24"/>
                <w:szCs w:val="24"/>
                <w:lang w:val="en-US" w:eastAsia="zh-CN"/>
              </w:rPr>
              <w:t>4</w:t>
            </w:r>
            <w:r>
              <w:rPr>
                <w:rFonts w:hint="eastAsia" w:ascii="Times New Roman" w:hAnsi="Times New Roman" w:eastAsia="宋体" w:cs="宋体"/>
                <w:color w:val="auto"/>
                <w:sz w:val="24"/>
                <w:szCs w:val="24"/>
              </w:rPr>
              <w:t>可知，项目废气量为</w:t>
            </w:r>
            <w:r>
              <w:rPr>
                <w:rFonts w:hint="eastAsia" w:ascii="Times New Roman" w:hAnsi="Times New Roman" w:cs="宋体"/>
                <w:color w:val="auto"/>
                <w:sz w:val="24"/>
                <w:szCs w:val="24"/>
                <w:lang w:val="en-US" w:eastAsia="zh-CN"/>
              </w:rPr>
              <w:t>6907680</w:t>
            </w:r>
            <w:r>
              <w:rPr>
                <w:rFonts w:hint="eastAsia" w:ascii="Times New Roman" w:hAnsi="Times New Roman" w:eastAsia="宋体" w:cs="宋体"/>
                <w:color w:val="auto"/>
                <w:sz w:val="24"/>
                <w:szCs w:val="24"/>
              </w:rPr>
              <w:t>N</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/a，</w:t>
            </w:r>
            <w:r>
              <w:rPr>
                <w:rFonts w:hint="eastAsia" w:ascii="Times New Roman" w:hAnsi="Times New Roman" w:cs="宋体"/>
                <w:color w:val="auto"/>
                <w:sz w:val="24"/>
                <w:szCs w:val="24"/>
                <w:lang w:val="en-US" w:eastAsia="zh-CN"/>
              </w:rPr>
              <w:t>2878</w:t>
            </w:r>
            <w:r>
              <w:rPr>
                <w:rFonts w:hint="eastAsia" w:ascii="Times New Roman" w:hAnsi="Times New Roman" w:eastAsia="宋体" w:cs="宋体"/>
                <w:color w:val="auto"/>
                <w:sz w:val="24"/>
                <w:szCs w:val="24"/>
              </w:rPr>
              <w:t>N</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/h，颗粒物产生量为</w:t>
            </w:r>
            <w:r>
              <w:rPr>
                <w:rFonts w:hint="eastAsia" w:ascii="Times New Roman" w:hAnsi="Times New Roman" w:cs="宋体"/>
                <w:color w:val="auto"/>
                <w:sz w:val="24"/>
                <w:szCs w:val="24"/>
                <w:lang w:val="en-US" w:eastAsia="zh-CN"/>
              </w:rPr>
              <w:t>0.554</w:t>
            </w:r>
            <w:r>
              <w:rPr>
                <w:rFonts w:hint="eastAsia" w:ascii="Times New Roman" w:hAnsi="Times New Roman" w:eastAsia="宋体" w:cs="宋体"/>
                <w:color w:val="auto"/>
                <w:sz w:val="24"/>
                <w:szCs w:val="24"/>
              </w:rPr>
              <w:t>t/a；二氧化硫产生量为</w:t>
            </w:r>
            <w:r>
              <w:rPr>
                <w:rFonts w:hint="eastAsia" w:ascii="Times New Roman" w:hAnsi="Times New Roman" w:cs="宋体"/>
                <w:color w:val="auto"/>
                <w:sz w:val="24"/>
                <w:szCs w:val="24"/>
                <w:lang w:val="en-US" w:eastAsia="zh-CN"/>
              </w:rPr>
              <w:t>1.129</w:t>
            </w:r>
            <w:r>
              <w:rPr>
                <w:rFonts w:hint="eastAsia" w:ascii="Times New Roman" w:hAnsi="Times New Roman" w:eastAsia="宋体" w:cs="宋体"/>
                <w:color w:val="auto"/>
                <w:sz w:val="24"/>
                <w:szCs w:val="24"/>
              </w:rPr>
              <w:t>t/a；氮氧化物产生量</w:t>
            </w:r>
            <w:r>
              <w:rPr>
                <w:rFonts w:hint="eastAsia" w:ascii="Times New Roman" w:hAnsi="Times New Roman" w:cs="宋体"/>
                <w:color w:val="auto"/>
                <w:sz w:val="24"/>
                <w:szCs w:val="24"/>
                <w:lang w:val="en-US" w:eastAsia="zh-CN"/>
              </w:rPr>
              <w:t>1.129</w:t>
            </w:r>
            <w:r>
              <w:rPr>
                <w:rFonts w:hint="eastAsia" w:ascii="Times New Roman" w:hAnsi="Times New Roman" w:eastAsia="宋体" w:cs="宋体"/>
                <w:color w:val="auto"/>
                <w:sz w:val="24"/>
                <w:szCs w:val="24"/>
              </w:rPr>
              <w:t>t/a。</w:t>
            </w:r>
          </w:p>
          <w:p w14:paraId="202CDBFB">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根据建设单位提供的资料，项目生物质蒸汽发生器配套安装布袋除尘设施，颗粒物去除效率按99%计，布袋除尘设施对二氧化硫和氮氧化物无去除效率。蒸汽发生器燃烧废气经布袋除尘器处理后通过一个30m高的排气筒</w:t>
            </w: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lang w:val="en-US" w:eastAsia="zh-CN"/>
              </w:rPr>
              <w:t>DA001</w:t>
            </w:r>
            <w:r>
              <w:rPr>
                <w:rFonts w:hint="eastAsia" w:ascii="Times New Roman" w:hAnsi="Times New Roman" w:cs="宋体"/>
                <w:color w:val="auto"/>
                <w:sz w:val="24"/>
                <w:szCs w:val="24"/>
                <w:lang w:eastAsia="zh-CN"/>
              </w:rPr>
              <w:t>）</w:t>
            </w:r>
            <w:r>
              <w:rPr>
                <w:rFonts w:hint="eastAsia" w:ascii="Times New Roman" w:hAnsi="Times New Roman" w:eastAsia="宋体" w:cs="宋体"/>
                <w:color w:val="auto"/>
                <w:sz w:val="24"/>
                <w:szCs w:val="24"/>
              </w:rPr>
              <w:t>排放。</w:t>
            </w:r>
          </w:p>
          <w:p w14:paraId="13157C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lang w:eastAsia="zh-CN"/>
              </w:rPr>
              <w:t>可计算出</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燃烧后各污染物的源强见表</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p>
          <w:p w14:paraId="5B02F663">
            <w:pPr>
              <w:widowControl w:val="0"/>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宋体" w:cs="Times New Roman"/>
                <w:b/>
                <w:bCs/>
                <w:color w:val="auto"/>
                <w:spacing w:val="6"/>
                <w:sz w:val="21"/>
                <w:szCs w:val="21"/>
                <w:highlight w:val="none"/>
                <w:lang w:val="en-US" w:eastAsia="zh-CN"/>
              </w:rPr>
              <w:t>4-</w:t>
            </w:r>
            <w:r>
              <w:rPr>
                <w:rFonts w:hint="eastAsia" w:ascii="Times New Roman" w:hAnsi="Times New Roman" w:cs="Times New Roman"/>
                <w:b/>
                <w:bCs/>
                <w:color w:val="auto"/>
                <w:spacing w:val="6"/>
                <w:sz w:val="21"/>
                <w:szCs w:val="21"/>
                <w:highlight w:val="none"/>
                <w:lang w:val="en-US" w:eastAsia="zh-CN"/>
              </w:rPr>
              <w:t>4</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生物质</w:t>
            </w:r>
            <w:r>
              <w:rPr>
                <w:rFonts w:hint="default" w:ascii="Times New Roman" w:hAnsi="Times New Roman" w:eastAsia="宋体" w:cs="Times New Roman"/>
                <w:b/>
                <w:bCs/>
                <w:color w:val="auto"/>
                <w:spacing w:val="6"/>
                <w:sz w:val="21"/>
                <w:szCs w:val="21"/>
                <w:highlight w:val="none"/>
              </w:rPr>
              <w:t>锅炉</w:t>
            </w:r>
            <w:r>
              <w:rPr>
                <w:rFonts w:hint="default" w:ascii="Times New Roman" w:hAnsi="Times New Roman" w:eastAsia="宋体" w:cs="Times New Roman"/>
                <w:b/>
                <w:bCs/>
                <w:color w:val="auto"/>
                <w:spacing w:val="6"/>
                <w:sz w:val="21"/>
                <w:szCs w:val="21"/>
                <w:highlight w:val="none"/>
                <w:lang w:val="en-US" w:eastAsia="zh-CN"/>
              </w:rPr>
              <w:t>燃料燃烧</w:t>
            </w:r>
            <w:r>
              <w:rPr>
                <w:rFonts w:hint="default" w:ascii="Times New Roman" w:hAnsi="Times New Roman" w:eastAsia="宋体" w:cs="Times New Roman"/>
                <w:b/>
                <w:bCs/>
                <w:color w:val="auto"/>
                <w:spacing w:val="6"/>
                <w:sz w:val="21"/>
                <w:szCs w:val="21"/>
                <w:highlight w:val="none"/>
              </w:rPr>
              <w:t>废气</w:t>
            </w:r>
            <w:r>
              <w:rPr>
                <w:rFonts w:hint="default" w:ascii="Times New Roman" w:hAnsi="Times New Roman" w:eastAsia="宋体" w:cs="Times New Roman"/>
                <w:b/>
                <w:bCs/>
                <w:color w:val="auto"/>
                <w:spacing w:val="6"/>
                <w:sz w:val="21"/>
                <w:szCs w:val="21"/>
                <w:highlight w:val="none"/>
                <w:lang w:val="en-US" w:eastAsia="zh-CN"/>
              </w:rPr>
              <w:t>产排一览表</w:t>
            </w:r>
          </w:p>
          <w:tbl>
            <w:tblPr>
              <w:tblStyle w:val="28"/>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09"/>
              <w:gridCol w:w="907"/>
              <w:gridCol w:w="872"/>
              <w:gridCol w:w="894"/>
              <w:gridCol w:w="1044"/>
              <w:gridCol w:w="935"/>
              <w:gridCol w:w="900"/>
              <w:gridCol w:w="921"/>
            </w:tblGrid>
            <w:tr w14:paraId="7903A28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0" w:type="dxa"/>
                  <w:vMerge w:val="restart"/>
                  <w:tcBorders>
                    <w:tl2br w:val="nil"/>
                    <w:tr2bl w:val="nil"/>
                  </w:tcBorders>
                  <w:noWrap w:val="0"/>
                  <w:vAlign w:val="center"/>
                </w:tcPr>
                <w:p w14:paraId="2F3079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1309" w:type="dxa"/>
                  <w:vMerge w:val="restart"/>
                  <w:tcBorders>
                    <w:tl2br w:val="nil"/>
                    <w:tr2bl w:val="nil"/>
                  </w:tcBorders>
                  <w:noWrap w:val="0"/>
                  <w:vAlign w:val="center"/>
                </w:tcPr>
                <w:p w14:paraId="310F86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907" w:type="dxa"/>
                  <w:vMerge w:val="restart"/>
                  <w:tcBorders>
                    <w:tl2br w:val="nil"/>
                    <w:tr2bl w:val="nil"/>
                  </w:tcBorders>
                  <w:noWrap w:val="0"/>
                  <w:vAlign w:val="center"/>
                </w:tcPr>
                <w:p w14:paraId="19C93F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810" w:type="dxa"/>
                  <w:gridSpan w:val="3"/>
                  <w:tcBorders>
                    <w:tl2br w:val="nil"/>
                    <w:tr2bl w:val="nil"/>
                  </w:tcBorders>
                  <w:noWrap w:val="0"/>
                  <w:vAlign w:val="center"/>
                </w:tcPr>
                <w:p w14:paraId="03509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756" w:type="dxa"/>
                  <w:gridSpan w:val="3"/>
                  <w:tcBorders>
                    <w:tl2br w:val="nil"/>
                    <w:tr2bl w:val="nil"/>
                  </w:tcBorders>
                  <w:noWrap w:val="0"/>
                  <w:vAlign w:val="center"/>
                </w:tcPr>
                <w:p w14:paraId="22997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14:paraId="46D5236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0" w:type="dxa"/>
                  <w:vMerge w:val="continue"/>
                  <w:tcBorders>
                    <w:tl2br w:val="nil"/>
                    <w:tr2bl w:val="nil"/>
                  </w:tcBorders>
                  <w:noWrap w:val="0"/>
                  <w:vAlign w:val="center"/>
                </w:tcPr>
                <w:p w14:paraId="40067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309" w:type="dxa"/>
                  <w:vMerge w:val="continue"/>
                  <w:tcBorders>
                    <w:tl2br w:val="nil"/>
                    <w:tr2bl w:val="nil"/>
                  </w:tcBorders>
                  <w:noWrap w:val="0"/>
                  <w:vAlign w:val="center"/>
                </w:tcPr>
                <w:p w14:paraId="058A34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907" w:type="dxa"/>
                  <w:vMerge w:val="continue"/>
                  <w:tcBorders>
                    <w:tl2br w:val="nil"/>
                    <w:tr2bl w:val="nil"/>
                  </w:tcBorders>
                  <w:noWrap w:val="0"/>
                  <w:vAlign w:val="center"/>
                </w:tcPr>
                <w:p w14:paraId="15B83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872" w:type="dxa"/>
                  <w:tcBorders>
                    <w:tl2br w:val="nil"/>
                    <w:tr2bl w:val="nil"/>
                  </w:tcBorders>
                  <w:noWrap w:val="0"/>
                  <w:vAlign w:val="center"/>
                </w:tcPr>
                <w:p w14:paraId="3F5DC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894" w:type="dxa"/>
                  <w:tcBorders>
                    <w:tl2br w:val="nil"/>
                    <w:tr2bl w:val="nil"/>
                  </w:tcBorders>
                  <w:noWrap w:val="0"/>
                  <w:vAlign w:val="center"/>
                </w:tcPr>
                <w:p w14:paraId="7952CB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044" w:type="dxa"/>
                  <w:tcBorders>
                    <w:tl2br w:val="nil"/>
                    <w:tr2bl w:val="nil"/>
                  </w:tcBorders>
                  <w:noWrap w:val="0"/>
                  <w:vAlign w:val="center"/>
                </w:tcPr>
                <w:p w14:paraId="618B57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935" w:type="dxa"/>
                  <w:tcBorders>
                    <w:tl2br w:val="nil"/>
                    <w:tr2bl w:val="nil"/>
                  </w:tcBorders>
                  <w:noWrap w:val="0"/>
                  <w:vAlign w:val="center"/>
                </w:tcPr>
                <w:p w14:paraId="575428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900" w:type="dxa"/>
                  <w:tcBorders>
                    <w:tl2br w:val="nil"/>
                    <w:tr2bl w:val="nil"/>
                  </w:tcBorders>
                  <w:noWrap w:val="0"/>
                  <w:vAlign w:val="center"/>
                </w:tcPr>
                <w:p w14:paraId="049C69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921" w:type="dxa"/>
                  <w:tcBorders>
                    <w:tl2br w:val="nil"/>
                    <w:tr2bl w:val="nil"/>
                  </w:tcBorders>
                  <w:noWrap w:val="0"/>
                  <w:vAlign w:val="center"/>
                </w:tcPr>
                <w:p w14:paraId="4D73DF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14:paraId="151D9B0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40" w:type="dxa"/>
                  <w:vMerge w:val="restart"/>
                  <w:tcBorders>
                    <w:tl2br w:val="nil"/>
                    <w:tr2bl w:val="nil"/>
                  </w:tcBorders>
                  <w:noWrap w:val="0"/>
                  <w:vAlign w:val="center"/>
                </w:tcPr>
                <w:p w14:paraId="31F90A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t/h</w:t>
                  </w:r>
                  <w:r>
                    <w:rPr>
                      <w:rFonts w:hint="eastAsia" w:ascii="Times New Roman" w:hAnsi="Times New Roman" w:cs="Times New Roman"/>
                      <w:color w:val="auto"/>
                      <w:sz w:val="21"/>
                      <w:szCs w:val="21"/>
                      <w:highlight w:val="none"/>
                      <w:lang w:val="en-US" w:eastAsia="zh-CN"/>
                    </w:rPr>
                    <w:t>生物质</w:t>
                  </w:r>
                  <w:r>
                    <w:rPr>
                      <w:rFonts w:hint="default" w:ascii="Times New Roman" w:hAnsi="Times New Roman" w:eastAsia="宋体" w:cs="Times New Roman"/>
                      <w:color w:val="auto"/>
                      <w:sz w:val="21"/>
                      <w:szCs w:val="21"/>
                      <w:highlight w:val="none"/>
                      <w:lang w:val="en-US" w:eastAsia="zh-CN"/>
                    </w:rPr>
                    <w:t>锅炉</w:t>
                  </w:r>
                  <w:r>
                    <w:rPr>
                      <w:rFonts w:hint="default" w:ascii="Times New Roman" w:hAnsi="Times New Roman" w:eastAsia="宋体" w:cs="Times New Roman"/>
                      <w:color w:val="auto"/>
                      <w:sz w:val="21"/>
                      <w:szCs w:val="21"/>
                      <w:highlight w:val="none"/>
                    </w:rPr>
                    <w:t>燃烧废气</w:t>
                  </w:r>
                </w:p>
              </w:tc>
              <w:tc>
                <w:tcPr>
                  <w:tcW w:w="1309" w:type="dxa"/>
                  <w:vMerge w:val="restart"/>
                  <w:tcBorders>
                    <w:tl2br w:val="nil"/>
                    <w:tr2bl w:val="nil"/>
                  </w:tcBorders>
                  <w:noWrap w:val="0"/>
                  <w:vAlign w:val="center"/>
                </w:tcPr>
                <w:p w14:paraId="3D5A1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3.69t</w:t>
                  </w:r>
                  <w:r>
                    <w:rPr>
                      <w:rFonts w:hint="default" w:ascii="Times New Roman" w:hAnsi="Times New Roman" w:eastAsia="宋体" w:cs="Times New Roman"/>
                      <w:color w:val="auto"/>
                      <w:sz w:val="21"/>
                      <w:szCs w:val="21"/>
                      <w:highlight w:val="none"/>
                      <w:lang w:eastAsia="zh-CN"/>
                    </w:rPr>
                    <w:t>/d</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1107t</w:t>
                  </w:r>
                  <w:r>
                    <w:rPr>
                      <w:rFonts w:hint="default" w:ascii="Times New Roman" w:hAnsi="Times New Roman" w:eastAsia="宋体" w:cs="Times New Roman"/>
                      <w:color w:val="auto"/>
                      <w:sz w:val="21"/>
                      <w:szCs w:val="21"/>
                      <w:highlight w:val="none"/>
                      <w:lang w:eastAsia="zh-CN"/>
                    </w:rPr>
                    <w:t>/a</w:t>
                  </w:r>
                </w:p>
              </w:tc>
              <w:tc>
                <w:tcPr>
                  <w:tcW w:w="907" w:type="dxa"/>
                  <w:tcBorders>
                    <w:tl2br w:val="nil"/>
                    <w:tr2bl w:val="nil"/>
                  </w:tcBorders>
                  <w:noWrap w:val="0"/>
                  <w:vAlign w:val="center"/>
                </w:tcPr>
                <w:p w14:paraId="1B507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5566" w:type="dxa"/>
                  <w:gridSpan w:val="6"/>
                  <w:tcBorders>
                    <w:tl2br w:val="nil"/>
                    <w:tr2bl w:val="nil"/>
                  </w:tcBorders>
                  <w:noWrap w:val="0"/>
                  <w:vAlign w:val="center"/>
                </w:tcPr>
                <w:p w14:paraId="5CBC50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6907680</w:t>
                  </w:r>
                  <w:r>
                    <w:rPr>
                      <w:rFonts w:hint="eastAsia" w:ascii="Times New Roman" w:hAnsi="Times New Roman" w:eastAsia="宋体" w:cs="Times New Roman"/>
                      <w:color w:val="auto"/>
                      <w:sz w:val="21"/>
                      <w:szCs w:val="21"/>
                      <w:highlight w:val="none"/>
                      <w:lang w:eastAsia="zh-CN"/>
                    </w:rPr>
                    <w:t>Nm3/a，</w:t>
                  </w:r>
                  <w:r>
                    <w:rPr>
                      <w:rFonts w:hint="eastAsia" w:ascii="Times New Roman" w:hAnsi="Times New Roman" w:eastAsia="宋体" w:cs="Times New Roman"/>
                      <w:color w:val="auto"/>
                      <w:sz w:val="21"/>
                      <w:szCs w:val="21"/>
                      <w:highlight w:val="none"/>
                      <w:lang w:val="en-US" w:eastAsia="zh-CN"/>
                    </w:rPr>
                    <w:t>2878</w:t>
                  </w:r>
                  <w:r>
                    <w:rPr>
                      <w:rFonts w:hint="eastAsia" w:ascii="Times New Roman" w:hAnsi="Times New Roman" w:eastAsia="宋体" w:cs="Times New Roman"/>
                      <w:color w:val="auto"/>
                      <w:sz w:val="21"/>
                      <w:szCs w:val="21"/>
                      <w:highlight w:val="none"/>
                      <w:lang w:eastAsia="zh-CN"/>
                    </w:rPr>
                    <w:t>Nm3/h</w:t>
                  </w:r>
                </w:p>
              </w:tc>
            </w:tr>
            <w:tr w14:paraId="33B1DF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tcBorders>
                    <w:tl2br w:val="nil"/>
                    <w:tr2bl w:val="nil"/>
                  </w:tcBorders>
                  <w:noWrap w:val="0"/>
                  <w:vAlign w:val="center"/>
                </w:tcPr>
                <w:p w14:paraId="29A715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14:paraId="5FDCC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07" w:type="dxa"/>
                  <w:tcBorders>
                    <w:tl2br w:val="nil"/>
                    <w:tr2bl w:val="nil"/>
                  </w:tcBorders>
                  <w:noWrap w:val="0"/>
                  <w:vAlign w:val="center"/>
                </w:tcPr>
                <w:p w14:paraId="73F73A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872" w:type="dxa"/>
                  <w:tcBorders>
                    <w:tl2br w:val="nil"/>
                    <w:tr2bl w:val="nil"/>
                  </w:tcBorders>
                  <w:noWrap w:val="0"/>
                  <w:vAlign w:val="center"/>
                </w:tcPr>
                <w:p w14:paraId="35EBED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0.554</w:t>
                  </w:r>
                </w:p>
              </w:tc>
              <w:tc>
                <w:tcPr>
                  <w:tcW w:w="894" w:type="dxa"/>
                  <w:tcBorders>
                    <w:tl2br w:val="nil"/>
                    <w:tr2bl w:val="nil"/>
                  </w:tcBorders>
                  <w:noWrap w:val="0"/>
                  <w:vAlign w:val="center"/>
                </w:tcPr>
                <w:p w14:paraId="573A4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w:t>
                  </w:r>
                </w:p>
              </w:tc>
              <w:tc>
                <w:tcPr>
                  <w:tcW w:w="1044" w:type="dxa"/>
                  <w:tcBorders>
                    <w:tl2br w:val="nil"/>
                    <w:tr2bl w:val="nil"/>
                  </w:tcBorders>
                  <w:noWrap w:val="0"/>
                  <w:vAlign w:val="center"/>
                </w:tcPr>
                <w:p w14:paraId="3A72E5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79.92</w:t>
                  </w:r>
                </w:p>
              </w:tc>
              <w:tc>
                <w:tcPr>
                  <w:tcW w:w="935" w:type="dxa"/>
                  <w:tcBorders>
                    <w:tl2br w:val="nil"/>
                    <w:tr2bl w:val="nil"/>
                  </w:tcBorders>
                  <w:noWrap w:val="0"/>
                  <w:vAlign w:val="center"/>
                </w:tcPr>
                <w:p w14:paraId="0E304E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0.00554</w:t>
                  </w:r>
                </w:p>
              </w:tc>
              <w:tc>
                <w:tcPr>
                  <w:tcW w:w="900" w:type="dxa"/>
                  <w:tcBorders>
                    <w:tl2br w:val="nil"/>
                    <w:tr2bl w:val="nil"/>
                  </w:tcBorders>
                  <w:noWrap w:val="0"/>
                  <w:vAlign w:val="center"/>
                </w:tcPr>
                <w:p w14:paraId="4CF977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0.0023</w:t>
                  </w:r>
                </w:p>
              </w:tc>
              <w:tc>
                <w:tcPr>
                  <w:tcW w:w="921" w:type="dxa"/>
                  <w:tcBorders>
                    <w:tl2br w:val="nil"/>
                    <w:tr2bl w:val="nil"/>
                  </w:tcBorders>
                  <w:noWrap w:val="0"/>
                  <w:vAlign w:val="center"/>
                </w:tcPr>
                <w:p w14:paraId="79341F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0.799</w:t>
                  </w:r>
                </w:p>
              </w:tc>
            </w:tr>
            <w:tr w14:paraId="24D3F8C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40" w:type="dxa"/>
                  <w:vMerge w:val="continue"/>
                  <w:tcBorders>
                    <w:tl2br w:val="nil"/>
                    <w:tr2bl w:val="nil"/>
                  </w:tcBorders>
                  <w:noWrap w:val="0"/>
                  <w:vAlign w:val="center"/>
                </w:tcPr>
                <w:p w14:paraId="1B36A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14:paraId="4E0D6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07" w:type="dxa"/>
                  <w:tcBorders>
                    <w:tl2br w:val="nil"/>
                    <w:tr2bl w:val="nil"/>
                  </w:tcBorders>
                  <w:noWrap w:val="0"/>
                  <w:vAlign w:val="center"/>
                </w:tcPr>
                <w:p w14:paraId="5D042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SO2</w:t>
                  </w:r>
                </w:p>
              </w:tc>
              <w:tc>
                <w:tcPr>
                  <w:tcW w:w="872" w:type="dxa"/>
                  <w:tcBorders>
                    <w:tl2br w:val="nil"/>
                    <w:tr2bl w:val="nil"/>
                  </w:tcBorders>
                  <w:noWrap w:val="0"/>
                  <w:vAlign w:val="center"/>
                </w:tcPr>
                <w:p w14:paraId="3A1790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894" w:type="dxa"/>
                  <w:tcBorders>
                    <w:tl2br w:val="nil"/>
                    <w:tr2bl w:val="nil"/>
                  </w:tcBorders>
                  <w:noWrap w:val="0"/>
                  <w:vAlign w:val="center"/>
                </w:tcPr>
                <w:p w14:paraId="12CD6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0.47</w:t>
                  </w:r>
                </w:p>
              </w:tc>
              <w:tc>
                <w:tcPr>
                  <w:tcW w:w="1044" w:type="dxa"/>
                  <w:tcBorders>
                    <w:tl2br w:val="nil"/>
                    <w:tr2bl w:val="nil"/>
                  </w:tcBorders>
                  <w:noWrap w:val="0"/>
                  <w:vAlign w:val="center"/>
                </w:tcPr>
                <w:p w14:paraId="380E16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935" w:type="dxa"/>
                  <w:tcBorders>
                    <w:tl2br w:val="nil"/>
                    <w:tr2bl w:val="nil"/>
                  </w:tcBorders>
                  <w:noWrap w:val="0"/>
                  <w:vAlign w:val="center"/>
                </w:tcPr>
                <w:p w14:paraId="3A3AD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tcBorders>
                    <w:tl2br w:val="nil"/>
                    <w:tr2bl w:val="nil"/>
                  </w:tcBorders>
                  <w:noWrap w:val="0"/>
                  <w:vAlign w:val="center"/>
                </w:tcPr>
                <w:p w14:paraId="2B46FA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0.47</w:t>
                  </w:r>
                </w:p>
              </w:tc>
              <w:tc>
                <w:tcPr>
                  <w:tcW w:w="921" w:type="dxa"/>
                  <w:tcBorders>
                    <w:tl2br w:val="nil"/>
                    <w:tr2bl w:val="nil"/>
                  </w:tcBorders>
                  <w:noWrap w:val="0"/>
                  <w:vAlign w:val="center"/>
                </w:tcPr>
                <w:p w14:paraId="6CC761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r>
            <w:tr w14:paraId="3B6AB7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40" w:type="dxa"/>
                  <w:vMerge w:val="continue"/>
                  <w:tcBorders>
                    <w:tl2br w:val="nil"/>
                    <w:tr2bl w:val="nil"/>
                  </w:tcBorders>
                  <w:noWrap w:val="0"/>
                  <w:vAlign w:val="center"/>
                </w:tcPr>
                <w:p w14:paraId="7FC147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14:paraId="61CB4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07" w:type="dxa"/>
                  <w:tcBorders>
                    <w:tl2br w:val="nil"/>
                    <w:tr2bl w:val="nil"/>
                  </w:tcBorders>
                  <w:noWrap w:val="0"/>
                  <w:vAlign w:val="center"/>
                </w:tcPr>
                <w:p w14:paraId="69522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872" w:type="dxa"/>
                  <w:tcBorders>
                    <w:tl2br w:val="nil"/>
                    <w:tr2bl w:val="nil"/>
                  </w:tcBorders>
                  <w:noWrap w:val="0"/>
                  <w:vAlign w:val="center"/>
                </w:tcPr>
                <w:p w14:paraId="2F8C56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894" w:type="dxa"/>
                  <w:tcBorders>
                    <w:tl2br w:val="nil"/>
                    <w:tr2bl w:val="nil"/>
                  </w:tcBorders>
                  <w:noWrap w:val="0"/>
                  <w:vAlign w:val="center"/>
                </w:tcPr>
                <w:p w14:paraId="3F4B7D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1044" w:type="dxa"/>
                  <w:tcBorders>
                    <w:tl2br w:val="nil"/>
                    <w:tr2bl w:val="nil"/>
                  </w:tcBorders>
                  <w:noWrap w:val="0"/>
                  <w:vAlign w:val="center"/>
                </w:tcPr>
                <w:p w14:paraId="4C2DAD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935" w:type="dxa"/>
                  <w:tcBorders>
                    <w:tl2br w:val="nil"/>
                    <w:tr2bl w:val="nil"/>
                  </w:tcBorders>
                  <w:noWrap w:val="0"/>
                  <w:vAlign w:val="center"/>
                </w:tcPr>
                <w:p w14:paraId="4361A2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tcBorders>
                    <w:tl2br w:val="nil"/>
                    <w:tr2bl w:val="nil"/>
                  </w:tcBorders>
                  <w:noWrap w:val="0"/>
                  <w:vAlign w:val="center"/>
                </w:tcPr>
                <w:p w14:paraId="665ED55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921" w:type="dxa"/>
                  <w:tcBorders>
                    <w:tl2br w:val="nil"/>
                    <w:tr2bl w:val="nil"/>
                  </w:tcBorders>
                  <w:noWrap w:val="0"/>
                  <w:vAlign w:val="center"/>
                </w:tcPr>
                <w:p w14:paraId="7E88BAB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r>
          </w:tbl>
          <w:p w14:paraId="5CD9F936">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rPr>
            </w:pPr>
            <w:r>
              <w:rPr>
                <w:rFonts w:hint="eastAsia" w:ascii="Times New Roman" w:hAnsi="Times New Roman" w:eastAsia="宋体" w:cs="宋体"/>
                <w:b/>
                <w:bCs/>
                <w:color w:val="auto"/>
                <w:sz w:val="24"/>
                <w:szCs w:val="24"/>
                <w:lang w:eastAsia="zh-CN"/>
              </w:rPr>
              <w:t>（</w:t>
            </w:r>
            <w:r>
              <w:rPr>
                <w:rFonts w:hint="eastAsia" w:ascii="Times New Roman" w:hAnsi="Times New Roman" w:eastAsia="宋体" w:cs="宋体"/>
                <w:b/>
                <w:bCs/>
                <w:color w:val="auto"/>
                <w:sz w:val="24"/>
                <w:szCs w:val="24"/>
                <w:lang w:val="en-US" w:eastAsia="zh-CN"/>
              </w:rPr>
              <w:t>2</w:t>
            </w:r>
            <w:r>
              <w:rPr>
                <w:rFonts w:hint="eastAsia" w:ascii="Times New Roman" w:hAnsi="Times New Roman" w:eastAsia="宋体" w:cs="宋体"/>
                <w:b/>
                <w:bCs/>
                <w:color w:val="auto"/>
                <w:sz w:val="24"/>
                <w:szCs w:val="24"/>
                <w:lang w:eastAsia="zh-CN"/>
              </w:rPr>
              <w:t>）</w:t>
            </w:r>
            <w:r>
              <w:rPr>
                <w:rFonts w:hint="eastAsia" w:ascii="Times New Roman" w:hAnsi="Times New Roman" w:eastAsia="宋体" w:cs="宋体"/>
                <w:b/>
                <w:bCs/>
                <w:color w:val="auto"/>
                <w:sz w:val="24"/>
                <w:szCs w:val="24"/>
              </w:rPr>
              <w:t>无组织废气</w:t>
            </w:r>
          </w:p>
          <w:p w14:paraId="04A396BF">
            <w:pPr>
              <w:pStyle w:val="98"/>
              <w:spacing w:before="38" w:line="356" w:lineRule="auto"/>
              <w:ind w:left="101" w:right="34" w:firstLine="481"/>
              <w:jc w:val="both"/>
              <w:rPr>
                <w:rFonts w:hint="eastAsia" w:ascii="Times New Roman" w:hAnsi="Times New Roman" w:cs="宋体"/>
                <w:color w:val="auto"/>
                <w:sz w:val="24"/>
                <w:szCs w:val="24"/>
                <w:lang w:eastAsia="zh-CN"/>
              </w:rPr>
            </w:pPr>
            <w:r>
              <w:rPr>
                <w:rFonts w:hint="eastAsia" w:ascii="Times New Roman" w:hAnsi="Times New Roman" w:eastAsia="宋体" w:cs="宋体"/>
                <w:color w:val="auto"/>
                <w:sz w:val="24"/>
                <w:szCs w:val="24"/>
              </w:rPr>
              <w:t>项目运营期无组织废气主要为成型生物质燃料在装卸、贮存、输送过程中会有少量粉尘散发出</w:t>
            </w:r>
            <w:r>
              <w:rPr>
                <w:rFonts w:hint="eastAsia" w:ascii="Times New Roman" w:hAnsi="Times New Roman" w:cs="宋体"/>
                <w:color w:val="auto"/>
                <w:sz w:val="24"/>
                <w:szCs w:val="24"/>
                <w:lang w:eastAsia="zh-CN"/>
              </w:rPr>
              <w:t>。参考《逸散性工业粉尘控制技术》（中国环境科学出版社）中P28谷物产排系数1~4kg/t，由于本项目使用燃料为成型生物质，比起谷物粉尘会更小，故取最低值1kg/t，生物质燃料用量为1107t/a，则颗粒物产生量为1.107t/a，产生速率为0.46kg/h，本项目装卸、贮存、输送过程均在半封闭车间中，参考《排放源统计调查产排污核算方法和系数手册》附表2固体物料堆存颗粒物产排污核算系数手册附录4，</w:t>
            </w:r>
            <w:r>
              <w:rPr>
                <w:rFonts w:hint="eastAsia" w:ascii="Times New Roman" w:hAnsi="Times New Roman" w:cs="宋体"/>
                <w:color w:val="auto"/>
                <w:sz w:val="24"/>
                <w:szCs w:val="24"/>
                <w:lang w:val="en-US" w:eastAsia="zh-CN"/>
              </w:rPr>
              <w:t>围挡</w:t>
            </w:r>
            <w:r>
              <w:rPr>
                <w:rFonts w:hint="eastAsia" w:ascii="Times New Roman" w:hAnsi="Times New Roman" w:cs="宋体"/>
                <w:color w:val="auto"/>
                <w:sz w:val="24"/>
                <w:szCs w:val="24"/>
                <w:lang w:eastAsia="zh-CN"/>
              </w:rPr>
              <w:t>控制措施处理效率为60%，则无组织颗粒物排放量为</w:t>
            </w:r>
            <w:r>
              <w:rPr>
                <w:rFonts w:hint="eastAsia" w:ascii="Times New Roman" w:hAnsi="Times New Roman" w:cs="宋体"/>
                <w:color w:val="auto"/>
                <w:sz w:val="24"/>
                <w:szCs w:val="24"/>
                <w:lang w:val="en-US" w:eastAsia="zh-CN"/>
              </w:rPr>
              <w:t>0.44</w:t>
            </w:r>
            <w:r>
              <w:rPr>
                <w:rFonts w:hint="eastAsia" w:ascii="Times New Roman" w:hAnsi="Times New Roman" w:cs="宋体"/>
                <w:color w:val="auto"/>
                <w:sz w:val="24"/>
                <w:szCs w:val="24"/>
                <w:lang w:eastAsia="zh-CN"/>
              </w:rPr>
              <w:t>t/a，排放速率为</w:t>
            </w:r>
            <w:r>
              <w:rPr>
                <w:rFonts w:hint="eastAsia" w:ascii="Times New Roman" w:hAnsi="Times New Roman" w:cs="宋体"/>
                <w:color w:val="auto"/>
                <w:sz w:val="24"/>
                <w:szCs w:val="24"/>
                <w:lang w:val="en-US" w:eastAsia="zh-CN"/>
              </w:rPr>
              <w:t>0.18</w:t>
            </w:r>
            <w:r>
              <w:rPr>
                <w:rFonts w:hint="eastAsia" w:ascii="Times New Roman" w:hAnsi="Times New Roman" w:cs="宋体"/>
                <w:color w:val="auto"/>
                <w:sz w:val="24"/>
                <w:szCs w:val="24"/>
                <w:lang w:eastAsia="zh-CN"/>
              </w:rPr>
              <w:t>kg/h。</w:t>
            </w:r>
          </w:p>
          <w:p w14:paraId="14A22704">
            <w:pPr>
              <w:pStyle w:val="98"/>
              <w:spacing w:before="38" w:line="356" w:lineRule="auto"/>
              <w:ind w:left="101" w:right="34" w:firstLine="481"/>
              <w:jc w:val="both"/>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建设单位应在加强车间通风的同时定期安排专人对车间地面、设备等表面进行清扫</w:t>
            </w: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lang w:val="en-US" w:eastAsia="zh-CN"/>
              </w:rPr>
              <w:t>无组织粉尘经厂房隔挡、大气沉降、自然稀释扩散后</w:t>
            </w:r>
            <w:r>
              <w:rPr>
                <w:rFonts w:hint="eastAsia" w:ascii="Times New Roman" w:hAnsi="Times New Roman" w:eastAsia="宋体" w:cs="宋体"/>
                <w:color w:val="auto"/>
                <w:sz w:val="24"/>
                <w:szCs w:val="24"/>
              </w:rPr>
              <w:t>对周围环境影响较小。</w:t>
            </w:r>
          </w:p>
          <w:p w14:paraId="09DD6AA6">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rPr>
            </w:pPr>
            <w:r>
              <w:rPr>
                <w:rFonts w:hint="eastAsia" w:ascii="Times New Roman" w:hAnsi="Times New Roman" w:cs="宋体"/>
                <w:b/>
                <w:bCs/>
                <w:color w:val="auto"/>
                <w:sz w:val="24"/>
                <w:szCs w:val="24"/>
                <w:lang w:val="en-US" w:eastAsia="zh-CN"/>
              </w:rPr>
              <w:t>2</w:t>
            </w:r>
            <w:r>
              <w:rPr>
                <w:rFonts w:hint="eastAsia" w:ascii="Times New Roman" w:hAnsi="Times New Roman" w:eastAsia="宋体" w:cs="宋体"/>
                <w:b/>
                <w:bCs/>
                <w:color w:val="auto"/>
                <w:sz w:val="24"/>
                <w:szCs w:val="24"/>
              </w:rPr>
              <w:t>、大气污染物产排污情况</w:t>
            </w:r>
          </w:p>
          <w:p w14:paraId="7746F82E">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cs="宋体"/>
                <w:color w:val="auto"/>
                <w:sz w:val="24"/>
                <w:szCs w:val="24"/>
                <w:lang w:val="en-US" w:eastAsia="zh-CN"/>
              </w:rPr>
              <w:t>1）</w:t>
            </w:r>
            <w:r>
              <w:rPr>
                <w:rFonts w:hint="eastAsia" w:ascii="Times New Roman" w:hAnsi="Times New Roman" w:eastAsia="宋体" w:cs="宋体"/>
                <w:color w:val="auto"/>
                <w:sz w:val="24"/>
                <w:szCs w:val="24"/>
              </w:rPr>
              <w:t>本项目污染物排放情况详见下表。</w:t>
            </w:r>
          </w:p>
          <w:p w14:paraId="72495ACA">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5</w:t>
            </w:r>
            <w:r>
              <w:rPr>
                <w:rFonts w:hint="eastAsia" w:ascii="Times New Roman" w:hAnsi="Times New Roman" w:eastAsia="宋体" w:cs="宋体"/>
                <w:b/>
                <w:bCs/>
                <w:color w:val="auto"/>
                <w:sz w:val="21"/>
                <w:szCs w:val="21"/>
              </w:rPr>
              <w:t>项目废气产排情况一览表</w:t>
            </w:r>
          </w:p>
          <w:tbl>
            <w:tblPr>
              <w:tblStyle w:val="80"/>
              <w:tblW w:w="8313"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5"/>
              <w:gridCol w:w="675"/>
              <w:gridCol w:w="676"/>
              <w:gridCol w:w="454"/>
              <w:gridCol w:w="764"/>
              <w:gridCol w:w="717"/>
              <w:gridCol w:w="933"/>
              <w:gridCol w:w="605"/>
              <w:gridCol w:w="625"/>
              <w:gridCol w:w="675"/>
              <w:gridCol w:w="691"/>
              <w:gridCol w:w="661"/>
              <w:gridCol w:w="382"/>
            </w:tblGrid>
            <w:tr w14:paraId="2095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455" w:type="dxa"/>
                  <w:vMerge w:val="restart"/>
                  <w:vAlign w:val="center"/>
                </w:tcPr>
                <w:p w14:paraId="31244EF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排放源</w:t>
                  </w:r>
                </w:p>
              </w:tc>
              <w:tc>
                <w:tcPr>
                  <w:tcW w:w="675" w:type="dxa"/>
                  <w:vMerge w:val="restart"/>
                  <w:textDirection w:val="tbRlV"/>
                  <w:vAlign w:val="center"/>
                </w:tcPr>
                <w:p w14:paraId="2888DD5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产污环节</w:t>
                  </w:r>
                </w:p>
              </w:tc>
              <w:tc>
                <w:tcPr>
                  <w:tcW w:w="676" w:type="dxa"/>
                  <w:vMerge w:val="restart"/>
                  <w:vAlign w:val="center"/>
                </w:tcPr>
                <w:p w14:paraId="3B627BF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废气量（N</w:t>
                  </w:r>
                  <w:r>
                    <w:rPr>
                      <w:rFonts w:hint="eastAsia" w:ascii="Times New Roman" w:hAnsi="Times New Roman" w:eastAsia="宋体" w:cs="宋体"/>
                      <w:b/>
                      <w:bCs/>
                      <w:color w:val="auto"/>
                      <w:sz w:val="21"/>
                      <w:szCs w:val="21"/>
                      <w:lang w:eastAsia="zh-CN"/>
                    </w:rPr>
                    <w:t>m3</w:t>
                  </w:r>
                  <w:r>
                    <w:rPr>
                      <w:rFonts w:hint="eastAsia" w:ascii="Times New Roman" w:hAnsi="Times New Roman" w:eastAsia="宋体" w:cs="宋体"/>
                      <w:b/>
                      <w:bCs/>
                      <w:color w:val="auto"/>
                      <w:sz w:val="21"/>
                      <w:szCs w:val="21"/>
                    </w:rPr>
                    <w:t>/h）</w:t>
                  </w:r>
                </w:p>
              </w:tc>
              <w:tc>
                <w:tcPr>
                  <w:tcW w:w="454" w:type="dxa"/>
                  <w:vMerge w:val="restart"/>
                  <w:textDirection w:val="tbRlV"/>
                  <w:vAlign w:val="center"/>
                </w:tcPr>
                <w:p w14:paraId="36F281B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w:t>
                  </w:r>
                </w:p>
              </w:tc>
              <w:tc>
                <w:tcPr>
                  <w:tcW w:w="2414" w:type="dxa"/>
                  <w:gridSpan w:val="3"/>
                  <w:vAlign w:val="center"/>
                </w:tcPr>
                <w:p w14:paraId="023CADD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污染物排放</w:t>
                  </w:r>
                </w:p>
              </w:tc>
              <w:tc>
                <w:tcPr>
                  <w:tcW w:w="605" w:type="dxa"/>
                  <w:vMerge w:val="restart"/>
                  <w:vAlign w:val="center"/>
                </w:tcPr>
                <w:p w14:paraId="42824663">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治理措施</w:t>
                  </w:r>
                </w:p>
              </w:tc>
              <w:tc>
                <w:tcPr>
                  <w:tcW w:w="1991" w:type="dxa"/>
                  <w:gridSpan w:val="3"/>
                  <w:vAlign w:val="center"/>
                </w:tcPr>
                <w:p w14:paraId="79D6EA32">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污染物排放</w:t>
                  </w:r>
                </w:p>
              </w:tc>
              <w:tc>
                <w:tcPr>
                  <w:tcW w:w="661" w:type="dxa"/>
                  <w:vMerge w:val="restart"/>
                  <w:vAlign w:val="center"/>
                </w:tcPr>
                <w:p w14:paraId="52BAE78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标准</w:t>
                  </w:r>
                </w:p>
                <w:p w14:paraId="63BBB0F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值</w:t>
                  </w:r>
                </w:p>
                <w:p w14:paraId="17C476EC">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lang w:eastAsia="zh-CN"/>
                    </w:rPr>
                  </w:pPr>
                  <w:r>
                    <w:rPr>
                      <w:rFonts w:hint="eastAsia" w:ascii="Times New Roman" w:hAnsi="Times New Roman" w:eastAsia="宋体" w:cs="宋体"/>
                      <w:b/>
                      <w:bCs/>
                      <w:color w:val="auto"/>
                      <w:sz w:val="21"/>
                      <w:szCs w:val="21"/>
                    </w:rPr>
                    <w:t>mg/</w:t>
                  </w:r>
                  <w:r>
                    <w:rPr>
                      <w:rFonts w:hint="eastAsia" w:ascii="Times New Roman" w:hAnsi="Times New Roman" w:eastAsia="宋体" w:cs="宋体"/>
                      <w:b/>
                      <w:bCs/>
                      <w:color w:val="auto"/>
                      <w:sz w:val="21"/>
                      <w:szCs w:val="21"/>
                      <w:lang w:eastAsia="zh-CN"/>
                    </w:rPr>
                    <w:t>m3</w:t>
                  </w:r>
                </w:p>
              </w:tc>
              <w:tc>
                <w:tcPr>
                  <w:tcW w:w="382" w:type="dxa"/>
                  <w:vMerge w:val="restart"/>
                  <w:textDirection w:val="tbRlV"/>
                  <w:vAlign w:val="center"/>
                </w:tcPr>
                <w:p w14:paraId="086C430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达标情况</w:t>
                  </w:r>
                </w:p>
              </w:tc>
            </w:tr>
            <w:tr w14:paraId="4E9D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7" w:hRule="atLeast"/>
              </w:trPr>
              <w:tc>
                <w:tcPr>
                  <w:tcW w:w="455" w:type="dxa"/>
                  <w:vMerge w:val="continue"/>
                  <w:vAlign w:val="center"/>
                </w:tcPr>
                <w:p w14:paraId="4DB8D70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5" w:type="dxa"/>
                  <w:vMerge w:val="continue"/>
                  <w:textDirection w:val="tbRlV"/>
                  <w:vAlign w:val="center"/>
                </w:tcPr>
                <w:p w14:paraId="665E112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6" w:type="dxa"/>
                  <w:vMerge w:val="continue"/>
                  <w:vAlign w:val="center"/>
                </w:tcPr>
                <w:p w14:paraId="458EF3D3">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454" w:type="dxa"/>
                  <w:vMerge w:val="continue"/>
                  <w:textDirection w:val="tbRlV"/>
                  <w:vAlign w:val="center"/>
                </w:tcPr>
                <w:p w14:paraId="2B2CEBC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764" w:type="dxa"/>
                  <w:vAlign w:val="center"/>
                </w:tcPr>
                <w:p w14:paraId="29B93E8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产生量（t/a）</w:t>
                  </w:r>
                </w:p>
              </w:tc>
              <w:tc>
                <w:tcPr>
                  <w:tcW w:w="717" w:type="dxa"/>
                  <w:vAlign w:val="center"/>
                </w:tcPr>
                <w:p w14:paraId="5AFB2F7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产生速率（kg/h）</w:t>
                  </w:r>
                </w:p>
              </w:tc>
              <w:tc>
                <w:tcPr>
                  <w:tcW w:w="933" w:type="dxa"/>
                  <w:vAlign w:val="center"/>
                </w:tcPr>
                <w:p w14:paraId="3A8FAAF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产生浓度（mg/</w:t>
                  </w:r>
                  <w:r>
                    <w:rPr>
                      <w:rFonts w:hint="eastAsia" w:ascii="Times New Roman" w:hAnsi="Times New Roman" w:eastAsia="宋体" w:cs="宋体"/>
                      <w:b/>
                      <w:bCs/>
                      <w:color w:val="auto"/>
                      <w:sz w:val="21"/>
                      <w:szCs w:val="21"/>
                      <w:lang w:eastAsia="zh-CN"/>
                    </w:rPr>
                    <w:t>m3</w:t>
                  </w:r>
                  <w:r>
                    <w:rPr>
                      <w:rFonts w:hint="eastAsia" w:ascii="Times New Roman" w:hAnsi="Times New Roman" w:eastAsia="宋体" w:cs="宋体"/>
                      <w:b/>
                      <w:bCs/>
                      <w:color w:val="auto"/>
                      <w:sz w:val="21"/>
                      <w:szCs w:val="21"/>
                    </w:rPr>
                    <w:t>）</w:t>
                  </w:r>
                </w:p>
              </w:tc>
              <w:tc>
                <w:tcPr>
                  <w:tcW w:w="605" w:type="dxa"/>
                  <w:vMerge w:val="continue"/>
                  <w:vAlign w:val="center"/>
                </w:tcPr>
                <w:p w14:paraId="501B44C5">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p>
              </w:tc>
              <w:tc>
                <w:tcPr>
                  <w:tcW w:w="625" w:type="dxa"/>
                  <w:vAlign w:val="center"/>
                </w:tcPr>
                <w:p w14:paraId="34DFC097">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排放量（t/a）</w:t>
                  </w:r>
                </w:p>
              </w:tc>
              <w:tc>
                <w:tcPr>
                  <w:tcW w:w="675" w:type="dxa"/>
                  <w:vAlign w:val="center"/>
                </w:tcPr>
                <w:p w14:paraId="14919F6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排放速率</w:t>
                  </w:r>
                </w:p>
                <w:p w14:paraId="2C5907E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（kg/h）</w:t>
                  </w:r>
                </w:p>
              </w:tc>
              <w:tc>
                <w:tcPr>
                  <w:tcW w:w="691" w:type="dxa"/>
                  <w:vAlign w:val="center"/>
                </w:tcPr>
                <w:p w14:paraId="3E3BB1F7">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排放浓度（mg/</w:t>
                  </w:r>
                  <w:r>
                    <w:rPr>
                      <w:rFonts w:hint="eastAsia" w:ascii="Times New Roman" w:hAnsi="Times New Roman" w:eastAsia="宋体" w:cs="宋体"/>
                      <w:b/>
                      <w:bCs/>
                      <w:color w:val="auto"/>
                      <w:sz w:val="21"/>
                      <w:szCs w:val="21"/>
                      <w:lang w:eastAsia="zh-CN"/>
                    </w:rPr>
                    <w:t>m3</w:t>
                  </w:r>
                  <w:r>
                    <w:rPr>
                      <w:rFonts w:hint="eastAsia" w:ascii="Times New Roman" w:hAnsi="Times New Roman" w:eastAsia="宋体" w:cs="宋体"/>
                      <w:b/>
                      <w:bCs/>
                      <w:color w:val="auto"/>
                      <w:sz w:val="21"/>
                      <w:szCs w:val="21"/>
                    </w:rPr>
                    <w:t>）</w:t>
                  </w:r>
                </w:p>
              </w:tc>
              <w:tc>
                <w:tcPr>
                  <w:tcW w:w="661" w:type="dxa"/>
                  <w:vMerge w:val="continue"/>
                  <w:vAlign w:val="center"/>
                </w:tcPr>
                <w:p w14:paraId="6CA008D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382" w:type="dxa"/>
                  <w:vMerge w:val="continue"/>
                  <w:textDirection w:val="tbRlV"/>
                  <w:vAlign w:val="center"/>
                </w:tcPr>
                <w:p w14:paraId="6B6590AC">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r>
            <w:tr w14:paraId="104F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9" w:hRule="atLeast"/>
              </w:trPr>
              <w:tc>
                <w:tcPr>
                  <w:tcW w:w="455" w:type="dxa"/>
                  <w:vMerge w:val="restart"/>
                  <w:vAlign w:val="center"/>
                </w:tcPr>
                <w:p w14:paraId="4927D98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DA001</w:t>
                  </w:r>
                </w:p>
              </w:tc>
              <w:tc>
                <w:tcPr>
                  <w:tcW w:w="675" w:type="dxa"/>
                  <w:vMerge w:val="restart"/>
                  <w:textDirection w:val="tbRlV"/>
                  <w:vAlign w:val="center"/>
                </w:tcPr>
                <w:p w14:paraId="18281CD7">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生物质锅炉</w:t>
                  </w:r>
                  <w:r>
                    <w:rPr>
                      <w:rFonts w:hint="eastAsia" w:ascii="Times New Roman" w:hAnsi="Times New Roman" w:eastAsia="宋体" w:cs="宋体"/>
                      <w:color w:val="auto"/>
                      <w:sz w:val="21"/>
                      <w:szCs w:val="21"/>
                    </w:rPr>
                    <w:t>燃烧</w:t>
                  </w:r>
                </w:p>
              </w:tc>
              <w:tc>
                <w:tcPr>
                  <w:tcW w:w="676" w:type="dxa"/>
                  <w:vMerge w:val="restart"/>
                  <w:vAlign w:val="center"/>
                </w:tcPr>
                <w:p w14:paraId="4BD0DBA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2878</w:t>
                  </w:r>
                </w:p>
              </w:tc>
              <w:tc>
                <w:tcPr>
                  <w:tcW w:w="454" w:type="dxa"/>
                  <w:textDirection w:val="tbRlV"/>
                  <w:vAlign w:val="center"/>
                </w:tcPr>
                <w:p w14:paraId="2436396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颗粒物</w:t>
                  </w:r>
                </w:p>
              </w:tc>
              <w:tc>
                <w:tcPr>
                  <w:tcW w:w="764" w:type="dxa"/>
                  <w:vAlign w:val="center"/>
                </w:tcPr>
                <w:p w14:paraId="0EAF5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0.554</w:t>
                  </w:r>
                </w:p>
              </w:tc>
              <w:tc>
                <w:tcPr>
                  <w:tcW w:w="717" w:type="dxa"/>
                  <w:vAlign w:val="center"/>
                </w:tcPr>
                <w:p w14:paraId="05ECF9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0.23</w:t>
                  </w:r>
                </w:p>
              </w:tc>
              <w:tc>
                <w:tcPr>
                  <w:tcW w:w="933" w:type="dxa"/>
                  <w:vAlign w:val="center"/>
                </w:tcPr>
                <w:p w14:paraId="19660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79.92</w:t>
                  </w:r>
                </w:p>
              </w:tc>
              <w:tc>
                <w:tcPr>
                  <w:tcW w:w="605" w:type="dxa"/>
                  <w:vAlign w:val="center"/>
                </w:tcPr>
                <w:p w14:paraId="6374BD1B">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布袋除尘器（除尘效</w:t>
                  </w:r>
                </w:p>
                <w:p w14:paraId="5F66ACA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率99%）</w:t>
                  </w:r>
                </w:p>
              </w:tc>
              <w:tc>
                <w:tcPr>
                  <w:tcW w:w="625" w:type="dxa"/>
                  <w:vAlign w:val="center"/>
                </w:tcPr>
                <w:p w14:paraId="3D534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0.00554</w:t>
                  </w:r>
                </w:p>
              </w:tc>
              <w:tc>
                <w:tcPr>
                  <w:tcW w:w="675" w:type="dxa"/>
                  <w:vAlign w:val="center"/>
                </w:tcPr>
                <w:p w14:paraId="0E0C5C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0.0023</w:t>
                  </w:r>
                </w:p>
              </w:tc>
              <w:tc>
                <w:tcPr>
                  <w:tcW w:w="691" w:type="dxa"/>
                  <w:vAlign w:val="center"/>
                </w:tcPr>
                <w:p w14:paraId="29D5FD54">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0.799</w:t>
                  </w:r>
                </w:p>
              </w:tc>
              <w:tc>
                <w:tcPr>
                  <w:tcW w:w="661" w:type="dxa"/>
                  <w:vAlign w:val="center"/>
                </w:tcPr>
                <w:p w14:paraId="3E131997">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50</w:t>
                  </w:r>
                </w:p>
              </w:tc>
              <w:tc>
                <w:tcPr>
                  <w:tcW w:w="382" w:type="dxa"/>
                  <w:textDirection w:val="tbRlV"/>
                  <w:vAlign w:val="center"/>
                </w:tcPr>
                <w:p w14:paraId="5746F69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489D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3" w:hRule="atLeast"/>
              </w:trPr>
              <w:tc>
                <w:tcPr>
                  <w:tcW w:w="455" w:type="dxa"/>
                  <w:vMerge w:val="continue"/>
                  <w:vAlign w:val="center"/>
                </w:tcPr>
                <w:p w14:paraId="551FB432">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5" w:type="dxa"/>
                  <w:vMerge w:val="continue"/>
                  <w:textDirection w:val="tbRlV"/>
                  <w:vAlign w:val="center"/>
                </w:tcPr>
                <w:p w14:paraId="18029F2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6" w:type="dxa"/>
                  <w:vMerge w:val="continue"/>
                  <w:vAlign w:val="center"/>
                </w:tcPr>
                <w:p w14:paraId="05DFD48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454" w:type="dxa"/>
                  <w:vAlign w:val="center"/>
                </w:tcPr>
                <w:p w14:paraId="5364427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SO2</w:t>
                  </w:r>
                </w:p>
              </w:tc>
              <w:tc>
                <w:tcPr>
                  <w:tcW w:w="764" w:type="dxa"/>
                  <w:vAlign w:val="center"/>
                </w:tcPr>
                <w:p w14:paraId="7742EB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1.129</w:t>
                  </w:r>
                </w:p>
              </w:tc>
              <w:tc>
                <w:tcPr>
                  <w:tcW w:w="717" w:type="dxa"/>
                  <w:vAlign w:val="center"/>
                </w:tcPr>
                <w:p w14:paraId="185775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0.47</w:t>
                  </w:r>
                </w:p>
              </w:tc>
              <w:tc>
                <w:tcPr>
                  <w:tcW w:w="933" w:type="dxa"/>
                  <w:vAlign w:val="center"/>
                </w:tcPr>
                <w:p w14:paraId="3CE01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163.31</w:t>
                  </w:r>
                </w:p>
              </w:tc>
              <w:tc>
                <w:tcPr>
                  <w:tcW w:w="605" w:type="dxa"/>
                  <w:vAlign w:val="center"/>
                </w:tcPr>
                <w:p w14:paraId="061DC22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625" w:type="dxa"/>
                  <w:vAlign w:val="center"/>
                </w:tcPr>
                <w:p w14:paraId="050085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1.129</w:t>
                  </w:r>
                </w:p>
              </w:tc>
              <w:tc>
                <w:tcPr>
                  <w:tcW w:w="675" w:type="dxa"/>
                  <w:vAlign w:val="center"/>
                </w:tcPr>
                <w:p w14:paraId="7E6B77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0.47</w:t>
                  </w:r>
                </w:p>
              </w:tc>
              <w:tc>
                <w:tcPr>
                  <w:tcW w:w="691" w:type="dxa"/>
                  <w:vAlign w:val="center"/>
                </w:tcPr>
                <w:p w14:paraId="47E9A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163.31</w:t>
                  </w:r>
                </w:p>
              </w:tc>
              <w:tc>
                <w:tcPr>
                  <w:tcW w:w="661" w:type="dxa"/>
                  <w:vAlign w:val="center"/>
                </w:tcPr>
                <w:p w14:paraId="0041C48E">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300</w:t>
                  </w:r>
                </w:p>
              </w:tc>
              <w:tc>
                <w:tcPr>
                  <w:tcW w:w="382" w:type="dxa"/>
                  <w:textDirection w:val="tbRlV"/>
                  <w:vAlign w:val="center"/>
                </w:tcPr>
                <w:p w14:paraId="558C3B5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1AE5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2" w:hRule="atLeast"/>
              </w:trPr>
              <w:tc>
                <w:tcPr>
                  <w:tcW w:w="455" w:type="dxa"/>
                  <w:vMerge w:val="continue"/>
                  <w:vAlign w:val="center"/>
                </w:tcPr>
                <w:p w14:paraId="28501C3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5" w:type="dxa"/>
                  <w:vMerge w:val="continue"/>
                  <w:textDirection w:val="tbRlV"/>
                  <w:vAlign w:val="center"/>
                </w:tcPr>
                <w:p w14:paraId="2DF9BBA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676" w:type="dxa"/>
                  <w:vMerge w:val="continue"/>
                  <w:vAlign w:val="center"/>
                </w:tcPr>
                <w:p w14:paraId="65EDE2FC">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p>
              </w:tc>
              <w:tc>
                <w:tcPr>
                  <w:tcW w:w="454" w:type="dxa"/>
                  <w:vAlign w:val="center"/>
                </w:tcPr>
                <w:p w14:paraId="52FE35C6">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NOX</w:t>
                  </w:r>
                </w:p>
              </w:tc>
              <w:tc>
                <w:tcPr>
                  <w:tcW w:w="764" w:type="dxa"/>
                  <w:vAlign w:val="center"/>
                </w:tcPr>
                <w:p w14:paraId="4118EA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1.129</w:t>
                  </w:r>
                </w:p>
              </w:tc>
              <w:tc>
                <w:tcPr>
                  <w:tcW w:w="717" w:type="dxa"/>
                  <w:vAlign w:val="center"/>
                </w:tcPr>
                <w:p w14:paraId="5934D929">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cs="Times New Roman"/>
                      <w:color w:val="auto"/>
                      <w:sz w:val="21"/>
                      <w:szCs w:val="21"/>
                      <w:highlight w:val="none"/>
                      <w:lang w:val="en-US" w:eastAsia="zh-CN"/>
                    </w:rPr>
                    <w:t>0.47</w:t>
                  </w:r>
                </w:p>
              </w:tc>
              <w:tc>
                <w:tcPr>
                  <w:tcW w:w="933" w:type="dxa"/>
                  <w:vAlign w:val="center"/>
                </w:tcPr>
                <w:p w14:paraId="4961D280">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163.31</w:t>
                  </w:r>
                </w:p>
              </w:tc>
              <w:tc>
                <w:tcPr>
                  <w:tcW w:w="605" w:type="dxa"/>
                  <w:vAlign w:val="center"/>
                </w:tcPr>
                <w:p w14:paraId="49E65673">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w:t>
                  </w:r>
                </w:p>
              </w:tc>
              <w:tc>
                <w:tcPr>
                  <w:tcW w:w="625" w:type="dxa"/>
                  <w:vAlign w:val="center"/>
                </w:tcPr>
                <w:p w14:paraId="3A8E4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1.129</w:t>
                  </w:r>
                </w:p>
              </w:tc>
              <w:tc>
                <w:tcPr>
                  <w:tcW w:w="675" w:type="dxa"/>
                  <w:vAlign w:val="center"/>
                </w:tcPr>
                <w:p w14:paraId="2DE56C6C">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cs="Times New Roman"/>
                      <w:color w:val="auto"/>
                      <w:sz w:val="21"/>
                      <w:szCs w:val="21"/>
                      <w:highlight w:val="none"/>
                      <w:lang w:val="en-US" w:eastAsia="zh-CN"/>
                    </w:rPr>
                    <w:t>0.47</w:t>
                  </w:r>
                </w:p>
              </w:tc>
              <w:tc>
                <w:tcPr>
                  <w:tcW w:w="691" w:type="dxa"/>
                  <w:vAlign w:val="center"/>
                </w:tcPr>
                <w:p w14:paraId="6BD57A79">
                  <w:pPr>
                    <w:keepNext w:val="0"/>
                    <w:keepLines w:val="0"/>
                    <w:widowControl/>
                    <w:suppressLineNumbers w:val="0"/>
                    <w:jc w:val="center"/>
                    <w:textAlignment w:val="center"/>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zh-CN"/>
                    </w:rPr>
                    <w:t>163.31</w:t>
                  </w:r>
                </w:p>
              </w:tc>
              <w:tc>
                <w:tcPr>
                  <w:tcW w:w="661" w:type="dxa"/>
                  <w:vAlign w:val="center"/>
                </w:tcPr>
                <w:p w14:paraId="122F30B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300</w:t>
                  </w:r>
                </w:p>
              </w:tc>
              <w:tc>
                <w:tcPr>
                  <w:tcW w:w="382" w:type="dxa"/>
                  <w:textDirection w:val="tbRlV"/>
                  <w:vAlign w:val="center"/>
                </w:tcPr>
                <w:p w14:paraId="614C81ED">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达标</w:t>
                  </w:r>
                </w:p>
              </w:tc>
            </w:tr>
            <w:tr w14:paraId="7F87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8" w:hRule="atLeast"/>
              </w:trPr>
              <w:tc>
                <w:tcPr>
                  <w:tcW w:w="455" w:type="dxa"/>
                  <w:vAlign w:val="center"/>
                </w:tcPr>
                <w:p w14:paraId="7BA8F96A">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无组织</w:t>
                  </w:r>
                </w:p>
              </w:tc>
              <w:tc>
                <w:tcPr>
                  <w:tcW w:w="675" w:type="dxa"/>
                  <w:vAlign w:val="center"/>
                </w:tcPr>
                <w:p w14:paraId="40B1B34E">
                  <w:pPr>
                    <w:pStyle w:val="98"/>
                    <w:spacing w:before="46" w:line="236" w:lineRule="auto"/>
                    <w:ind w:right="15"/>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生物 质燃 料装 卸、</w:t>
                  </w:r>
                </w:p>
                <w:p w14:paraId="502484A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贮存、输送</w:t>
                  </w:r>
                </w:p>
              </w:tc>
              <w:tc>
                <w:tcPr>
                  <w:tcW w:w="676" w:type="dxa"/>
                  <w:vAlign w:val="center"/>
                </w:tcPr>
                <w:p w14:paraId="294B24F1">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w:t>
                  </w:r>
                </w:p>
              </w:tc>
              <w:tc>
                <w:tcPr>
                  <w:tcW w:w="454" w:type="dxa"/>
                  <w:vAlign w:val="center"/>
                </w:tcPr>
                <w:p w14:paraId="4552A4A8">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颗粒物</w:t>
                  </w:r>
                </w:p>
              </w:tc>
              <w:tc>
                <w:tcPr>
                  <w:tcW w:w="764" w:type="dxa"/>
                  <w:vAlign w:val="center"/>
                </w:tcPr>
                <w:p w14:paraId="6ACBFAD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1.107</w:t>
                  </w:r>
                </w:p>
              </w:tc>
              <w:tc>
                <w:tcPr>
                  <w:tcW w:w="717" w:type="dxa"/>
                  <w:vAlign w:val="center"/>
                </w:tcPr>
                <w:p w14:paraId="77122F3C">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0.46</w:t>
                  </w:r>
                </w:p>
              </w:tc>
              <w:tc>
                <w:tcPr>
                  <w:tcW w:w="933" w:type="dxa"/>
                  <w:vAlign w:val="center"/>
                </w:tcPr>
                <w:p w14:paraId="652B2949">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605" w:type="dxa"/>
                  <w:vAlign w:val="center"/>
                </w:tcPr>
                <w:p w14:paraId="012EF93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袋装储存、</w:t>
                  </w:r>
                  <w:r>
                    <w:rPr>
                      <w:rFonts w:hint="eastAsia" w:ascii="Times New Roman" w:hAnsi="Times New Roman" w:eastAsia="宋体" w:cs="宋体"/>
                      <w:color w:val="auto"/>
                      <w:sz w:val="21"/>
                      <w:szCs w:val="21"/>
                      <w:lang w:val="en-US" w:eastAsia="zh-CN"/>
                    </w:rPr>
                    <w:t>厂房隔挡、大气沉降</w:t>
                  </w:r>
                </w:p>
              </w:tc>
              <w:tc>
                <w:tcPr>
                  <w:tcW w:w="625" w:type="dxa"/>
                  <w:vAlign w:val="center"/>
                </w:tcPr>
                <w:p w14:paraId="759A73C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c>
                <w:tcPr>
                  <w:tcW w:w="675" w:type="dxa"/>
                  <w:vAlign w:val="center"/>
                </w:tcPr>
                <w:p w14:paraId="123BEEC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0.18</w:t>
                  </w:r>
                </w:p>
              </w:tc>
              <w:tc>
                <w:tcPr>
                  <w:tcW w:w="691" w:type="dxa"/>
                  <w:vAlign w:val="center"/>
                </w:tcPr>
                <w:p w14:paraId="552BB18F">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61" w:type="dxa"/>
                  <w:vAlign w:val="center"/>
                </w:tcPr>
                <w:p w14:paraId="3DC0EFBF">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382" w:type="dxa"/>
                  <w:vAlign w:val="center"/>
                </w:tcPr>
                <w:p w14:paraId="6CC97D8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r>
            <w:tr w14:paraId="64B5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trPr>
              <w:tc>
                <w:tcPr>
                  <w:tcW w:w="8313" w:type="dxa"/>
                  <w:gridSpan w:val="13"/>
                  <w:vAlign w:val="center"/>
                </w:tcPr>
                <w:p w14:paraId="0E4BC074">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注：</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生物质锅炉燃烧废气执行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p w14:paraId="2C6F5DFF">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2.无组织废气</w:t>
                  </w:r>
                  <w:r>
                    <w:rPr>
                      <w:rFonts w:hint="eastAsia" w:ascii="Times New Roman" w:hAnsi="Times New Roman" w:eastAsia="宋体" w:cs="Times New Roman"/>
                      <w:color w:val="auto"/>
                      <w:sz w:val="21"/>
                      <w:szCs w:val="21"/>
                      <w:highlight w:val="none"/>
                      <w:lang w:val="en-US" w:eastAsia="en-US"/>
                    </w:rPr>
                    <w:t>《大气污染物综合排放标准》（GB16297-1996）表2中无组织监控浓度限值</w:t>
                  </w:r>
                  <w:r>
                    <w:rPr>
                      <w:rFonts w:hint="eastAsia" w:ascii="Times New Roman" w:hAnsi="Times New Roman" w:cs="Times New Roman"/>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eastAsia="zh-CN"/>
                    </w:rPr>
                    <w:t>颗粒物＜</w:t>
                  </w:r>
                  <w:r>
                    <w:rPr>
                      <w:rFonts w:hint="eastAsia" w:ascii="Times New Roman" w:hAnsi="Times New Roman" w:eastAsia="宋体" w:cs="宋体"/>
                      <w:color w:val="auto"/>
                      <w:sz w:val="21"/>
                      <w:szCs w:val="21"/>
                      <w:lang w:val="en-US" w:eastAsia="zh-CN"/>
                    </w:rPr>
                    <w:t>1.0mg/m</w:t>
                  </w:r>
                  <w:r>
                    <w:rPr>
                      <w:rFonts w:hint="eastAsia" w:ascii="Times New Roman" w:hAnsi="Times New Roman" w:eastAsia="宋体" w:cs="宋体"/>
                      <w:color w:val="auto"/>
                      <w:sz w:val="21"/>
                      <w:szCs w:val="21"/>
                      <w:vertAlign w:val="superscript"/>
                      <w:lang w:val="en-US" w:eastAsia="zh-CN"/>
                    </w:rPr>
                    <w:t>3</w:t>
                  </w:r>
                </w:p>
              </w:tc>
            </w:tr>
          </w:tbl>
          <w:p w14:paraId="11381B8F">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14:paraId="621A2819">
            <w:pPr>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 xml:space="preserve">6 </w:t>
            </w:r>
            <w:r>
              <w:rPr>
                <w:rFonts w:hint="default" w:ascii="Times New Roman" w:hAnsi="Times New Roman" w:cs="Times New Roman"/>
                <w:b/>
                <w:bCs/>
                <w:color w:val="auto"/>
                <w:sz w:val="21"/>
                <w:szCs w:val="21"/>
                <w:highlight w:val="none"/>
                <w:lang w:val="en-US" w:eastAsia="zh-CN"/>
              </w:rPr>
              <w:t>大气污染物年排放量核算表</w:t>
            </w:r>
          </w:p>
          <w:tbl>
            <w:tblPr>
              <w:tblStyle w:val="28"/>
              <w:tblW w:w="494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2609"/>
              <w:gridCol w:w="3200"/>
            </w:tblGrid>
            <w:tr w14:paraId="6CC8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30" w:type="pct"/>
                  <w:noWrap w:val="0"/>
                  <w:vAlign w:val="center"/>
                </w:tcPr>
                <w:p w14:paraId="0DC07764">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val="en-US" w:eastAsia="zh-CN"/>
                    </w:rPr>
                    <w:t>类型</w:t>
                  </w:r>
                </w:p>
              </w:tc>
              <w:tc>
                <w:tcPr>
                  <w:tcW w:w="1603" w:type="pct"/>
                  <w:noWrap w:val="0"/>
                  <w:vAlign w:val="center"/>
                </w:tcPr>
                <w:p w14:paraId="2A746E9B">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966" w:type="pct"/>
                  <w:noWrap w:val="0"/>
                  <w:vAlign w:val="center"/>
                </w:tcPr>
                <w:p w14:paraId="5EF325D6">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14:paraId="1CD6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30" w:type="pct"/>
                  <w:vMerge w:val="restart"/>
                  <w:noWrap w:val="0"/>
                  <w:vAlign w:val="center"/>
                </w:tcPr>
                <w:p w14:paraId="17C61E78">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2609" w:type="dxa"/>
                  <w:noWrap w:val="0"/>
                  <w:vAlign w:val="center"/>
                </w:tcPr>
                <w:p w14:paraId="13D64DE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宋体"/>
                      <w:color w:val="auto"/>
                      <w:sz w:val="21"/>
                      <w:szCs w:val="21"/>
                    </w:rPr>
                    <w:t>颗粒物</w:t>
                  </w:r>
                </w:p>
              </w:tc>
              <w:tc>
                <w:tcPr>
                  <w:tcW w:w="3200" w:type="dxa"/>
                  <w:noWrap w:val="0"/>
                  <w:vAlign w:val="center"/>
                </w:tcPr>
                <w:p w14:paraId="07CC8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0.00554</w:t>
                  </w:r>
                </w:p>
              </w:tc>
            </w:tr>
            <w:tr w14:paraId="5AE6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vMerge w:val="continue"/>
                  <w:noWrap w:val="0"/>
                  <w:vAlign w:val="center"/>
                </w:tcPr>
                <w:p w14:paraId="74C4CFDD">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09" w:type="dxa"/>
                  <w:noWrap w:val="0"/>
                  <w:vAlign w:val="center"/>
                </w:tcPr>
                <w:p w14:paraId="5E8B07D6">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宋体"/>
                      <w:color w:val="auto"/>
                      <w:sz w:val="21"/>
                      <w:szCs w:val="21"/>
                    </w:rPr>
                    <w:t>二氧化硫</w:t>
                  </w:r>
                </w:p>
              </w:tc>
              <w:tc>
                <w:tcPr>
                  <w:tcW w:w="3200" w:type="dxa"/>
                  <w:noWrap w:val="0"/>
                  <w:vAlign w:val="center"/>
                </w:tcPr>
                <w:p w14:paraId="49DF0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r>
            <w:tr w14:paraId="5392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vMerge w:val="continue"/>
                  <w:noWrap w:val="0"/>
                  <w:vAlign w:val="center"/>
                </w:tcPr>
                <w:p w14:paraId="61ABD680">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09" w:type="dxa"/>
                  <w:noWrap w:val="0"/>
                  <w:vAlign w:val="center"/>
                </w:tcPr>
                <w:p w14:paraId="56CA66B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宋体"/>
                      <w:color w:val="auto"/>
                      <w:sz w:val="21"/>
                      <w:szCs w:val="21"/>
                    </w:rPr>
                    <w:t>氮氧化物</w:t>
                  </w:r>
                </w:p>
              </w:tc>
              <w:tc>
                <w:tcPr>
                  <w:tcW w:w="3200" w:type="dxa"/>
                  <w:noWrap w:val="0"/>
                  <w:vAlign w:val="center"/>
                </w:tcPr>
                <w:p w14:paraId="555878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r>
            <w:tr w14:paraId="1E89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noWrap w:val="0"/>
                  <w:vAlign w:val="center"/>
                </w:tcPr>
                <w:p w14:paraId="040BE0C3">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1603" w:type="pct"/>
                  <w:noWrap w:val="0"/>
                  <w:vAlign w:val="center"/>
                </w:tcPr>
                <w:p w14:paraId="08A47B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1966" w:type="pct"/>
                  <w:noWrap w:val="0"/>
                  <w:vAlign w:val="center"/>
                </w:tcPr>
                <w:p w14:paraId="2E8D046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r>
          </w:tbl>
          <w:p w14:paraId="1EE2F7AD">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Chars="0" w:firstLine="482" w:firstLineChars="200"/>
              <w:textAlignment w:val="baseline"/>
              <w:rPr>
                <w:rFonts w:hint="eastAsia" w:ascii="Times New Roman" w:hAnsi="Times New Roman" w:cs="宋体"/>
                <w:b/>
                <w:bCs/>
                <w:color w:val="auto"/>
                <w:sz w:val="24"/>
                <w:szCs w:val="24"/>
                <w:lang w:val="en-US" w:eastAsia="zh-CN"/>
              </w:rPr>
            </w:pPr>
            <w:r>
              <w:rPr>
                <w:rFonts w:hint="eastAsia" w:ascii="Times New Roman" w:hAnsi="Times New Roman" w:cs="宋体"/>
                <w:b/>
                <w:bCs/>
                <w:color w:val="auto"/>
                <w:sz w:val="24"/>
                <w:szCs w:val="24"/>
                <w:lang w:val="en-US" w:eastAsia="zh-CN"/>
              </w:rPr>
              <w:t>3、非正常排放情况</w:t>
            </w:r>
          </w:p>
          <w:p w14:paraId="0E7DE53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引起非正常排放的因素和环节较多，但无论何种原因，其结果均与治理设施不能正常运转有关。项目建成投产后共设置1个有组织废气排放口。由于所有排放源同时出现非正常排放的可能性较小，故本次环评非正常排放工况考虑为布袋除尘器故障，由于布袋除尘器除尘效率下降至</w:t>
            </w:r>
            <w:r>
              <w:rPr>
                <w:rFonts w:hint="eastAsia" w:ascii="Times New Roman" w:hAnsi="Times New Roman" w:cs="宋体"/>
                <w:color w:val="auto"/>
                <w:sz w:val="24"/>
                <w:szCs w:val="24"/>
                <w:lang w:val="en-US" w:eastAsia="zh-CN"/>
              </w:rPr>
              <w:t>50</w:t>
            </w:r>
            <w:r>
              <w:rPr>
                <w:rFonts w:hint="eastAsia" w:ascii="Times New Roman" w:hAnsi="Times New Roman" w:eastAsia="宋体" w:cs="宋体"/>
                <w:color w:val="auto"/>
                <w:sz w:val="24"/>
                <w:szCs w:val="24"/>
              </w:rPr>
              <w:t>%时，操作人员凭对项目区烟气的观感及操作参数的变化，就会判断出除尘器已发生故障，即考虑布袋除尘器效率降为</w:t>
            </w:r>
            <w:r>
              <w:rPr>
                <w:rFonts w:hint="eastAsia" w:ascii="Times New Roman" w:hAnsi="Times New Roman" w:cs="宋体"/>
                <w:color w:val="auto"/>
                <w:sz w:val="24"/>
                <w:szCs w:val="24"/>
                <w:lang w:val="en-US" w:eastAsia="zh-CN"/>
              </w:rPr>
              <w:t>50</w:t>
            </w:r>
            <w:r>
              <w:rPr>
                <w:rFonts w:hint="eastAsia" w:ascii="Times New Roman" w:hAnsi="Times New Roman" w:eastAsia="宋体" w:cs="宋体"/>
                <w:color w:val="auto"/>
                <w:sz w:val="24"/>
                <w:szCs w:val="24"/>
              </w:rPr>
              <w:t>%时为事故源强。设计的非正常排放情况见表4-</w:t>
            </w:r>
            <w:r>
              <w:rPr>
                <w:rFonts w:hint="eastAsia" w:ascii="Times New Roman" w:hAnsi="Times New Roman" w:cs="宋体"/>
                <w:color w:val="auto"/>
                <w:sz w:val="24"/>
                <w:szCs w:val="24"/>
                <w:lang w:val="en-US" w:eastAsia="zh-CN"/>
              </w:rPr>
              <w:t>7</w:t>
            </w:r>
            <w:r>
              <w:rPr>
                <w:rFonts w:hint="eastAsia" w:ascii="Times New Roman" w:hAnsi="Times New Roman" w:eastAsia="宋体" w:cs="宋体"/>
                <w:color w:val="auto"/>
                <w:sz w:val="24"/>
                <w:szCs w:val="24"/>
              </w:rPr>
              <w:t>。</w:t>
            </w:r>
          </w:p>
          <w:p w14:paraId="4315E314">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 xml:space="preserve">7 </w:t>
            </w:r>
            <w:r>
              <w:rPr>
                <w:rFonts w:hint="eastAsia" w:ascii="Times New Roman" w:hAnsi="Times New Roman" w:eastAsia="宋体" w:cs="宋体"/>
                <w:b/>
                <w:bCs/>
                <w:color w:val="auto"/>
                <w:sz w:val="21"/>
                <w:szCs w:val="21"/>
              </w:rPr>
              <w:t>非正常污染物排放源强</w:t>
            </w:r>
          </w:p>
          <w:tbl>
            <w:tblPr>
              <w:tblStyle w:val="28"/>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
              <w:gridCol w:w="636"/>
              <w:gridCol w:w="675"/>
              <w:gridCol w:w="660"/>
              <w:gridCol w:w="900"/>
              <w:gridCol w:w="900"/>
              <w:gridCol w:w="810"/>
              <w:gridCol w:w="571"/>
              <w:gridCol w:w="585"/>
              <w:gridCol w:w="681"/>
              <w:gridCol w:w="965"/>
            </w:tblGrid>
            <w:tr w14:paraId="0EB1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2" w:type="dxa"/>
                  <w:vMerge w:val="restart"/>
                  <w:vAlign w:val="center"/>
                </w:tcPr>
                <w:p w14:paraId="170722C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污染源</w:t>
                  </w:r>
                </w:p>
              </w:tc>
              <w:tc>
                <w:tcPr>
                  <w:tcW w:w="636" w:type="dxa"/>
                  <w:vMerge w:val="restart"/>
                  <w:vAlign w:val="center"/>
                </w:tcPr>
                <w:p w14:paraId="5B08A02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污染</w:t>
                  </w:r>
                </w:p>
                <w:p w14:paraId="5A4D8FA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物名称</w:t>
                  </w:r>
                </w:p>
              </w:tc>
              <w:tc>
                <w:tcPr>
                  <w:tcW w:w="675" w:type="dxa"/>
                  <w:vMerge w:val="restart"/>
                  <w:vAlign w:val="center"/>
                </w:tcPr>
                <w:p w14:paraId="30E7569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非正常</w:t>
                  </w:r>
                </w:p>
                <w:p w14:paraId="100E48C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排放原因</w:t>
                  </w:r>
                </w:p>
              </w:tc>
              <w:tc>
                <w:tcPr>
                  <w:tcW w:w="2460" w:type="dxa"/>
                  <w:gridSpan w:val="3"/>
                  <w:vAlign w:val="center"/>
                </w:tcPr>
                <w:p w14:paraId="42E7E2E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Times New Roman" w:cs="宋体"/>
                      <w:b/>
                      <w:bCs/>
                      <w:color w:val="auto"/>
                      <w:sz w:val="21"/>
                      <w:szCs w:val="21"/>
                    </w:rPr>
                    <w:t>非正常</w:t>
                  </w:r>
                  <w:r>
                    <w:rPr>
                      <w:rFonts w:hint="eastAsia" w:ascii="Times New Roman" w:hAnsi="Times New Roman" w:eastAsia="宋体" w:cs="宋体"/>
                      <w:b/>
                      <w:bCs/>
                      <w:color w:val="auto"/>
                      <w:sz w:val="21"/>
                      <w:szCs w:val="21"/>
                      <w:lang w:val="en-US" w:eastAsia="zh-CN"/>
                    </w:rPr>
                    <w:t>情况</w:t>
                  </w:r>
                </w:p>
              </w:tc>
              <w:tc>
                <w:tcPr>
                  <w:tcW w:w="810" w:type="dxa"/>
                  <w:vMerge w:val="restart"/>
                  <w:vAlign w:val="center"/>
                </w:tcPr>
                <w:p w14:paraId="33F4FC2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b/>
                      <w:bCs/>
                      <w:color w:val="auto"/>
                      <w:sz w:val="21"/>
                      <w:szCs w:val="21"/>
                      <w:lang w:val="en-US" w:eastAsia="zh-CN"/>
                    </w:rPr>
                  </w:pPr>
                  <w:r>
                    <w:rPr>
                      <w:rFonts w:hint="eastAsia" w:ascii="Times New Roman" w:hAnsi="Times New Roman" w:eastAsia="Times New Roman" w:cs="宋体"/>
                      <w:b/>
                      <w:bCs/>
                      <w:color w:val="auto"/>
                      <w:sz w:val="21"/>
                      <w:szCs w:val="21"/>
                      <w:lang w:val="en-US" w:eastAsia="zh-CN"/>
                    </w:rPr>
                    <w:t>标准限值</w:t>
                  </w:r>
                  <w:r>
                    <w:rPr>
                      <w:rFonts w:hint="eastAsia" w:ascii="Times New Roman" w:hAnsi="Times New Roman" w:eastAsia="Times New Roman" w:cs="宋体"/>
                      <w:b/>
                      <w:bCs/>
                      <w:color w:val="auto"/>
                      <w:sz w:val="21"/>
                      <w:szCs w:val="21"/>
                    </w:rPr>
                    <w:t>（mg/m</w:t>
                  </w:r>
                  <w:r>
                    <w:rPr>
                      <w:rFonts w:hint="eastAsia" w:ascii="Times New Roman" w:hAnsi="Times New Roman" w:eastAsia="Times New Roman" w:cs="宋体"/>
                      <w:b/>
                      <w:bCs/>
                      <w:color w:val="auto"/>
                      <w:sz w:val="21"/>
                      <w:szCs w:val="21"/>
                      <w:vertAlign w:val="superscript"/>
                    </w:rPr>
                    <w:t>3</w:t>
                  </w:r>
                  <w:r>
                    <w:rPr>
                      <w:rFonts w:hint="eastAsia" w:ascii="Times New Roman" w:hAnsi="Times New Roman" w:eastAsia="Times New Roman" w:cs="宋体"/>
                      <w:b/>
                      <w:bCs/>
                      <w:color w:val="auto"/>
                      <w:sz w:val="21"/>
                      <w:szCs w:val="21"/>
                    </w:rPr>
                    <w:t>）</w:t>
                  </w:r>
                </w:p>
              </w:tc>
              <w:tc>
                <w:tcPr>
                  <w:tcW w:w="571" w:type="dxa"/>
                  <w:vMerge w:val="restart"/>
                  <w:vAlign w:val="center"/>
                </w:tcPr>
                <w:p w14:paraId="675F9EE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lang w:val="zh-CN" w:eastAsia="zh-CN"/>
                    </w:rPr>
                  </w:pPr>
                  <w:r>
                    <w:rPr>
                      <w:rFonts w:hint="default" w:ascii="Times New Roman" w:hAnsi="Times New Roman" w:eastAsia="Times New Roman" w:cs="宋体"/>
                      <w:b/>
                      <w:bCs/>
                      <w:color w:val="auto"/>
                      <w:sz w:val="21"/>
                      <w:szCs w:val="21"/>
                      <w:lang w:val="zh-CN" w:eastAsia="zh-CN"/>
                    </w:rPr>
                    <w:t>达标情况</w:t>
                  </w:r>
                </w:p>
              </w:tc>
              <w:tc>
                <w:tcPr>
                  <w:tcW w:w="585" w:type="dxa"/>
                  <w:vMerge w:val="restart"/>
                  <w:vAlign w:val="center"/>
                </w:tcPr>
                <w:p w14:paraId="33CEA68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单次</w:t>
                  </w:r>
                </w:p>
                <w:p w14:paraId="4327E1E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持续时间</w:t>
                  </w:r>
                </w:p>
              </w:tc>
              <w:tc>
                <w:tcPr>
                  <w:tcW w:w="681" w:type="dxa"/>
                  <w:vMerge w:val="restart"/>
                  <w:vAlign w:val="center"/>
                </w:tcPr>
                <w:p w14:paraId="26E062E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年发生频次（次）</w:t>
                  </w:r>
                </w:p>
              </w:tc>
              <w:tc>
                <w:tcPr>
                  <w:tcW w:w="965" w:type="dxa"/>
                  <w:vMerge w:val="restart"/>
                  <w:vAlign w:val="center"/>
                </w:tcPr>
                <w:p w14:paraId="12154FF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应对措施</w:t>
                  </w:r>
                </w:p>
              </w:tc>
            </w:tr>
            <w:tr w14:paraId="4CE0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2" w:type="dxa"/>
                  <w:vMerge w:val="continue"/>
                  <w:vAlign w:val="center"/>
                </w:tcPr>
                <w:p w14:paraId="74CA4C7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36" w:type="dxa"/>
                  <w:vMerge w:val="continue"/>
                  <w:vAlign w:val="center"/>
                </w:tcPr>
                <w:p w14:paraId="43799E5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75" w:type="dxa"/>
                  <w:vMerge w:val="continue"/>
                  <w:vAlign w:val="center"/>
                </w:tcPr>
                <w:p w14:paraId="5933CB5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60" w:type="dxa"/>
                  <w:vAlign w:val="center"/>
                </w:tcPr>
                <w:p w14:paraId="16E3751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排放量（kg</w:t>
                  </w:r>
                  <w:r>
                    <w:rPr>
                      <w:rFonts w:hint="default" w:ascii="Times New Roman" w:hAnsi="Times New Roman" w:eastAsia="宋体" w:cs="Times New Roman"/>
                      <w:b/>
                      <w:color w:val="auto"/>
                      <w:sz w:val="21"/>
                      <w:szCs w:val="21"/>
                      <w:highlight w:val="none"/>
                    </w:rPr>
                    <w:t>/a</w:t>
                  </w:r>
                  <w:r>
                    <w:rPr>
                      <w:rFonts w:hint="eastAsia" w:ascii="Times New Roman" w:hAnsi="Times New Roman" w:eastAsia="宋体" w:cs="宋体"/>
                      <w:b/>
                      <w:bCs/>
                      <w:color w:val="auto"/>
                      <w:sz w:val="21"/>
                      <w:szCs w:val="21"/>
                      <w:lang w:val="en-US" w:eastAsia="zh-CN"/>
                    </w:rPr>
                    <w:t>）</w:t>
                  </w:r>
                </w:p>
              </w:tc>
              <w:tc>
                <w:tcPr>
                  <w:tcW w:w="900" w:type="dxa"/>
                  <w:vAlign w:val="center"/>
                </w:tcPr>
                <w:p w14:paraId="425406B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排放速率</w:t>
                  </w:r>
                </w:p>
                <w:p w14:paraId="0493EDF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（kg/h）</w:t>
                  </w:r>
                </w:p>
              </w:tc>
              <w:tc>
                <w:tcPr>
                  <w:tcW w:w="900" w:type="dxa"/>
                  <w:vAlign w:val="center"/>
                </w:tcPr>
                <w:p w14:paraId="3D51868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排放浓度（mg/m</w:t>
                  </w:r>
                  <w:r>
                    <w:rPr>
                      <w:rFonts w:hint="eastAsia" w:ascii="Times New Roman" w:hAnsi="Times New Roman" w:eastAsia="Times New Roman" w:cs="宋体"/>
                      <w:b/>
                      <w:bCs/>
                      <w:color w:val="auto"/>
                      <w:sz w:val="21"/>
                      <w:szCs w:val="21"/>
                      <w:vertAlign w:val="superscript"/>
                    </w:rPr>
                    <w:t>3</w:t>
                  </w:r>
                  <w:r>
                    <w:rPr>
                      <w:rFonts w:hint="eastAsia" w:ascii="Times New Roman" w:hAnsi="Times New Roman" w:eastAsia="Times New Roman" w:cs="宋体"/>
                      <w:b/>
                      <w:bCs/>
                      <w:color w:val="auto"/>
                      <w:sz w:val="21"/>
                      <w:szCs w:val="21"/>
                    </w:rPr>
                    <w:t>）</w:t>
                  </w:r>
                </w:p>
              </w:tc>
              <w:tc>
                <w:tcPr>
                  <w:tcW w:w="810" w:type="dxa"/>
                  <w:vMerge w:val="continue"/>
                  <w:vAlign w:val="center"/>
                </w:tcPr>
                <w:p w14:paraId="280323C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571" w:type="dxa"/>
                  <w:vMerge w:val="continue"/>
                  <w:vAlign w:val="center"/>
                </w:tcPr>
                <w:p w14:paraId="028F6C4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585" w:type="dxa"/>
                  <w:vMerge w:val="continue"/>
                  <w:vAlign w:val="center"/>
                </w:tcPr>
                <w:p w14:paraId="4E6540C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681" w:type="dxa"/>
                  <w:vMerge w:val="continue"/>
                  <w:vAlign w:val="center"/>
                </w:tcPr>
                <w:p w14:paraId="6AA3D81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965" w:type="dxa"/>
                  <w:vMerge w:val="continue"/>
                  <w:vAlign w:val="center"/>
                </w:tcPr>
                <w:p w14:paraId="110F430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r>
            <w:tr w14:paraId="7D94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restart"/>
                  <w:vAlign w:val="center"/>
                </w:tcPr>
                <w:p w14:paraId="7C69246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锅炉</w:t>
                  </w:r>
                  <w:r>
                    <w:rPr>
                      <w:rFonts w:hint="eastAsia" w:ascii="Times New Roman" w:hAnsi="Times New Roman" w:eastAsia="宋体" w:cs="宋体"/>
                      <w:color w:val="auto"/>
                      <w:sz w:val="21"/>
                      <w:szCs w:val="21"/>
                    </w:rPr>
                    <w:t>燃烧废气排放口DA001</w:t>
                  </w:r>
                </w:p>
              </w:tc>
              <w:tc>
                <w:tcPr>
                  <w:tcW w:w="636" w:type="dxa"/>
                  <w:vAlign w:val="center"/>
                </w:tcPr>
                <w:p w14:paraId="55A47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default" w:ascii="Times New Roman" w:hAnsi="Times New Roman" w:eastAsia="宋体" w:cs="Times New Roman"/>
                      <w:color w:val="auto"/>
                      <w:sz w:val="21"/>
                      <w:szCs w:val="21"/>
                      <w:highlight w:val="none"/>
                      <w:lang w:eastAsia="zh-CN"/>
                    </w:rPr>
                    <w:t>颗粒物</w:t>
                  </w:r>
                </w:p>
              </w:tc>
              <w:tc>
                <w:tcPr>
                  <w:tcW w:w="675" w:type="dxa"/>
                  <w:vMerge w:val="restart"/>
                  <w:vAlign w:val="center"/>
                </w:tcPr>
                <w:p w14:paraId="674D3440">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布袋除尘</w:t>
                  </w:r>
                  <w:r>
                    <w:rPr>
                      <w:rFonts w:hint="eastAsia" w:ascii="Times New Roman" w:hAnsi="Times New Roman" w:eastAsia="Times New Roman" w:cs="宋体"/>
                      <w:color w:val="auto"/>
                      <w:sz w:val="21"/>
                      <w:szCs w:val="21"/>
                    </w:rPr>
                    <w:t>装置故障</w:t>
                  </w:r>
                  <w:r>
                    <w:rPr>
                      <w:rFonts w:hint="eastAsia" w:ascii="Times New Roman" w:hAnsi="Times New Roman" w:eastAsia="宋体" w:cs="宋体"/>
                      <w:color w:val="auto"/>
                      <w:sz w:val="21"/>
                      <w:szCs w:val="21"/>
                    </w:rPr>
                    <w:t>（除尘效</w:t>
                  </w:r>
                </w:p>
                <w:p w14:paraId="2C98D15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rPr>
                    <w:t>率</w:t>
                  </w:r>
                  <w:r>
                    <w:rPr>
                      <w:rFonts w:hint="eastAsia" w:ascii="Times New Roman" w:hAnsi="Times New Roman" w:eastAsia="宋体" w:cs="宋体"/>
                      <w:color w:val="auto"/>
                      <w:sz w:val="21"/>
                      <w:szCs w:val="21"/>
                      <w:lang w:val="en-US" w:eastAsia="zh-CN"/>
                    </w:rPr>
                    <w:t>50</w:t>
                  </w:r>
                  <w:r>
                    <w:rPr>
                      <w:rFonts w:hint="eastAsia" w:ascii="Times New Roman" w:hAnsi="Times New Roman" w:eastAsia="宋体" w:cs="宋体"/>
                      <w:color w:val="auto"/>
                      <w:sz w:val="21"/>
                      <w:szCs w:val="21"/>
                    </w:rPr>
                    <w:t>%）</w:t>
                  </w:r>
                </w:p>
              </w:tc>
              <w:tc>
                <w:tcPr>
                  <w:tcW w:w="660" w:type="dxa"/>
                  <w:vAlign w:val="center"/>
                </w:tcPr>
                <w:p w14:paraId="612D6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cs="Times New Roman"/>
                      <w:color w:val="auto"/>
                      <w:sz w:val="21"/>
                      <w:szCs w:val="21"/>
                      <w:highlight w:val="none"/>
                      <w:lang w:val="en-US" w:eastAsia="zh-CN"/>
                    </w:rPr>
                    <w:t>0.277</w:t>
                  </w:r>
                </w:p>
              </w:tc>
              <w:tc>
                <w:tcPr>
                  <w:tcW w:w="900" w:type="dxa"/>
                  <w:vAlign w:val="center"/>
                </w:tcPr>
                <w:p w14:paraId="16293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cs="Times New Roman"/>
                      <w:color w:val="auto"/>
                      <w:sz w:val="21"/>
                      <w:szCs w:val="21"/>
                      <w:highlight w:val="none"/>
                      <w:lang w:val="en-US" w:eastAsia="zh-CN"/>
                    </w:rPr>
                    <w:t>0.115</w:t>
                  </w:r>
                </w:p>
              </w:tc>
              <w:tc>
                <w:tcPr>
                  <w:tcW w:w="900" w:type="dxa"/>
                  <w:vAlign w:val="center"/>
                </w:tcPr>
                <w:p w14:paraId="3A221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cs="Times New Roman"/>
                      <w:color w:val="auto"/>
                      <w:sz w:val="21"/>
                      <w:szCs w:val="21"/>
                      <w:highlight w:val="none"/>
                      <w:lang w:val="en-US" w:eastAsia="zh-CN"/>
                    </w:rPr>
                    <w:t>39.96</w:t>
                  </w:r>
                </w:p>
              </w:tc>
              <w:tc>
                <w:tcPr>
                  <w:tcW w:w="810" w:type="dxa"/>
                  <w:vAlign w:val="center"/>
                </w:tcPr>
                <w:p w14:paraId="3E3831D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50</w:t>
                  </w:r>
                </w:p>
              </w:tc>
              <w:tc>
                <w:tcPr>
                  <w:tcW w:w="571" w:type="dxa"/>
                  <w:vAlign w:val="center"/>
                </w:tcPr>
                <w:p w14:paraId="3A38CB1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达标</w:t>
                  </w:r>
                </w:p>
              </w:tc>
              <w:tc>
                <w:tcPr>
                  <w:tcW w:w="585" w:type="dxa"/>
                  <w:vMerge w:val="restart"/>
                  <w:vAlign w:val="center"/>
                </w:tcPr>
                <w:p w14:paraId="4F05763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Times New Roman" w:cs="宋体"/>
                      <w:color w:val="auto"/>
                      <w:sz w:val="21"/>
                      <w:szCs w:val="21"/>
                    </w:rPr>
                    <w:t>1h</w:t>
                  </w:r>
                </w:p>
              </w:tc>
              <w:tc>
                <w:tcPr>
                  <w:tcW w:w="681" w:type="dxa"/>
                  <w:vMerge w:val="restart"/>
                  <w:vAlign w:val="center"/>
                </w:tcPr>
                <w:p w14:paraId="595FD81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Times New Roman" w:cs="宋体"/>
                      <w:color w:val="auto"/>
                      <w:sz w:val="21"/>
                      <w:szCs w:val="21"/>
                    </w:rPr>
                    <w:t>1</w:t>
                  </w:r>
                </w:p>
              </w:tc>
              <w:tc>
                <w:tcPr>
                  <w:tcW w:w="965" w:type="dxa"/>
                  <w:vMerge w:val="restart"/>
                  <w:vAlign w:val="center"/>
                </w:tcPr>
                <w:p w14:paraId="6133578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eastAsia" w:ascii="Times New Roman" w:hAnsi="Times New Roman" w:eastAsia="Times New Roman" w:cs="宋体"/>
                      <w:color w:val="auto"/>
                      <w:sz w:val="21"/>
                      <w:szCs w:val="21"/>
                    </w:rPr>
                    <w:t>立即停止生产</w:t>
                  </w:r>
                  <w:r>
                    <w:rPr>
                      <w:rFonts w:hint="eastAsia" w:ascii="Times New Roman" w:hAnsi="Times New Roman" w:eastAsia="Times New Roman" w:cs="宋体"/>
                      <w:color w:val="auto"/>
                      <w:sz w:val="21"/>
                      <w:szCs w:val="21"/>
                      <w:lang w:eastAsia="zh-CN"/>
                    </w:rPr>
                    <w:t>，</w:t>
                  </w:r>
                  <w:r>
                    <w:rPr>
                      <w:rFonts w:hint="default" w:ascii="Times New Roman" w:hAnsi="Times New Roman" w:eastAsia="Times New Roman" w:cs="宋体"/>
                      <w:color w:val="auto"/>
                      <w:sz w:val="21"/>
                      <w:szCs w:val="21"/>
                      <w:lang w:eastAsia="zh-CN"/>
                    </w:rPr>
                    <w:t>对设备进行检修，待设备更新或修理完毕后再恢复运营</w:t>
                  </w:r>
                </w:p>
              </w:tc>
            </w:tr>
            <w:tr w14:paraId="0CAB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continue"/>
                  <w:vAlign w:val="center"/>
                </w:tcPr>
                <w:p w14:paraId="69147B3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36" w:type="dxa"/>
                  <w:vAlign w:val="center"/>
                </w:tcPr>
                <w:p w14:paraId="17D117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s="Times New Roman"/>
                      <w:color w:val="auto"/>
                      <w:sz w:val="21"/>
                      <w:szCs w:val="21"/>
                      <w:highlight w:val="none"/>
                      <w:lang w:eastAsia="zh-CN"/>
                    </w:rPr>
                    <w:t>SO2</w:t>
                  </w:r>
                </w:p>
              </w:tc>
              <w:tc>
                <w:tcPr>
                  <w:tcW w:w="675" w:type="dxa"/>
                  <w:vMerge w:val="continue"/>
                  <w:vAlign w:val="center"/>
                </w:tcPr>
                <w:p w14:paraId="7A63D87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60" w:type="dxa"/>
                  <w:vAlign w:val="center"/>
                </w:tcPr>
                <w:p w14:paraId="20652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vAlign w:val="center"/>
                </w:tcPr>
                <w:p w14:paraId="6E7FBD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0.47</w:t>
                  </w:r>
                </w:p>
              </w:tc>
              <w:tc>
                <w:tcPr>
                  <w:tcW w:w="900" w:type="dxa"/>
                  <w:vAlign w:val="center"/>
                </w:tcPr>
                <w:p w14:paraId="7E0B5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810" w:type="dxa"/>
                  <w:vAlign w:val="center"/>
                </w:tcPr>
                <w:p w14:paraId="7BD8427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571" w:type="dxa"/>
                  <w:vAlign w:val="center"/>
                </w:tcPr>
                <w:p w14:paraId="2DF9F72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达标</w:t>
                  </w:r>
                </w:p>
              </w:tc>
              <w:tc>
                <w:tcPr>
                  <w:tcW w:w="585" w:type="dxa"/>
                  <w:vMerge w:val="continue"/>
                  <w:vAlign w:val="center"/>
                </w:tcPr>
                <w:p w14:paraId="17EBD12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81" w:type="dxa"/>
                  <w:vMerge w:val="continue"/>
                  <w:vAlign w:val="center"/>
                </w:tcPr>
                <w:p w14:paraId="3ECE65F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965" w:type="dxa"/>
                  <w:vMerge w:val="continue"/>
                  <w:vAlign w:val="center"/>
                </w:tcPr>
                <w:p w14:paraId="2641E4A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r>
            <w:tr w14:paraId="6C25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continue"/>
                  <w:vAlign w:val="center"/>
                </w:tcPr>
                <w:p w14:paraId="3290559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36" w:type="dxa"/>
                  <w:vAlign w:val="center"/>
                </w:tcPr>
                <w:p w14:paraId="4AF89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675" w:type="dxa"/>
                  <w:vMerge w:val="continue"/>
                  <w:vAlign w:val="center"/>
                </w:tcPr>
                <w:p w14:paraId="6C32E03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60" w:type="dxa"/>
                  <w:vAlign w:val="center"/>
                </w:tcPr>
                <w:p w14:paraId="3B2F1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vAlign w:val="center"/>
                </w:tcPr>
                <w:p w14:paraId="4EA45B0C">
                  <w:pPr>
                    <w:keepNext w:val="0"/>
                    <w:keepLines w:val="0"/>
                    <w:widowControl/>
                    <w:suppressLineNumbers w:val="0"/>
                    <w:jc w:val="center"/>
                    <w:textAlignment w:val="center"/>
                    <w:rPr>
                      <w:rFonts w:hint="eastAsia" w:ascii="Times New Roman" w:hAnsi="Times New Roman" w:eastAsia="宋体" w:cs="宋体"/>
                      <w:color w:val="auto"/>
                      <w:sz w:val="21"/>
                      <w:szCs w:val="21"/>
                      <w:lang w:val="en-US" w:eastAsia="zh-CN"/>
                    </w:rPr>
                  </w:pPr>
                  <w:r>
                    <w:rPr>
                      <w:rFonts w:hint="eastAsia" w:ascii="Times New Roman" w:hAnsi="Times New Roman" w:cs="Times New Roman"/>
                      <w:color w:val="auto"/>
                      <w:sz w:val="21"/>
                      <w:szCs w:val="21"/>
                      <w:highlight w:val="none"/>
                      <w:lang w:val="en-US" w:eastAsia="zh-CN"/>
                    </w:rPr>
                    <w:t>0.47</w:t>
                  </w:r>
                </w:p>
              </w:tc>
              <w:tc>
                <w:tcPr>
                  <w:tcW w:w="900" w:type="dxa"/>
                  <w:vAlign w:val="center"/>
                </w:tcPr>
                <w:p w14:paraId="0DACD755">
                  <w:pPr>
                    <w:keepNext w:val="0"/>
                    <w:keepLines w:val="0"/>
                    <w:widowControl/>
                    <w:suppressLineNumbers w:val="0"/>
                    <w:jc w:val="center"/>
                    <w:textAlignment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810" w:type="dxa"/>
                  <w:vAlign w:val="center"/>
                </w:tcPr>
                <w:p w14:paraId="216CE9C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571" w:type="dxa"/>
                  <w:vAlign w:val="center"/>
                </w:tcPr>
                <w:p w14:paraId="2D58435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达标</w:t>
                  </w:r>
                </w:p>
              </w:tc>
              <w:tc>
                <w:tcPr>
                  <w:tcW w:w="585" w:type="dxa"/>
                  <w:vMerge w:val="continue"/>
                  <w:vAlign w:val="center"/>
                </w:tcPr>
                <w:p w14:paraId="2B36BD5C">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81" w:type="dxa"/>
                  <w:vMerge w:val="continue"/>
                  <w:vAlign w:val="center"/>
                </w:tcPr>
                <w:p w14:paraId="1440E73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965" w:type="dxa"/>
                  <w:vMerge w:val="continue"/>
                  <w:vAlign w:val="center"/>
                </w:tcPr>
                <w:p w14:paraId="1966EF0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r>
          </w:tbl>
          <w:p w14:paraId="4DF0DC6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项目在非正常排放情况下的排放浓度均比正常排放情况下的浓度高，本次环评提出如下措施：</w:t>
            </w:r>
          </w:p>
          <w:p w14:paraId="65454A3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①从正规厂家购置合格的废气治理设施。</w:t>
            </w:r>
          </w:p>
          <w:p w14:paraId="36B4C6B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②定期对员工进行培训，确保操作工人熟悉项目的生产工艺、设备，避免因操作不当引发非正常情况的发生。</w:t>
            </w:r>
          </w:p>
          <w:p w14:paraId="7C87550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③加强废气处理设施检修，维护设备正常运行，降低废气处理装置出现非正常工作情况的概率。</w:t>
            </w:r>
          </w:p>
          <w:p w14:paraId="72B7EB6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宋体"/>
                <w:b/>
                <w:bCs/>
                <w:color w:val="auto"/>
                <w:sz w:val="24"/>
                <w:szCs w:val="24"/>
                <w:lang w:val="en-US" w:eastAsia="zh-CN"/>
              </w:rPr>
            </w:pPr>
            <w:r>
              <w:rPr>
                <w:rFonts w:hint="eastAsia" w:ascii="Times New Roman" w:hAnsi="Times New Roman" w:eastAsia="宋体" w:cs="宋体"/>
                <w:color w:val="auto"/>
                <w:sz w:val="24"/>
                <w:szCs w:val="24"/>
              </w:rPr>
              <w:t>④制定事故处理应急计划，建立事故处理机构，落实各部分、各岗位、各操作管理人员的责任，一旦发生事故，及时采取处理措施并通知相关人员在最短时间内排出故障。</w:t>
            </w:r>
          </w:p>
          <w:p w14:paraId="0036293B">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lang w:val="en-US" w:eastAsia="zh-CN"/>
              </w:rPr>
            </w:pPr>
            <w:r>
              <w:rPr>
                <w:rFonts w:hint="eastAsia" w:ascii="Times New Roman" w:hAnsi="Times New Roman" w:cs="宋体"/>
                <w:b/>
                <w:bCs/>
                <w:color w:val="auto"/>
                <w:sz w:val="24"/>
                <w:szCs w:val="24"/>
                <w:lang w:val="en-US" w:eastAsia="zh-CN"/>
              </w:rPr>
              <w:t>4、</w:t>
            </w:r>
            <w:r>
              <w:rPr>
                <w:rFonts w:hint="eastAsia" w:ascii="Times New Roman" w:hAnsi="Times New Roman" w:eastAsia="宋体" w:cs="宋体"/>
                <w:b/>
                <w:bCs/>
                <w:color w:val="auto"/>
                <w:sz w:val="24"/>
                <w:szCs w:val="24"/>
                <w:lang w:val="en-US" w:eastAsia="zh-CN"/>
              </w:rPr>
              <w:t>废气治理措施可行性分析</w:t>
            </w:r>
          </w:p>
          <w:p w14:paraId="238C649B">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本项目属于</w:t>
            </w:r>
            <w:r>
              <w:rPr>
                <w:rFonts w:hint="eastAsia" w:ascii="Times New Roman" w:hAnsi="Times New Roman" w:cs="宋体"/>
                <w:color w:val="auto"/>
                <w:sz w:val="24"/>
                <w:szCs w:val="24"/>
                <w:lang w:val="en-US" w:eastAsia="zh-CN"/>
              </w:rPr>
              <w:t>O</w:t>
            </w:r>
            <w:r>
              <w:rPr>
                <w:rFonts w:hint="eastAsia" w:ascii="Times New Roman" w:hAnsi="Times New Roman" w:eastAsia="宋体" w:cs="宋体"/>
                <w:color w:val="auto"/>
                <w:sz w:val="24"/>
                <w:szCs w:val="24"/>
                <w:lang w:val="en-US" w:eastAsia="zh-CN"/>
              </w:rPr>
              <w:t>8</w:t>
            </w:r>
            <w:r>
              <w:rPr>
                <w:rFonts w:hint="eastAsia" w:ascii="Times New Roman" w:hAnsi="Times New Roman" w:cs="宋体"/>
                <w:color w:val="auto"/>
                <w:sz w:val="24"/>
                <w:szCs w:val="24"/>
                <w:lang w:val="en-US" w:eastAsia="zh-CN"/>
              </w:rPr>
              <w:t>03</w:t>
            </w:r>
            <w:r>
              <w:rPr>
                <w:rFonts w:hint="eastAsia" w:ascii="Times New Roman" w:hAnsi="Times New Roman" w:eastAsia="宋体" w:cs="宋体"/>
                <w:color w:val="auto"/>
                <w:sz w:val="24"/>
                <w:szCs w:val="24"/>
                <w:lang w:val="en-US" w:eastAsia="zh-CN"/>
              </w:rPr>
              <w:t>0</w:t>
            </w:r>
            <w:r>
              <w:rPr>
                <w:rFonts w:hint="eastAsia" w:ascii="Times New Roman" w:hAnsi="Times New Roman" w:cs="宋体"/>
                <w:color w:val="auto"/>
                <w:sz w:val="24"/>
                <w:szCs w:val="24"/>
                <w:lang w:val="en-US" w:eastAsia="zh-CN"/>
              </w:rPr>
              <w:t>洗染</w:t>
            </w:r>
            <w:r>
              <w:rPr>
                <w:rFonts w:hint="eastAsia" w:ascii="Times New Roman" w:hAnsi="Times New Roman" w:eastAsia="宋体" w:cs="宋体"/>
                <w:color w:val="auto"/>
                <w:sz w:val="24"/>
                <w:szCs w:val="24"/>
                <w:lang w:val="en-US" w:eastAsia="zh-CN"/>
              </w:rPr>
              <w:t>服务</w:t>
            </w:r>
            <w:r>
              <w:rPr>
                <w:rFonts w:hint="eastAsia" w:ascii="Times New Roman" w:hAnsi="Times New Roman" w:cs="宋体"/>
                <w:color w:val="auto"/>
                <w:sz w:val="24"/>
                <w:szCs w:val="24"/>
                <w:lang w:val="en-US" w:eastAsia="zh-CN"/>
              </w:rPr>
              <w:t>、</w:t>
            </w:r>
            <w:r>
              <w:rPr>
                <w:rFonts w:hint="eastAsia" w:ascii="Times New Roman" w:hAnsi="Times New Roman" w:eastAsia="宋体" w:cs="宋体"/>
                <w:color w:val="auto"/>
                <w:sz w:val="24"/>
                <w:szCs w:val="24"/>
                <w:lang w:val="en-US" w:eastAsia="zh-CN"/>
              </w:rPr>
              <w:t>D4430热力生产和供应，产生废气主要为生物质锅炉燃烧废气，成型生物质燃料装卸、贮存、输送废气。生物质锅炉燃烧废气经布袋除尘装置处理后经30m高排气筒DA001高空排放；成型生物质燃料装卸、贮存、输送废气</w:t>
            </w:r>
            <w:r>
              <w:rPr>
                <w:rFonts w:hint="eastAsia" w:ascii="Times New Roman" w:hAnsi="Times New Roman" w:cs="宋体"/>
                <w:color w:val="auto"/>
                <w:sz w:val="24"/>
                <w:szCs w:val="24"/>
                <w:lang w:val="en-US" w:eastAsia="zh-CN"/>
              </w:rPr>
              <w:t>经厂房隔挡、大气沉降、自然稀释扩散</w:t>
            </w:r>
            <w:r>
              <w:rPr>
                <w:rFonts w:hint="eastAsia" w:ascii="Times New Roman" w:hAnsi="Times New Roman" w:eastAsia="宋体" w:cs="宋体"/>
                <w:color w:val="auto"/>
                <w:sz w:val="24"/>
                <w:szCs w:val="24"/>
                <w:lang w:val="en-US" w:eastAsia="zh-CN"/>
              </w:rPr>
              <w:t>处理后在车间呈无组织排放。</w:t>
            </w:r>
          </w:p>
          <w:p w14:paraId="301D7AC3">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布袋除尘器是一种干式滤尘装置，适用于捕集细小、干燥、非纤维性粉尘。 滤袋采用纺织的滤布或非纺织的毡制成，利用纤维织物的过滤作用对含尘气体 进行过滤，当含尘气体进入袋式除尘器后，颗粒大、比重大的粉尘，由于重力 的作用沉降下来，落入灰斗，含有较细小粉尘的气体在通过滤料时，粉尘被阻留，使气体得到净化，布袋除尘效率可达99%。</w:t>
            </w:r>
          </w:p>
          <w:p w14:paraId="48A4AB13">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项目生物质锅炉燃烧废气采用布袋除尘器处理后，废气排放浓度均可满足《锅炉大气污染物排放标准》（GB13271-2014）表2燃煤锅炉规定的大气污染物排放限值，即颗粒物50mg/m</w:t>
            </w:r>
            <w:r>
              <w:rPr>
                <w:rFonts w:hint="eastAsia" w:ascii="Times New Roman" w:hAnsi="Times New Roman" w:eastAsia="宋体" w:cs="宋体"/>
                <w:color w:val="auto"/>
                <w:sz w:val="24"/>
                <w:szCs w:val="24"/>
                <w:vertAlign w:val="superscript"/>
                <w:lang w:val="en-US" w:eastAsia="zh-CN"/>
              </w:rPr>
              <w:t xml:space="preserve">3 </w:t>
            </w:r>
            <w:r>
              <w:rPr>
                <w:rFonts w:hint="eastAsia" w:ascii="Times New Roman" w:hAnsi="Times New Roman" w:eastAsia="宋体" w:cs="宋体"/>
                <w:color w:val="auto"/>
                <w:sz w:val="24"/>
                <w:szCs w:val="24"/>
                <w:lang w:val="en-US" w:eastAsia="zh-CN"/>
              </w:rPr>
              <w:t>，二氧化硫300mg/m</w:t>
            </w:r>
            <w:r>
              <w:rPr>
                <w:rFonts w:hint="eastAsia" w:ascii="Times New Roman" w:hAnsi="Times New Roman" w:eastAsia="宋体" w:cs="宋体"/>
                <w:color w:val="auto"/>
                <w:sz w:val="24"/>
                <w:szCs w:val="24"/>
                <w:vertAlign w:val="superscript"/>
                <w:lang w:val="en-US" w:eastAsia="zh-CN"/>
              </w:rPr>
              <w:t xml:space="preserve">3 </w:t>
            </w:r>
            <w:r>
              <w:rPr>
                <w:rFonts w:hint="eastAsia" w:ascii="Times New Roman" w:hAnsi="Times New Roman" w:eastAsia="宋体" w:cs="宋体"/>
                <w:color w:val="auto"/>
                <w:sz w:val="24"/>
                <w:szCs w:val="24"/>
                <w:lang w:val="en-US" w:eastAsia="zh-CN"/>
              </w:rPr>
              <w:t>，氮氧化物300mg/m</w:t>
            </w:r>
            <w:r>
              <w:rPr>
                <w:rFonts w:hint="eastAsia" w:ascii="Times New Roman" w:hAnsi="Times New Roman" w:eastAsia="宋体" w:cs="宋体"/>
                <w:color w:val="auto"/>
                <w:sz w:val="24"/>
                <w:szCs w:val="24"/>
                <w:vertAlign w:val="superscript"/>
                <w:lang w:val="en-US" w:eastAsia="zh-CN"/>
              </w:rPr>
              <w:t>3</w:t>
            </w:r>
            <w:r>
              <w:rPr>
                <w:rFonts w:hint="eastAsia" w:ascii="Times New Roman" w:hAnsi="Times New Roman" w:eastAsia="宋体" w:cs="宋体"/>
                <w:color w:val="auto"/>
                <w:sz w:val="24"/>
                <w:szCs w:val="24"/>
                <w:lang w:val="en-US" w:eastAsia="zh-CN"/>
              </w:rPr>
              <w:t>。</w:t>
            </w:r>
          </w:p>
          <w:p w14:paraId="1087D691">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项目废气污染防治措施属于《排污许可证申请与核发技术规范 锅炉》 （HJ953-2018）及《排放源统计调查产排污核算方法和系数手册》中的可行技术，项目采取的措施技术成熟，被行业广泛应用，具有成熟的使用经验，因此，本项目采取的大气污染物防治措施可行，对周围环境影响较小。</w:t>
            </w:r>
          </w:p>
          <w:p w14:paraId="3C84E6AC">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因此，项目采用的大气污染防治技术可行。</w:t>
            </w:r>
          </w:p>
          <w:p w14:paraId="385BBD03">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color w:val="auto"/>
                <w:sz w:val="24"/>
                <w:szCs w:val="24"/>
              </w:rPr>
            </w:pPr>
            <w:r>
              <w:rPr>
                <w:rFonts w:hint="eastAsia" w:ascii="Times New Roman" w:hAnsi="Times New Roman" w:cs="宋体"/>
                <w:b/>
                <w:bCs/>
                <w:color w:val="auto"/>
                <w:sz w:val="24"/>
                <w:szCs w:val="24"/>
                <w:lang w:val="en-US" w:eastAsia="zh-CN"/>
              </w:rPr>
              <w:t>5.</w:t>
            </w:r>
            <w:r>
              <w:rPr>
                <w:rFonts w:hint="eastAsia" w:ascii="Times New Roman" w:hAnsi="Times New Roman" w:eastAsia="宋体" w:cs="宋体"/>
                <w:b/>
                <w:bCs/>
                <w:color w:val="auto"/>
                <w:sz w:val="24"/>
                <w:szCs w:val="24"/>
              </w:rPr>
              <w:t>监测要求</w:t>
            </w:r>
          </w:p>
          <w:p w14:paraId="611EEBAD">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运营过程中应委托有资质的监测单位进行自行监测，参照《排污许可证申请与核发技术规范锅炉》（HJ953-2018）、《排污单位自行监测技术指南火力发电及锅炉》（HJ820-2017）及《排污单位自行监测技术指南总则》（HJ819-2017），各监测点位、监测因子、监测频次详见下表。</w:t>
            </w:r>
          </w:p>
          <w:p w14:paraId="733BAE12">
            <w:pPr>
              <w:keepNext w:val="0"/>
              <w:keepLines w:val="0"/>
              <w:pageBreakBefore w:val="0"/>
              <w:widowControl/>
              <w:kinsoku/>
              <w:wordWrap w:val="0"/>
              <w:overflowPunct/>
              <w:topLinePunct/>
              <w:autoSpaceDE/>
              <w:autoSpaceDN/>
              <w:bidi w:val="0"/>
              <w:adjustRightInd w:val="0"/>
              <w:snapToGrid w:val="0"/>
              <w:spacing w:line="360" w:lineRule="auto"/>
              <w:ind w:firstLine="422" w:firstLineChars="20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表4-</w:t>
            </w:r>
            <w:r>
              <w:rPr>
                <w:rFonts w:hint="eastAsia" w:ascii="Times New Roman" w:hAnsi="Times New Roman" w:cs="宋体"/>
                <w:b/>
                <w:bCs/>
                <w:color w:val="auto"/>
                <w:sz w:val="21"/>
                <w:szCs w:val="21"/>
                <w:lang w:val="en-US" w:eastAsia="zh-CN"/>
              </w:rPr>
              <w:t xml:space="preserve">8 </w:t>
            </w:r>
            <w:r>
              <w:rPr>
                <w:rFonts w:hint="eastAsia" w:ascii="Times New Roman" w:hAnsi="Times New Roman" w:eastAsia="宋体" w:cs="宋体"/>
                <w:b/>
                <w:bCs/>
                <w:color w:val="auto"/>
                <w:sz w:val="21"/>
                <w:szCs w:val="21"/>
              </w:rPr>
              <w:t>项目运营期废气监测计划表</w:t>
            </w:r>
          </w:p>
          <w:tbl>
            <w:tblPr>
              <w:tblStyle w:val="80"/>
              <w:tblW w:w="813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2512"/>
              <w:gridCol w:w="1064"/>
              <w:gridCol w:w="1064"/>
              <w:gridCol w:w="2301"/>
            </w:tblGrid>
            <w:tr w14:paraId="36099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89" w:type="dxa"/>
                  <w:vAlign w:val="center"/>
                </w:tcPr>
                <w:p w14:paraId="3961321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监测项目</w:t>
                  </w:r>
                </w:p>
              </w:tc>
              <w:tc>
                <w:tcPr>
                  <w:tcW w:w="2512" w:type="dxa"/>
                  <w:vAlign w:val="center"/>
                </w:tcPr>
                <w:p w14:paraId="364D0BB1">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监测点位</w:t>
                  </w:r>
                </w:p>
              </w:tc>
              <w:tc>
                <w:tcPr>
                  <w:tcW w:w="1064" w:type="dxa"/>
                  <w:vAlign w:val="center"/>
                </w:tcPr>
                <w:p w14:paraId="5C7FA4F5">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监测因子</w:t>
                  </w:r>
                </w:p>
              </w:tc>
              <w:tc>
                <w:tcPr>
                  <w:tcW w:w="1064" w:type="dxa"/>
                  <w:vAlign w:val="center"/>
                </w:tcPr>
                <w:p w14:paraId="6D6DA01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监测频率</w:t>
                  </w:r>
                </w:p>
              </w:tc>
              <w:tc>
                <w:tcPr>
                  <w:tcW w:w="2301" w:type="dxa"/>
                  <w:vAlign w:val="center"/>
                </w:tcPr>
                <w:p w14:paraId="68A86AE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执行标准</w:t>
                  </w:r>
                </w:p>
              </w:tc>
            </w:tr>
            <w:tr w14:paraId="3FE2A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89" w:type="dxa"/>
                  <w:vAlign w:val="center"/>
                </w:tcPr>
                <w:p w14:paraId="33C8427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有组织废气</w:t>
                  </w:r>
                </w:p>
              </w:tc>
              <w:tc>
                <w:tcPr>
                  <w:tcW w:w="2512" w:type="dxa"/>
                  <w:vAlign w:val="center"/>
                </w:tcPr>
                <w:p w14:paraId="1F1EE4BF">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锅炉</w:t>
                  </w:r>
                  <w:r>
                    <w:rPr>
                      <w:rFonts w:hint="eastAsia" w:ascii="Times New Roman" w:hAnsi="Times New Roman" w:eastAsia="宋体" w:cs="宋体"/>
                      <w:color w:val="auto"/>
                      <w:sz w:val="21"/>
                      <w:szCs w:val="21"/>
                    </w:rPr>
                    <w:t>燃烧废气排放口</w:t>
                  </w:r>
                </w:p>
                <w:p w14:paraId="137C52E2">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DA001</w:t>
                  </w:r>
                </w:p>
              </w:tc>
              <w:tc>
                <w:tcPr>
                  <w:tcW w:w="1064" w:type="dxa"/>
                  <w:vAlign w:val="center"/>
                </w:tcPr>
                <w:p w14:paraId="1961F16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颗粒物、SO2、NOx</w:t>
                  </w:r>
                  <w:r>
                    <w:rPr>
                      <w:rFonts w:hint="eastAsia" w:ascii="Times New Roman" w:hAnsi="Times New Roman" w:cs="宋体"/>
                      <w:color w:val="auto"/>
                      <w:sz w:val="21"/>
                      <w:szCs w:val="21"/>
                      <w:lang w:eastAsia="zh-CN"/>
                    </w:rPr>
                    <w:t>、</w:t>
                  </w:r>
                  <w:r>
                    <w:rPr>
                      <w:rFonts w:hint="eastAsia" w:ascii="Times New Roman" w:hAnsi="Times New Roman" w:cs="宋体"/>
                      <w:color w:val="auto"/>
                      <w:sz w:val="21"/>
                      <w:szCs w:val="21"/>
                      <w:lang w:val="en-US" w:eastAsia="zh-CN"/>
                    </w:rPr>
                    <w:t>林格曼黑度</w:t>
                  </w:r>
                </w:p>
              </w:tc>
              <w:tc>
                <w:tcPr>
                  <w:tcW w:w="1064" w:type="dxa"/>
                  <w:vAlign w:val="center"/>
                </w:tcPr>
                <w:p w14:paraId="2C26A79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1次/月</w:t>
                  </w:r>
                </w:p>
              </w:tc>
              <w:tc>
                <w:tcPr>
                  <w:tcW w:w="2301" w:type="dxa"/>
                  <w:vAlign w:val="center"/>
                </w:tcPr>
                <w:p w14:paraId="1DF3DACB">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《锅炉大气污染物排放标准》（GB13271-2014）表2燃煤锅炉规定的大气污染物排放限值。</w:t>
                  </w:r>
                </w:p>
              </w:tc>
            </w:tr>
            <w:tr w14:paraId="4573E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89" w:type="dxa"/>
                  <w:vAlign w:val="center"/>
                </w:tcPr>
                <w:p w14:paraId="423C5E8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无组织废气</w:t>
                  </w:r>
                </w:p>
              </w:tc>
              <w:tc>
                <w:tcPr>
                  <w:tcW w:w="2512" w:type="dxa"/>
                  <w:vAlign w:val="center"/>
                </w:tcPr>
                <w:p w14:paraId="4B40A029">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厂界</w:t>
                  </w:r>
                </w:p>
              </w:tc>
              <w:tc>
                <w:tcPr>
                  <w:tcW w:w="1064" w:type="dxa"/>
                  <w:vAlign w:val="center"/>
                </w:tcPr>
                <w:p w14:paraId="14BCE880">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颗粒物</w:t>
                  </w:r>
                </w:p>
              </w:tc>
              <w:tc>
                <w:tcPr>
                  <w:tcW w:w="1064" w:type="dxa"/>
                  <w:vAlign w:val="center"/>
                </w:tcPr>
                <w:p w14:paraId="162B3083">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1次/</w:t>
                  </w:r>
                  <w:r>
                    <w:rPr>
                      <w:rFonts w:hint="eastAsia" w:ascii="Times New Roman" w:hAnsi="Times New Roman" w:cs="宋体"/>
                      <w:color w:val="auto"/>
                      <w:sz w:val="21"/>
                      <w:szCs w:val="21"/>
                      <w:lang w:val="en-US" w:eastAsia="zh-CN"/>
                    </w:rPr>
                    <w:t>季</w:t>
                  </w:r>
                </w:p>
              </w:tc>
              <w:tc>
                <w:tcPr>
                  <w:tcW w:w="2301" w:type="dxa"/>
                  <w:vAlign w:val="center"/>
                </w:tcPr>
                <w:p w14:paraId="68439408">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Times New Roman"/>
                      <w:color w:val="auto"/>
                      <w:sz w:val="21"/>
                      <w:szCs w:val="21"/>
                      <w:highlight w:val="none"/>
                      <w:lang w:val="en-US" w:eastAsia="en-US"/>
                    </w:rPr>
                    <w:t>《大气污染物综合排放标准》（GB16297-1996）表2</w:t>
                  </w:r>
                </w:p>
              </w:tc>
            </w:tr>
          </w:tbl>
          <w:p w14:paraId="4DD9F536">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二、运营期废水环境影响及防治措施</w:t>
            </w:r>
          </w:p>
          <w:p w14:paraId="03DC0E07">
            <w:pPr>
              <w:adjustRightInd w:val="0"/>
              <w:snapToGrid w:val="0"/>
              <w:spacing w:line="360" w:lineRule="auto"/>
              <w:ind w:firstLine="482" w:firstLineChars="200"/>
              <w:rPr>
                <w:rFonts w:hint="default" w:ascii="Times New Roman" w:hAnsi="Times New Roman" w:eastAsia="宋体"/>
                <w:bCs/>
                <w:color w:val="auto"/>
                <w:kern w:val="0"/>
                <w:sz w:val="24"/>
                <w:lang w:val="en-US" w:eastAsia="zh-CN"/>
              </w:rPr>
            </w:pPr>
            <w:r>
              <w:rPr>
                <w:rFonts w:ascii="Times New Roman" w:hAnsi="Times New Roman"/>
                <w:b/>
                <w:color w:val="auto"/>
                <w:kern w:val="0"/>
                <w:sz w:val="24"/>
              </w:rPr>
              <w:t>1、</w:t>
            </w:r>
            <w:r>
              <w:rPr>
                <w:rFonts w:hint="eastAsia" w:ascii="Times New Roman" w:hAnsi="Times New Roman"/>
                <w:b/>
                <w:color w:val="auto"/>
                <w:kern w:val="0"/>
                <w:sz w:val="24"/>
                <w:lang w:val="en-US" w:eastAsia="zh-CN"/>
              </w:rPr>
              <w:t>废水污染物产排情况</w:t>
            </w:r>
          </w:p>
          <w:p w14:paraId="36AEFECF">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本项目营运期产生的废水主要为洗涤废水、</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eastAsia="Times New Roman" w:cs="宋体"/>
                <w:color w:val="auto"/>
                <w:kern w:val="2"/>
                <w:sz w:val="24"/>
                <w:szCs w:val="24"/>
                <w:lang w:val="en-US" w:eastAsia="zh-CN" w:bidi="ar-SA"/>
              </w:rPr>
              <w:t>、锅炉排污水</w:t>
            </w:r>
            <w:r>
              <w:rPr>
                <w:rFonts w:hint="eastAsia" w:ascii="Times New Roman" w:hAnsi="Times New Roman" w:eastAsia="宋体" w:cs="Times New Roman"/>
                <w:color w:val="auto"/>
                <w:kern w:val="2"/>
                <w:sz w:val="24"/>
                <w:szCs w:val="24"/>
                <w:lang w:val="en-US" w:eastAsia="zh-CN" w:bidi="ar-SA"/>
              </w:rPr>
              <w:t>和生活污水。</w:t>
            </w:r>
          </w:p>
          <w:p w14:paraId="3E295122">
            <w:p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（1）洗涤废水</w:t>
            </w:r>
          </w:p>
          <w:p w14:paraId="253C0F67">
            <w:pPr>
              <w:pStyle w:val="73"/>
              <w:spacing w:line="360" w:lineRule="auto"/>
              <w:ind w:firstLine="480"/>
              <w:rPr>
                <w:rFonts w:hint="eastAsia"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根据前文水量平衡分析，项目洗涤</w:t>
            </w:r>
            <w:r>
              <w:rPr>
                <w:rFonts w:hint="eastAsia" w:ascii="Times New Roman" w:hAnsi="Times New Roman" w:eastAsia="宋体" w:cs="宋体"/>
                <w:color w:val="auto"/>
                <w:sz w:val="24"/>
                <w:szCs w:val="24"/>
                <w:lang w:val="en-US" w:eastAsia="zh-CN"/>
              </w:rPr>
              <w:t>用水量为</w:t>
            </w:r>
            <w:r>
              <w:rPr>
                <w:rFonts w:hint="eastAsia" w:ascii="Times New Roman" w:hAnsi="Times New Roman" w:cs="宋体"/>
                <w:color w:val="auto"/>
                <w:sz w:val="24"/>
                <w:szCs w:val="24"/>
                <w:lang w:val="en-US" w:eastAsia="zh-CN"/>
              </w:rPr>
              <w:t>12900t</w:t>
            </w:r>
            <w:r>
              <w:rPr>
                <w:rFonts w:hint="eastAsia" w:ascii="Times New Roman" w:hAnsi="Times New Roman" w:eastAsia="宋体" w:cs="宋体"/>
                <w:color w:val="auto"/>
                <w:sz w:val="24"/>
                <w:szCs w:val="24"/>
                <w:lang w:val="en-US" w:eastAsia="zh-CN"/>
              </w:rPr>
              <w:t>/a（43</w:t>
            </w:r>
            <w:r>
              <w:rPr>
                <w:rFonts w:hint="eastAsia" w:ascii="Times New Roman" w:hAnsi="Times New Roman" w:cs="宋体"/>
                <w:color w:val="auto"/>
                <w:sz w:val="24"/>
                <w:szCs w:val="24"/>
                <w:lang w:val="en-US" w:eastAsia="zh-CN"/>
              </w:rPr>
              <w:t>t</w:t>
            </w:r>
            <w:r>
              <w:rPr>
                <w:rFonts w:hint="eastAsia" w:ascii="Times New Roman" w:hAnsi="Times New Roman" w:eastAsia="宋体" w:cs="宋体"/>
                <w:color w:val="auto"/>
                <w:sz w:val="24"/>
                <w:szCs w:val="24"/>
                <w:lang w:val="en-US" w:eastAsia="zh-CN"/>
              </w:rPr>
              <w:t>/d），</w:t>
            </w:r>
            <w:r>
              <w:rPr>
                <w:rFonts w:hint="eastAsia" w:ascii="Times New Roman" w:hAnsi="Times New Roman" w:cs="宋体"/>
                <w:color w:val="auto"/>
                <w:sz w:val="24"/>
                <w:szCs w:val="24"/>
                <w:lang w:val="en-US" w:eastAsia="zh-CN"/>
              </w:rPr>
              <w:t>洗涤废水产生量为10320</w:t>
            </w:r>
            <w:r>
              <w:rPr>
                <w:rFonts w:hint="eastAsia" w:ascii="Times New Roman" w:hAnsi="Times New Roman" w:eastAsia="宋体" w:cs="宋体"/>
                <w:color w:val="auto"/>
                <w:sz w:val="24"/>
                <w:szCs w:val="24"/>
                <w:lang w:val="en-US" w:eastAsia="zh-CN"/>
              </w:rPr>
              <w:t>/a（</w:t>
            </w:r>
            <w:r>
              <w:rPr>
                <w:rFonts w:hint="eastAsia" w:ascii="Times New Roman" w:hAnsi="Times New Roman" w:cs="宋体"/>
                <w:color w:val="auto"/>
                <w:sz w:val="24"/>
                <w:szCs w:val="24"/>
                <w:lang w:val="en-US" w:eastAsia="zh-CN"/>
              </w:rPr>
              <w:t>34.4t</w:t>
            </w:r>
            <w:r>
              <w:rPr>
                <w:rFonts w:hint="eastAsia" w:ascii="Times New Roman" w:hAnsi="Times New Roman" w:eastAsia="宋体" w:cs="宋体"/>
                <w:color w:val="auto"/>
                <w:sz w:val="24"/>
                <w:szCs w:val="24"/>
                <w:lang w:val="en-US" w:eastAsia="zh-CN"/>
              </w:rPr>
              <w:t>/d）</w:t>
            </w:r>
            <w:r>
              <w:rPr>
                <w:rFonts w:hint="eastAsia" w:ascii="Times New Roman" w:hAnsi="Times New Roman" w:cs="宋体"/>
                <w:color w:val="auto"/>
                <w:sz w:val="24"/>
                <w:szCs w:val="24"/>
                <w:lang w:val="en-US" w:eastAsia="zh-CN"/>
              </w:rPr>
              <w:t>，</w:t>
            </w:r>
            <w:r>
              <w:rPr>
                <w:rFonts w:hint="eastAsia" w:ascii="Times New Roman" w:hAnsi="Times New Roman" w:eastAsia="Times New Roman" w:cs="宋体"/>
                <w:color w:val="auto"/>
                <w:sz w:val="24"/>
                <w:szCs w:val="24"/>
                <w:lang w:val="en-US" w:eastAsia="zh-CN"/>
              </w:rPr>
              <w:t>洗涤废水经三级沉淀处理达标后排入易天线市政污水管网，最终进入寻甸县污水处理厂统一处理。</w:t>
            </w:r>
          </w:p>
          <w:p w14:paraId="12E9BA23">
            <w:pPr>
              <w:pStyle w:val="73"/>
              <w:spacing w:line="360" w:lineRule="auto"/>
              <w:ind w:firstLine="480"/>
              <w:rPr>
                <w:rFonts w:hint="eastAsia" w:ascii="Times New Roman" w:hAnsi="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本项目不使用含磷洗涤剂，其主</w:t>
            </w:r>
            <w:r>
              <w:rPr>
                <w:rFonts w:hint="eastAsia" w:ascii="Times New Roman" w:hAnsi="Times New Roman" w:cs="宋体"/>
                <w:color w:val="auto"/>
                <w:sz w:val="24"/>
                <w:szCs w:val="24"/>
                <w:lang w:val="en-US" w:eastAsia="zh-CN"/>
              </w:rPr>
              <w:t>要污染指标为COD</w:t>
            </w:r>
            <w:r>
              <w:rPr>
                <w:rFonts w:hint="eastAsia" w:ascii="Times New Roman" w:hAnsi="Times New Roman" w:cs="宋体"/>
                <w:color w:val="auto"/>
                <w:sz w:val="24"/>
                <w:szCs w:val="24"/>
                <w:vertAlign w:val="subscript"/>
                <w:lang w:val="en-US" w:eastAsia="zh-CN"/>
              </w:rPr>
              <w:t>Cr</w:t>
            </w:r>
            <w:r>
              <w:rPr>
                <w:rFonts w:hint="eastAsia" w:ascii="Times New Roman" w:hAnsi="Times New Roman" w:cs="宋体"/>
                <w:color w:val="auto"/>
                <w:sz w:val="24"/>
                <w:szCs w:val="24"/>
                <w:lang w:val="en-US" w:eastAsia="zh-CN"/>
              </w:rPr>
              <w:t>、BOD</w:t>
            </w:r>
            <w:r>
              <w:rPr>
                <w:rFonts w:hint="eastAsia" w:ascii="Times New Roman" w:hAnsi="Times New Roman" w:cs="宋体"/>
                <w:color w:val="auto"/>
                <w:sz w:val="24"/>
                <w:szCs w:val="24"/>
                <w:vertAlign w:val="subscript"/>
                <w:lang w:val="en-US" w:eastAsia="zh-CN"/>
              </w:rPr>
              <w:t>5</w:t>
            </w:r>
            <w:r>
              <w:rPr>
                <w:rFonts w:hint="eastAsia" w:ascii="Times New Roman" w:hAnsi="Times New Roman" w:cs="宋体"/>
                <w:color w:val="auto"/>
                <w:sz w:val="24"/>
                <w:szCs w:val="24"/>
                <w:lang w:val="en-US" w:eastAsia="zh-CN"/>
              </w:rPr>
              <w:t>、SS、氨氮、TP、TN、LAS，本项目洗涤废水污染物产生</w:t>
            </w:r>
            <w:r>
              <w:rPr>
                <w:rFonts w:hint="eastAsia" w:ascii="Times New Roman" w:hAnsi="Times New Roman" w:eastAsia="宋体" w:cs="宋体"/>
                <w:color w:val="auto"/>
                <w:sz w:val="24"/>
                <w:szCs w:val="24"/>
                <w:lang w:val="en-US" w:eastAsia="zh-CN"/>
              </w:rPr>
              <w:t>浓度参考《湘阴洁洁高环保科技有限公司年洗涤布草150万套建设项目竣工环境保护验收报告》(以下简称“类比项目”)，洗涤废水主要污染物产生浓度取类比报告废水监测值平均值，各污染物产生浓度为</w:t>
            </w:r>
            <w:r>
              <w:rPr>
                <w:rFonts w:hint="eastAsia" w:ascii="Times New Roman" w:hAnsi="Times New Roman" w:cs="宋体"/>
                <w:color w:val="auto"/>
                <w:sz w:val="24"/>
                <w:szCs w:val="24"/>
                <w:lang w:val="en-US" w:eastAsia="zh-CN"/>
              </w:rPr>
              <w:t>COD</w:t>
            </w:r>
            <w:r>
              <w:rPr>
                <w:rFonts w:hint="eastAsia" w:ascii="Times New Roman" w:hAnsi="Times New Roman" w:cs="宋体"/>
                <w:color w:val="auto"/>
                <w:sz w:val="24"/>
                <w:szCs w:val="24"/>
                <w:vertAlign w:val="subscript"/>
                <w:lang w:val="en-US" w:eastAsia="zh-CN"/>
              </w:rPr>
              <w:t>Cr</w:t>
            </w:r>
            <w:r>
              <w:rPr>
                <w:rFonts w:hint="eastAsia" w:ascii="Times New Roman" w:hAnsi="Times New Roman" w:cs="宋体"/>
                <w:color w:val="auto"/>
                <w:sz w:val="24"/>
                <w:szCs w:val="24"/>
                <w:lang w:val="en-US" w:eastAsia="zh-CN"/>
              </w:rPr>
              <w:t>350mg/L、BOD</w:t>
            </w:r>
            <w:r>
              <w:rPr>
                <w:rFonts w:hint="eastAsia" w:ascii="Times New Roman" w:hAnsi="Times New Roman" w:cs="宋体"/>
                <w:color w:val="auto"/>
                <w:sz w:val="24"/>
                <w:szCs w:val="24"/>
                <w:vertAlign w:val="subscript"/>
                <w:lang w:val="en-US" w:eastAsia="zh-CN"/>
              </w:rPr>
              <w:t>5</w:t>
            </w:r>
            <w:r>
              <w:rPr>
                <w:rFonts w:hint="eastAsia" w:ascii="Times New Roman" w:hAnsi="Times New Roman" w:cs="宋体"/>
                <w:color w:val="auto"/>
                <w:sz w:val="24"/>
                <w:szCs w:val="24"/>
                <w:lang w:val="en-US" w:eastAsia="zh-CN"/>
              </w:rPr>
              <w:t>125.6mg/L、NH</w:t>
            </w:r>
            <w:r>
              <w:rPr>
                <w:rFonts w:hint="eastAsia" w:ascii="Times New Roman" w:hAnsi="Times New Roman" w:cs="宋体"/>
                <w:color w:val="auto"/>
                <w:sz w:val="24"/>
                <w:szCs w:val="24"/>
                <w:vertAlign w:val="subscript"/>
                <w:lang w:val="en-US" w:eastAsia="zh-CN"/>
              </w:rPr>
              <w:t>3</w:t>
            </w:r>
            <w:r>
              <w:rPr>
                <w:rFonts w:hint="eastAsia" w:ascii="Times New Roman" w:hAnsi="Times New Roman" w:cs="宋体"/>
                <w:color w:val="auto"/>
                <w:sz w:val="24"/>
                <w:szCs w:val="24"/>
                <w:lang w:val="en-US" w:eastAsia="zh-CN"/>
              </w:rPr>
              <w:t>–N33mg/L、SS171.3mg/L、TN71.4mg/L、TP5.5mg/L、LAS16.5mg/L。</w:t>
            </w:r>
            <w:r>
              <w:rPr>
                <w:rFonts w:hint="eastAsia" w:ascii="Times New Roman" w:hAnsi="Times New Roman" w:eastAsia="宋体" w:cs="宋体"/>
                <w:color w:val="auto"/>
                <w:sz w:val="24"/>
                <w:szCs w:val="24"/>
                <w:lang w:val="en-US" w:eastAsia="zh-CN"/>
              </w:rPr>
              <w:t>类比项目验收监测时生产工况为51.8%-55.4%（洗涤量为2128套/天-2277套/天），与本项目生产规模（2333套/天）基本一致。</w:t>
            </w:r>
          </w:p>
          <w:p w14:paraId="408D549F">
            <w:pPr>
              <w:pStyle w:val="73"/>
              <w:spacing w:line="360" w:lineRule="auto"/>
              <w:ind w:firstLine="480"/>
              <w:rPr>
                <w:rFonts w:hint="eastAsia" w:ascii="Times New Roman" w:hAnsi="Times New Roman" w:cs="宋体"/>
                <w:color w:val="auto"/>
                <w:sz w:val="24"/>
                <w:szCs w:val="24"/>
                <w:lang w:val="en-US" w:eastAsia="zh-CN"/>
              </w:rPr>
            </w:pPr>
            <w:r>
              <w:rPr>
                <w:rFonts w:hint="eastAsia" w:ascii="Times New Roman" w:hAnsi="Times New Roman" w:eastAsia="宋体" w:cs="宋体"/>
                <w:color w:val="auto"/>
                <w:sz w:val="24"/>
                <w:szCs w:val="24"/>
                <w:lang w:val="en-US" w:eastAsia="zh-CN"/>
              </w:rPr>
              <w:t>本项目与类比项目可类比性分析如下</w:t>
            </w:r>
            <w:r>
              <w:rPr>
                <w:rFonts w:hint="eastAsia" w:ascii="Times New Roman" w:hAnsi="Times New Roman" w:cs="宋体"/>
                <w:color w:val="auto"/>
                <w:sz w:val="24"/>
                <w:szCs w:val="24"/>
                <w:lang w:val="en-US" w:eastAsia="zh-CN"/>
              </w:rPr>
              <w:t>表所示:</w:t>
            </w:r>
          </w:p>
          <w:p w14:paraId="4AE485FA">
            <w:pPr>
              <w:pStyle w:val="73"/>
              <w:spacing w:line="360" w:lineRule="auto"/>
              <w:ind w:firstLine="480"/>
              <w:jc w:val="center"/>
              <w:rPr>
                <w:rFonts w:hint="eastAsia"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表 4-</w:t>
            </w:r>
            <w:r>
              <w:rPr>
                <w:rFonts w:hint="eastAsia" w:ascii="Times New Roman" w:hAnsi="Times New Roman" w:cs="宋体"/>
                <w:b/>
                <w:bCs/>
                <w:color w:val="auto"/>
                <w:kern w:val="2"/>
                <w:sz w:val="21"/>
                <w:szCs w:val="21"/>
                <w:lang w:val="en-US" w:eastAsia="zh-CN" w:bidi="ar-SA"/>
              </w:rPr>
              <w:t>9</w:t>
            </w:r>
            <w:r>
              <w:rPr>
                <w:rFonts w:hint="eastAsia" w:ascii="Times New Roman" w:hAnsi="Times New Roman" w:eastAsia="宋体" w:cs="宋体"/>
                <w:b/>
                <w:bCs/>
                <w:color w:val="auto"/>
                <w:kern w:val="2"/>
                <w:sz w:val="21"/>
                <w:szCs w:val="21"/>
                <w:lang w:val="en-US" w:eastAsia="zh-CN" w:bidi="ar-SA"/>
              </w:rPr>
              <w:t xml:space="preserve"> 本项目生产废水类比可行性情况一览表</w:t>
            </w:r>
          </w:p>
          <w:tbl>
            <w:tblPr>
              <w:tblStyle w:val="29"/>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19"/>
              <w:gridCol w:w="2612"/>
              <w:gridCol w:w="2705"/>
              <w:gridCol w:w="1039"/>
            </w:tblGrid>
            <w:tr w14:paraId="55EB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14:paraId="7CEFCC75">
                  <w:pPr>
                    <w:jc w:val="center"/>
                    <w:rPr>
                      <w:rFonts w:hint="default"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序号</w:t>
                  </w:r>
                </w:p>
              </w:tc>
              <w:tc>
                <w:tcPr>
                  <w:tcW w:w="1219" w:type="dxa"/>
                  <w:vAlign w:val="center"/>
                </w:tcPr>
                <w:p w14:paraId="0275BC26">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对比情况</w:t>
                  </w:r>
                </w:p>
              </w:tc>
              <w:tc>
                <w:tcPr>
                  <w:tcW w:w="2612" w:type="dxa"/>
                  <w:vAlign w:val="center"/>
                </w:tcPr>
                <w:p w14:paraId="3FAB125A">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类比项目</w:t>
                  </w:r>
                </w:p>
              </w:tc>
              <w:tc>
                <w:tcPr>
                  <w:tcW w:w="2705" w:type="dxa"/>
                  <w:vAlign w:val="center"/>
                </w:tcPr>
                <w:p w14:paraId="5520BCA7">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本项目</w:t>
                  </w:r>
                </w:p>
              </w:tc>
              <w:tc>
                <w:tcPr>
                  <w:tcW w:w="1039" w:type="dxa"/>
                  <w:vAlign w:val="center"/>
                </w:tcPr>
                <w:p w14:paraId="3183D337">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可行性</w:t>
                  </w:r>
                </w:p>
              </w:tc>
            </w:tr>
            <w:tr w14:paraId="7897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14:paraId="26DB5F96">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w:t>
                  </w:r>
                </w:p>
              </w:tc>
              <w:tc>
                <w:tcPr>
                  <w:tcW w:w="1219" w:type="dxa"/>
                  <w:vAlign w:val="center"/>
                </w:tcPr>
                <w:p w14:paraId="77FAE29A">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建设内容</w:t>
                  </w:r>
                </w:p>
              </w:tc>
              <w:tc>
                <w:tcPr>
                  <w:tcW w:w="2612" w:type="dxa"/>
                  <w:vAlign w:val="center"/>
                </w:tcPr>
                <w:p w14:paraId="26A62C73">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年洗涤150万套酒店布草</w:t>
                  </w:r>
                </w:p>
              </w:tc>
              <w:tc>
                <w:tcPr>
                  <w:tcW w:w="2705" w:type="dxa"/>
                  <w:vAlign w:val="center"/>
                </w:tcPr>
                <w:p w14:paraId="67EAF78B">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年洗涤量为70万套酒店布草、理发店毛巾</w:t>
                  </w:r>
                </w:p>
              </w:tc>
              <w:tc>
                <w:tcPr>
                  <w:tcW w:w="1039" w:type="dxa"/>
                  <w:vMerge w:val="restart"/>
                  <w:vAlign w:val="center"/>
                </w:tcPr>
                <w:p w14:paraId="7374998D">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可行</w:t>
                  </w:r>
                </w:p>
              </w:tc>
            </w:tr>
            <w:tr w14:paraId="4ACC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14:paraId="358EAB06">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w:t>
                  </w:r>
                </w:p>
              </w:tc>
              <w:tc>
                <w:tcPr>
                  <w:tcW w:w="1219" w:type="dxa"/>
                  <w:vAlign w:val="center"/>
                </w:tcPr>
                <w:p w14:paraId="2CC36FCF">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主要原</w:t>
                  </w:r>
                </w:p>
                <w:p w14:paraId="33322266">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辅料</w:t>
                  </w:r>
                </w:p>
              </w:tc>
              <w:tc>
                <w:tcPr>
                  <w:tcW w:w="2612" w:type="dxa"/>
                  <w:vAlign w:val="center"/>
                </w:tcPr>
                <w:p w14:paraId="20E60B13">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主洗</w:t>
                  </w:r>
                  <w:r>
                    <w:rPr>
                      <w:rFonts w:hint="eastAsia" w:ascii="Times New Roman" w:hAnsi="Times New Roman" w:eastAsia="宋体" w:cs="宋体"/>
                      <w:color w:val="auto"/>
                      <w:sz w:val="21"/>
                      <w:szCs w:val="21"/>
                    </w:rPr>
                    <w:t>液</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rPr>
                    <w:t>中和</w:t>
                  </w:r>
                  <w:r>
                    <w:rPr>
                      <w:rFonts w:hint="eastAsia" w:ascii="Times New Roman" w:hAnsi="Times New Roman" w:eastAsia="宋体" w:cs="宋体"/>
                      <w:color w:val="auto"/>
                      <w:sz w:val="21"/>
                      <w:szCs w:val="21"/>
                      <w:lang w:val="en-US" w:eastAsia="zh-CN"/>
                    </w:rPr>
                    <w:t>剂</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柔顺剂</w:t>
                  </w:r>
                </w:p>
              </w:tc>
              <w:tc>
                <w:tcPr>
                  <w:tcW w:w="2705" w:type="dxa"/>
                  <w:vAlign w:val="center"/>
                </w:tcPr>
                <w:p w14:paraId="733BDC7D">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rPr>
                    <w:t>洗衣液、中和酸</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柔顺粉</w:t>
                  </w:r>
                </w:p>
              </w:tc>
              <w:tc>
                <w:tcPr>
                  <w:tcW w:w="1039" w:type="dxa"/>
                  <w:vMerge w:val="continue"/>
                  <w:vAlign w:val="center"/>
                </w:tcPr>
                <w:p w14:paraId="5F7C6773">
                  <w:pPr>
                    <w:jc w:val="center"/>
                    <w:rPr>
                      <w:rFonts w:hint="eastAsia" w:ascii="Times New Roman" w:hAnsi="Times New Roman" w:eastAsia="宋体" w:cs="宋体"/>
                      <w:color w:val="auto"/>
                      <w:sz w:val="21"/>
                      <w:szCs w:val="21"/>
                      <w:lang w:val="en-US" w:eastAsia="zh-CN"/>
                    </w:rPr>
                  </w:pPr>
                </w:p>
              </w:tc>
            </w:tr>
            <w:tr w14:paraId="1ED1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23" w:type="dxa"/>
                  <w:vAlign w:val="center"/>
                </w:tcPr>
                <w:p w14:paraId="07B53D1A">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w:t>
                  </w:r>
                </w:p>
              </w:tc>
              <w:tc>
                <w:tcPr>
                  <w:tcW w:w="1219" w:type="dxa"/>
                  <w:vAlign w:val="center"/>
                </w:tcPr>
                <w:p w14:paraId="40E40B46">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生产工艺</w:t>
                  </w:r>
                </w:p>
              </w:tc>
              <w:tc>
                <w:tcPr>
                  <w:tcW w:w="2612" w:type="dxa"/>
                  <w:vAlign w:val="center"/>
                </w:tcPr>
                <w:p w14:paraId="63FAD162">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分拣-洗脱/洗衣龙-烘干-熨烫-折叠-包装入库</w:t>
                  </w:r>
                </w:p>
              </w:tc>
              <w:tc>
                <w:tcPr>
                  <w:tcW w:w="2705" w:type="dxa"/>
                  <w:vAlign w:val="center"/>
                </w:tcPr>
                <w:p w14:paraId="0BE511D4">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分拣-洗涤、脱水-烘干-烫平-折叠-包装入库</w:t>
                  </w:r>
                </w:p>
              </w:tc>
              <w:tc>
                <w:tcPr>
                  <w:tcW w:w="1039" w:type="dxa"/>
                  <w:vMerge w:val="continue"/>
                  <w:vAlign w:val="center"/>
                </w:tcPr>
                <w:p w14:paraId="58A9E94C">
                  <w:pPr>
                    <w:jc w:val="center"/>
                    <w:rPr>
                      <w:rFonts w:hint="eastAsia" w:ascii="Times New Roman" w:hAnsi="Times New Roman" w:eastAsia="宋体" w:cs="宋体"/>
                      <w:color w:val="auto"/>
                      <w:sz w:val="21"/>
                      <w:szCs w:val="21"/>
                      <w:lang w:val="en-US" w:eastAsia="zh-CN"/>
                    </w:rPr>
                  </w:pPr>
                </w:p>
              </w:tc>
            </w:tr>
          </w:tbl>
          <w:p w14:paraId="1C7A0BB7">
            <w:pPr>
              <w:numPr>
                <w:ilvl w:val="0"/>
                <w:numId w:val="0"/>
              </w:numPr>
              <w:adjustRightInd w:val="0"/>
              <w:snapToGrid w:val="0"/>
              <w:spacing w:line="360" w:lineRule="auto"/>
              <w:jc w:val="center"/>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表4-</w:t>
            </w:r>
            <w:r>
              <w:rPr>
                <w:rFonts w:hint="eastAsia" w:ascii="Times New Roman" w:hAnsi="Times New Roman" w:cs="宋体"/>
                <w:b/>
                <w:bCs/>
                <w:color w:val="auto"/>
                <w:kern w:val="2"/>
                <w:sz w:val="21"/>
                <w:szCs w:val="21"/>
                <w:lang w:val="en-US" w:eastAsia="zh-CN" w:bidi="ar-SA"/>
              </w:rPr>
              <w:t>10</w:t>
            </w:r>
            <w:r>
              <w:rPr>
                <w:rFonts w:hint="eastAsia" w:ascii="Times New Roman" w:hAnsi="Times New Roman" w:eastAsia="宋体" w:cs="宋体"/>
                <w:b/>
                <w:bCs/>
                <w:color w:val="auto"/>
                <w:kern w:val="2"/>
                <w:sz w:val="21"/>
                <w:szCs w:val="21"/>
                <w:lang w:val="en-US" w:eastAsia="zh-CN" w:bidi="ar-SA"/>
              </w:rPr>
              <w:t xml:space="preserve"> 项目洗涤废水污染物产排情况一览表</w:t>
            </w:r>
          </w:p>
          <w:tbl>
            <w:tblPr>
              <w:tblStyle w:val="28"/>
              <w:tblW w:w="738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28"/>
              <w:gridCol w:w="723"/>
              <w:gridCol w:w="687"/>
              <w:gridCol w:w="700"/>
              <w:gridCol w:w="750"/>
              <w:gridCol w:w="663"/>
              <w:gridCol w:w="837"/>
            </w:tblGrid>
            <w:tr w14:paraId="735C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3028" w:type="dxa"/>
                  <w:vAlign w:val="center"/>
                </w:tcPr>
                <w:p w14:paraId="7C64A8BE">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产排污环节</w:t>
                  </w:r>
                </w:p>
              </w:tc>
              <w:tc>
                <w:tcPr>
                  <w:tcW w:w="4360" w:type="dxa"/>
                  <w:gridSpan w:val="6"/>
                  <w:vAlign w:val="center"/>
                </w:tcPr>
                <w:p w14:paraId="39E3B3CA">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val="en-US" w:eastAsia="zh-CN"/>
                    </w:rPr>
                    <w:t>生产废水</w:t>
                  </w:r>
                </w:p>
              </w:tc>
            </w:tr>
            <w:tr w14:paraId="6DFF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exact"/>
              </w:trPr>
              <w:tc>
                <w:tcPr>
                  <w:tcW w:w="3028" w:type="dxa"/>
                  <w:vAlign w:val="center"/>
                </w:tcPr>
                <w:p w14:paraId="0C5DC70A">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废水总量（t/a）</w:t>
                  </w:r>
                </w:p>
              </w:tc>
              <w:tc>
                <w:tcPr>
                  <w:tcW w:w="4360" w:type="dxa"/>
                  <w:gridSpan w:val="6"/>
                  <w:vAlign w:val="center"/>
                </w:tcPr>
                <w:p w14:paraId="10899403">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10320</w:t>
                  </w:r>
                  <w:r>
                    <w:rPr>
                      <w:rFonts w:hint="eastAsia" w:ascii="Times New Roman" w:hAnsi="Times New Roman" w:eastAsia="宋体"/>
                      <w:color w:val="auto"/>
                      <w:sz w:val="21"/>
                      <w:szCs w:val="21"/>
                      <w:lang w:eastAsia="zh-CN"/>
                    </w:rPr>
                    <w:t>m</w:t>
                  </w:r>
                  <w:r>
                    <w:rPr>
                      <w:rFonts w:hint="eastAsia" w:ascii="Times New Roman" w:hAnsi="Times New Roman" w:eastAsia="宋体"/>
                      <w:color w:val="auto"/>
                      <w:sz w:val="21"/>
                      <w:szCs w:val="21"/>
                      <w:vertAlign w:val="superscript"/>
                      <w:lang w:eastAsia="zh-CN"/>
                    </w:rPr>
                    <w:t>3</w:t>
                  </w:r>
                  <w:r>
                    <w:rPr>
                      <w:rFonts w:hint="eastAsia" w:ascii="Times New Roman" w:hAnsi="Times New Roman" w:eastAsia="Times New Roman"/>
                      <w:color w:val="auto"/>
                      <w:sz w:val="21"/>
                      <w:szCs w:val="21"/>
                    </w:rPr>
                    <w:t>/a</w:t>
                  </w:r>
                </w:p>
              </w:tc>
            </w:tr>
            <w:tr w14:paraId="035C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371A4839">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污染物种类</w:t>
                  </w:r>
                </w:p>
              </w:tc>
              <w:tc>
                <w:tcPr>
                  <w:tcW w:w="723" w:type="dxa"/>
                  <w:vAlign w:val="center"/>
                </w:tcPr>
                <w:p w14:paraId="09087741">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CODcr</w:t>
                  </w:r>
                </w:p>
              </w:tc>
              <w:tc>
                <w:tcPr>
                  <w:tcW w:w="687" w:type="dxa"/>
                  <w:vAlign w:val="center"/>
                </w:tcPr>
                <w:p w14:paraId="297CA08F">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BOD</w:t>
                  </w:r>
                  <w:r>
                    <w:rPr>
                      <w:rFonts w:hint="eastAsia" w:ascii="Times New Roman" w:hAnsi="Times New Roman" w:eastAsia="Times New Roman"/>
                      <w:color w:val="auto"/>
                      <w:sz w:val="21"/>
                      <w:szCs w:val="21"/>
                      <w:vertAlign w:val="subscript"/>
                    </w:rPr>
                    <w:t>5</w:t>
                  </w:r>
                </w:p>
              </w:tc>
              <w:tc>
                <w:tcPr>
                  <w:tcW w:w="700" w:type="dxa"/>
                  <w:vAlign w:val="center"/>
                </w:tcPr>
                <w:p w14:paraId="123F56B0">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SS</w:t>
                  </w:r>
                </w:p>
              </w:tc>
              <w:tc>
                <w:tcPr>
                  <w:tcW w:w="750" w:type="dxa"/>
                  <w:shd w:val="clear" w:color="auto" w:fill="auto"/>
                  <w:vAlign w:val="center"/>
                </w:tcPr>
                <w:p w14:paraId="3501E3D8">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rPr>
                    <w:t>NH</w:t>
                  </w:r>
                  <w:r>
                    <w:rPr>
                      <w:rFonts w:hint="eastAsia" w:ascii="Times New Roman" w:hAnsi="Times New Roman" w:eastAsia="Times New Roman"/>
                      <w:color w:val="auto"/>
                      <w:sz w:val="21"/>
                      <w:szCs w:val="21"/>
                      <w:vertAlign w:val="subscript"/>
                    </w:rPr>
                    <w:t>3</w:t>
                  </w:r>
                  <w:r>
                    <w:rPr>
                      <w:rFonts w:hint="eastAsia" w:ascii="Times New Roman" w:hAnsi="Times New Roman" w:eastAsia="Times New Roman"/>
                      <w:color w:val="auto"/>
                      <w:sz w:val="21"/>
                      <w:szCs w:val="21"/>
                    </w:rPr>
                    <w:t>-N</w:t>
                  </w:r>
                </w:p>
              </w:tc>
              <w:tc>
                <w:tcPr>
                  <w:tcW w:w="663" w:type="dxa"/>
                  <w:shd w:val="clear" w:color="auto" w:fill="auto"/>
                  <w:vAlign w:val="center"/>
                </w:tcPr>
                <w:p w14:paraId="77ED47D6">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rPr>
                    <w:t>总磷</w:t>
                  </w:r>
                </w:p>
              </w:tc>
              <w:tc>
                <w:tcPr>
                  <w:tcW w:w="837" w:type="dxa"/>
                  <w:vAlign w:val="center"/>
                </w:tcPr>
                <w:p w14:paraId="37E4B5A2">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LAS</w:t>
                  </w:r>
                </w:p>
              </w:tc>
            </w:tr>
            <w:tr w14:paraId="3AA8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6A6000A9">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污染物产生量（t/a）</w:t>
                  </w:r>
                </w:p>
              </w:tc>
              <w:tc>
                <w:tcPr>
                  <w:tcW w:w="723" w:type="dxa"/>
                  <w:vAlign w:val="center"/>
                </w:tcPr>
                <w:p w14:paraId="62408049">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3.61</w:t>
                  </w:r>
                </w:p>
              </w:tc>
              <w:tc>
                <w:tcPr>
                  <w:tcW w:w="687" w:type="dxa"/>
                  <w:vAlign w:val="center"/>
                </w:tcPr>
                <w:p w14:paraId="69FF1D5C">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1.30</w:t>
                  </w:r>
                </w:p>
              </w:tc>
              <w:tc>
                <w:tcPr>
                  <w:tcW w:w="700" w:type="dxa"/>
                  <w:vAlign w:val="center"/>
                </w:tcPr>
                <w:p w14:paraId="7E988D4B">
                  <w:pPr>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1.77</w:t>
                  </w:r>
                </w:p>
              </w:tc>
              <w:tc>
                <w:tcPr>
                  <w:tcW w:w="750" w:type="dxa"/>
                  <w:vAlign w:val="center"/>
                </w:tcPr>
                <w:p w14:paraId="09535BEF">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0.34</w:t>
                  </w:r>
                </w:p>
              </w:tc>
              <w:tc>
                <w:tcPr>
                  <w:tcW w:w="663" w:type="dxa"/>
                  <w:vAlign w:val="center"/>
                </w:tcPr>
                <w:p w14:paraId="59FBE35F">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0.057</w:t>
                  </w:r>
                </w:p>
              </w:tc>
              <w:tc>
                <w:tcPr>
                  <w:tcW w:w="837" w:type="dxa"/>
                  <w:vAlign w:val="center"/>
                </w:tcPr>
                <w:p w14:paraId="5DD9569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0.17</w:t>
                  </w:r>
                </w:p>
              </w:tc>
            </w:tr>
            <w:tr w14:paraId="73F9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0E90664E">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污染物产生浓度（mg/L）</w:t>
                  </w:r>
                </w:p>
              </w:tc>
              <w:tc>
                <w:tcPr>
                  <w:tcW w:w="723" w:type="dxa"/>
                  <w:shd w:val="clear" w:color="auto" w:fill="auto"/>
                  <w:vAlign w:val="center"/>
                </w:tcPr>
                <w:p w14:paraId="7B75ECC7">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350</w:t>
                  </w:r>
                </w:p>
              </w:tc>
              <w:tc>
                <w:tcPr>
                  <w:tcW w:w="687" w:type="dxa"/>
                  <w:shd w:val="clear" w:color="auto" w:fill="auto"/>
                  <w:vAlign w:val="center"/>
                </w:tcPr>
                <w:p w14:paraId="1E2D8D8C">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125.6</w:t>
                  </w:r>
                </w:p>
              </w:tc>
              <w:tc>
                <w:tcPr>
                  <w:tcW w:w="700" w:type="dxa"/>
                  <w:shd w:val="clear" w:color="auto" w:fill="auto"/>
                  <w:vAlign w:val="center"/>
                </w:tcPr>
                <w:p w14:paraId="4009E15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17</w:t>
                  </w:r>
                  <w:r>
                    <w:rPr>
                      <w:rFonts w:hint="eastAsia" w:ascii="Times New Roman" w:hAnsi="Times New Roman"/>
                      <w:color w:val="auto"/>
                      <w:sz w:val="21"/>
                      <w:szCs w:val="21"/>
                      <w:lang w:val="en-US" w:eastAsia="zh-CN"/>
                    </w:rPr>
                    <w:t>1.3</w:t>
                  </w:r>
                </w:p>
              </w:tc>
              <w:tc>
                <w:tcPr>
                  <w:tcW w:w="750" w:type="dxa"/>
                  <w:shd w:val="clear" w:color="auto" w:fill="auto"/>
                  <w:vAlign w:val="center"/>
                </w:tcPr>
                <w:p w14:paraId="3A404122">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33</w:t>
                  </w:r>
                </w:p>
              </w:tc>
              <w:tc>
                <w:tcPr>
                  <w:tcW w:w="663" w:type="dxa"/>
                  <w:shd w:val="clear" w:color="auto" w:fill="auto"/>
                  <w:vAlign w:val="center"/>
                </w:tcPr>
                <w:p w14:paraId="5CD0DBBB">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5.5</w:t>
                  </w:r>
                </w:p>
              </w:tc>
              <w:tc>
                <w:tcPr>
                  <w:tcW w:w="837" w:type="dxa"/>
                  <w:shd w:val="clear" w:color="auto" w:fill="auto"/>
                  <w:vAlign w:val="center"/>
                </w:tcPr>
                <w:p w14:paraId="75F15265">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16.5</w:t>
                  </w:r>
                </w:p>
              </w:tc>
            </w:tr>
            <w:tr w14:paraId="7A81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4B4DE421">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标准值</w:t>
                  </w:r>
                  <w:r>
                    <w:rPr>
                      <w:rFonts w:hint="eastAsia" w:ascii="Times New Roman" w:hAnsi="Times New Roman" w:eastAsia="Times New Roman"/>
                      <w:b/>
                      <w:bCs/>
                      <w:color w:val="auto"/>
                      <w:sz w:val="21"/>
                      <w:szCs w:val="21"/>
                    </w:rPr>
                    <w:t>（mg/L）</w:t>
                  </w:r>
                </w:p>
              </w:tc>
              <w:tc>
                <w:tcPr>
                  <w:tcW w:w="723" w:type="dxa"/>
                  <w:shd w:val="clear" w:color="auto" w:fill="auto"/>
                  <w:vAlign w:val="center"/>
                </w:tcPr>
                <w:p w14:paraId="0BA74169">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500</w:t>
                  </w:r>
                </w:p>
              </w:tc>
              <w:tc>
                <w:tcPr>
                  <w:tcW w:w="687" w:type="dxa"/>
                  <w:shd w:val="clear" w:color="auto" w:fill="auto"/>
                  <w:vAlign w:val="center"/>
                </w:tcPr>
                <w:p w14:paraId="6E6C4A2A">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350</w:t>
                  </w:r>
                </w:p>
              </w:tc>
              <w:tc>
                <w:tcPr>
                  <w:tcW w:w="700" w:type="dxa"/>
                  <w:shd w:val="clear" w:color="auto" w:fill="auto"/>
                  <w:vAlign w:val="center"/>
                </w:tcPr>
                <w:p w14:paraId="0D2301F9">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400</w:t>
                  </w:r>
                </w:p>
              </w:tc>
              <w:tc>
                <w:tcPr>
                  <w:tcW w:w="750" w:type="dxa"/>
                  <w:shd w:val="clear" w:color="auto" w:fill="auto"/>
                  <w:vAlign w:val="center"/>
                </w:tcPr>
                <w:p w14:paraId="72B6B091">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45</w:t>
                  </w:r>
                </w:p>
              </w:tc>
              <w:tc>
                <w:tcPr>
                  <w:tcW w:w="663" w:type="dxa"/>
                  <w:shd w:val="clear" w:color="auto" w:fill="auto"/>
                  <w:vAlign w:val="center"/>
                </w:tcPr>
                <w:p w14:paraId="20CB8BFF">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8</w:t>
                  </w:r>
                </w:p>
              </w:tc>
              <w:tc>
                <w:tcPr>
                  <w:tcW w:w="837" w:type="dxa"/>
                  <w:shd w:val="clear" w:color="auto" w:fill="auto"/>
                  <w:vAlign w:val="center"/>
                </w:tcPr>
                <w:p w14:paraId="5BEBFEDA">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20</w:t>
                  </w:r>
                </w:p>
              </w:tc>
            </w:tr>
            <w:tr w14:paraId="23AC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2A9C1764">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达标情况</w:t>
                  </w:r>
                </w:p>
              </w:tc>
              <w:tc>
                <w:tcPr>
                  <w:tcW w:w="723" w:type="dxa"/>
                  <w:vAlign w:val="top"/>
                </w:tcPr>
                <w:p w14:paraId="4C7E9DC5">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87" w:type="dxa"/>
                  <w:vAlign w:val="top"/>
                </w:tcPr>
                <w:p w14:paraId="75DAF05A">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700" w:type="dxa"/>
                  <w:vAlign w:val="top"/>
                </w:tcPr>
                <w:p w14:paraId="75A9502C">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750" w:type="dxa"/>
                  <w:vAlign w:val="top"/>
                </w:tcPr>
                <w:p w14:paraId="09CDB029">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63" w:type="dxa"/>
                  <w:vAlign w:val="top"/>
                </w:tcPr>
                <w:p w14:paraId="490F96EC">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c>
                <w:tcPr>
                  <w:tcW w:w="837" w:type="dxa"/>
                  <w:vAlign w:val="top"/>
                </w:tcPr>
                <w:p w14:paraId="53F0C4C9">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r>
            <w:tr w14:paraId="25E2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182ADC30">
                  <w:pPr>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执行标准</w:t>
                  </w:r>
                </w:p>
              </w:tc>
              <w:tc>
                <w:tcPr>
                  <w:tcW w:w="4360" w:type="dxa"/>
                  <w:gridSpan w:val="6"/>
                  <w:vAlign w:val="top"/>
                </w:tcPr>
                <w:p w14:paraId="5A771DBE">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《污水排入城镇下水道水质标准》</w:t>
                  </w:r>
                </w:p>
                <w:p w14:paraId="7FC6F753">
                  <w:pPr>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（GB/T31962-2015）</w:t>
                  </w:r>
                  <w:r>
                    <w:rPr>
                      <w:rFonts w:hint="eastAsia" w:ascii="Times New Roman" w:hAnsi="Times New Roman" w:eastAsia="宋体"/>
                      <w:color w:val="auto"/>
                      <w:sz w:val="21"/>
                      <w:szCs w:val="21"/>
                      <w:lang w:val="en-US" w:eastAsia="zh-CN"/>
                    </w:rPr>
                    <w:t>表1</w:t>
                  </w:r>
                  <w:r>
                    <w:rPr>
                      <w:rFonts w:hint="eastAsia" w:ascii="Times New Roman" w:hAnsi="Times New Roman" w:eastAsia="Times New Roman"/>
                      <w:color w:val="auto"/>
                      <w:sz w:val="21"/>
                      <w:szCs w:val="21"/>
                    </w:rPr>
                    <w:t>A等级标准</w:t>
                  </w:r>
                </w:p>
              </w:tc>
            </w:tr>
            <w:tr w14:paraId="15C4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4512BC3F">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处置措施</w:t>
                  </w:r>
                </w:p>
              </w:tc>
              <w:tc>
                <w:tcPr>
                  <w:tcW w:w="4360" w:type="dxa"/>
                  <w:gridSpan w:val="6"/>
                  <w:vAlign w:val="top"/>
                </w:tcPr>
                <w:p w14:paraId="490DEE0B">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经三级沉淀处理达标后排入易天线市政污水管网，最终进入寻甸县污水处理厂统一处理</w:t>
                  </w:r>
                </w:p>
              </w:tc>
            </w:tr>
            <w:tr w14:paraId="1530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00914B39">
                  <w:pPr>
                    <w:pStyle w:val="98"/>
                    <w:spacing w:before="58" w:line="219" w:lineRule="auto"/>
                    <w:ind w:left="98"/>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排放口名称及编号</w:t>
                  </w:r>
                </w:p>
              </w:tc>
              <w:tc>
                <w:tcPr>
                  <w:tcW w:w="4360" w:type="dxa"/>
                  <w:gridSpan w:val="6"/>
                  <w:vAlign w:val="center"/>
                </w:tcPr>
                <w:p w14:paraId="3AF42746">
                  <w:pPr>
                    <w:pStyle w:val="98"/>
                    <w:spacing w:before="59" w:line="220" w:lineRule="auto"/>
                    <w:ind w:left="103"/>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综合废水总排口DW001</w:t>
                  </w:r>
                </w:p>
              </w:tc>
            </w:tr>
          </w:tbl>
          <w:p w14:paraId="5E875EF9">
            <w:pPr>
              <w:numPr>
                <w:ilvl w:val="0"/>
                <w:numId w:val="8"/>
              </w:numPr>
              <w:adjustRightInd w:val="0"/>
              <w:snapToGrid w:val="0"/>
              <w:spacing w:line="360" w:lineRule="auto"/>
              <w:ind w:left="150" w:leftChars="0" w:firstLine="480" w:firstLineChars="0"/>
              <w:rPr>
                <w:rFonts w:hint="eastAsia" w:ascii="Times New Roman" w:hAnsi="Times New Roman" w:eastAsia="Times New Roman" w:cs="宋体"/>
                <w:color w:val="auto"/>
                <w:kern w:val="2"/>
                <w:sz w:val="24"/>
                <w:szCs w:val="24"/>
                <w:lang w:val="en-US" w:eastAsia="zh-CN" w:bidi="ar-SA"/>
              </w:rPr>
            </w:pP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eastAsia="Times New Roman" w:cs="宋体"/>
                <w:color w:val="auto"/>
                <w:kern w:val="2"/>
                <w:sz w:val="24"/>
                <w:szCs w:val="24"/>
                <w:lang w:val="en-US" w:eastAsia="zh-CN" w:bidi="ar-SA"/>
              </w:rPr>
              <w:t>、锅炉排污水</w:t>
            </w:r>
          </w:p>
          <w:p w14:paraId="1FAC05FB">
            <w:pPr>
              <w:numPr>
                <w:ilvl w:val="0"/>
                <w:numId w:val="0"/>
              </w:num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eastAsia" w:ascii="Times New Roman" w:hAnsi="Times New Roman" w:eastAsia="Times New Roman" w:cs="宋体"/>
                <w:color w:val="auto"/>
                <w:sz w:val="24"/>
                <w:szCs w:val="24"/>
                <w:lang w:val="en-US" w:eastAsia="zh-CN"/>
              </w:rPr>
              <w:t>根据前文水量平衡分析，</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eastAsia="Times New Roman" w:cs="宋体"/>
                <w:color w:val="auto"/>
                <w:kern w:val="2"/>
                <w:sz w:val="24"/>
                <w:szCs w:val="24"/>
                <w:lang w:val="en-US" w:eastAsia="zh-CN" w:bidi="ar-SA"/>
              </w:rPr>
              <w:t>锅炉排污水、</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eastAsia="Times New Roman" w:cs="宋体"/>
                <w:color w:val="auto"/>
                <w:kern w:val="2"/>
                <w:sz w:val="24"/>
                <w:szCs w:val="24"/>
                <w:lang w:val="en-US" w:eastAsia="zh-CN" w:bidi="ar-SA"/>
              </w:rPr>
              <w:t>为清净下水，废水主要污染物为含盐类物质（Ca</w:t>
            </w:r>
            <w:r>
              <w:rPr>
                <w:rFonts w:hint="eastAsia" w:ascii="Times New Roman" w:hAnsi="Times New Roman" w:eastAsia="Times New Roman" w:cs="宋体"/>
                <w:color w:val="auto"/>
                <w:kern w:val="2"/>
                <w:sz w:val="24"/>
                <w:szCs w:val="24"/>
                <w:vertAlign w:val="superscript"/>
                <w:lang w:val="en-US" w:eastAsia="zh-CN" w:bidi="ar-SA"/>
              </w:rPr>
              <w:t>2+</w:t>
            </w:r>
            <w:r>
              <w:rPr>
                <w:rFonts w:hint="eastAsia" w:ascii="Times New Roman" w:hAnsi="Times New Roman" w:eastAsia="Times New Roman" w:cs="宋体"/>
                <w:color w:val="auto"/>
                <w:kern w:val="2"/>
                <w:sz w:val="24"/>
                <w:szCs w:val="24"/>
                <w:lang w:val="en-US" w:eastAsia="zh-CN" w:bidi="ar-SA"/>
              </w:rPr>
              <w:t xml:space="preserve"> 、Mg</w:t>
            </w:r>
            <w:r>
              <w:rPr>
                <w:rFonts w:hint="eastAsia" w:ascii="Times New Roman" w:hAnsi="Times New Roman" w:eastAsia="Times New Roman" w:cs="宋体"/>
                <w:color w:val="auto"/>
                <w:kern w:val="2"/>
                <w:sz w:val="24"/>
                <w:szCs w:val="24"/>
                <w:vertAlign w:val="superscript"/>
                <w:lang w:val="en-US" w:eastAsia="zh-CN" w:bidi="ar-SA"/>
              </w:rPr>
              <w:t>2+</w:t>
            </w:r>
            <w:r>
              <w:rPr>
                <w:rFonts w:hint="eastAsia" w:ascii="Times New Roman" w:hAnsi="Times New Roman" w:eastAsia="Times New Roman" w:cs="宋体"/>
                <w:color w:val="auto"/>
                <w:kern w:val="2"/>
                <w:sz w:val="24"/>
                <w:szCs w:val="24"/>
                <w:lang w:val="en-US" w:eastAsia="zh-CN" w:bidi="ar-SA"/>
              </w:rPr>
              <w:t xml:space="preserve"> ），锅炉排污水、</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eastAsia="Times New Roman" w:cs="宋体"/>
                <w:color w:val="auto"/>
                <w:kern w:val="2"/>
                <w:sz w:val="24"/>
                <w:szCs w:val="24"/>
                <w:lang w:val="en-US" w:eastAsia="zh-CN" w:bidi="ar-SA"/>
              </w:rPr>
              <w:t>汇同洗涤废水经三级沉淀处理达标后排入易天线市政污水管网，最终进入寻甸县污水处理厂统一处理。</w:t>
            </w:r>
          </w:p>
          <w:p w14:paraId="72E88C0C">
            <w:pPr>
              <w:adjustRightInd w:val="0"/>
              <w:snapToGrid w:val="0"/>
              <w:spacing w:line="360" w:lineRule="auto"/>
              <w:ind w:firstLine="480" w:firstLineChars="200"/>
              <w:rPr>
                <w:rFonts w:hint="eastAsia"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（3）生活用水</w:t>
            </w:r>
          </w:p>
          <w:p w14:paraId="18B33278">
            <w:pPr>
              <w:adjustRightInd w:val="0"/>
              <w:snapToGrid w:val="0"/>
              <w:spacing w:line="360" w:lineRule="auto"/>
              <w:ind w:firstLine="480" w:firstLineChars="200"/>
              <w:rPr>
                <w:rFonts w:hint="eastAsia" w:ascii="Times New Roman" w:hAnsi="Times New Roman" w:eastAsia="宋体" w:cs="宋体"/>
                <w:color w:val="auto"/>
                <w:spacing w:val="-1"/>
                <w:sz w:val="24"/>
                <w:szCs w:val="24"/>
                <w:lang w:val="en-US" w:eastAsia="zh-CN"/>
              </w:rPr>
            </w:pPr>
            <w:r>
              <w:rPr>
                <w:rFonts w:hint="eastAsia" w:ascii="Times New Roman" w:hAnsi="Times New Roman" w:eastAsia="Times New Roman" w:cs="宋体"/>
                <w:color w:val="auto"/>
                <w:sz w:val="24"/>
                <w:szCs w:val="24"/>
                <w:lang w:val="en-US" w:eastAsia="zh-CN"/>
              </w:rPr>
              <w:t>根据前文水量平衡分析，</w:t>
            </w:r>
            <w:r>
              <w:rPr>
                <w:rFonts w:ascii="Times New Roman" w:hAnsi="Times New Roman"/>
                <w:color w:val="auto"/>
                <w:spacing w:val="3"/>
                <w:sz w:val="24"/>
                <w:szCs w:val="24"/>
              </w:rPr>
              <w:t>项目</w:t>
            </w:r>
            <w:r>
              <w:rPr>
                <w:rFonts w:hint="eastAsia" w:ascii="Times New Roman" w:hAnsi="Times New Roman" w:eastAsia="宋体" w:cs="宋体"/>
                <w:color w:val="auto"/>
                <w:spacing w:val="-1"/>
                <w:sz w:val="24"/>
                <w:szCs w:val="24"/>
              </w:rPr>
              <w:t>生活污水</w:t>
            </w:r>
            <w:r>
              <w:rPr>
                <w:rFonts w:hint="eastAsia" w:ascii="Times New Roman" w:hAnsi="Times New Roman" w:cs="宋体"/>
                <w:color w:val="auto"/>
                <w:spacing w:val="-1"/>
                <w:sz w:val="24"/>
                <w:szCs w:val="24"/>
                <w:lang w:val="en-US" w:eastAsia="zh-CN"/>
              </w:rPr>
              <w:t>产生</w:t>
            </w:r>
            <w:r>
              <w:rPr>
                <w:rFonts w:hint="eastAsia" w:ascii="Times New Roman" w:hAnsi="Times New Roman" w:eastAsia="宋体" w:cs="宋体"/>
                <w:color w:val="auto"/>
                <w:spacing w:val="-1"/>
                <w:sz w:val="24"/>
                <w:szCs w:val="24"/>
              </w:rPr>
              <w:t>量为</w:t>
            </w:r>
            <w:r>
              <w:rPr>
                <w:rFonts w:hint="eastAsia" w:ascii="Times New Roman" w:hAnsi="Times New Roman" w:cs="宋体"/>
                <w:color w:val="auto"/>
                <w:spacing w:val="-1"/>
                <w:sz w:val="24"/>
                <w:szCs w:val="24"/>
                <w:lang w:val="en-US" w:eastAsia="zh-CN"/>
              </w:rPr>
              <w:t>0.144</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/d，</w:t>
            </w:r>
            <w:r>
              <w:rPr>
                <w:rFonts w:hint="eastAsia" w:ascii="Times New Roman" w:hAnsi="Times New Roman" w:cs="宋体"/>
                <w:color w:val="auto"/>
                <w:spacing w:val="-1"/>
                <w:sz w:val="24"/>
                <w:szCs w:val="24"/>
                <w:lang w:val="en-US" w:eastAsia="zh-CN"/>
              </w:rPr>
              <w:t>43.2</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/a</w:t>
            </w:r>
            <w:r>
              <w:rPr>
                <w:rFonts w:ascii="Times New Roman" w:hAnsi="Times New Roman"/>
                <w:color w:val="auto"/>
                <w:spacing w:val="-1"/>
                <w:sz w:val="24"/>
                <w:szCs w:val="24"/>
              </w:rPr>
              <w:t>。</w:t>
            </w:r>
            <w:r>
              <w:rPr>
                <w:rFonts w:ascii="Times New Roman" w:hAnsi="Times New Roman" w:eastAsia="宋体"/>
                <w:color w:val="auto"/>
                <w:sz w:val="24"/>
                <w:szCs w:val="24"/>
              </w:rPr>
              <w:t>项目产生的</w:t>
            </w:r>
            <w:r>
              <w:rPr>
                <w:rFonts w:hint="eastAsia" w:ascii="Times New Roman" w:hAnsi="Times New Roman" w:eastAsia="宋体"/>
                <w:color w:val="auto"/>
                <w:sz w:val="24"/>
                <w:szCs w:val="24"/>
              </w:rPr>
              <w:t>生活污</w:t>
            </w:r>
            <w:r>
              <w:rPr>
                <w:rFonts w:hint="eastAsia" w:ascii="Times New Roman" w:hAnsi="Times New Roman" w:eastAsia="宋体" w:cs="宋体"/>
                <w:color w:val="auto"/>
                <w:spacing w:val="-1"/>
                <w:sz w:val="24"/>
                <w:szCs w:val="24"/>
              </w:rPr>
              <w:t>水经化粪池处理</w:t>
            </w:r>
            <w:r>
              <w:rPr>
                <w:rFonts w:hint="eastAsia" w:ascii="Times New Roman" w:hAnsi="Times New Roman" w:eastAsia="宋体" w:cs="宋体"/>
                <w:color w:val="auto"/>
                <w:spacing w:val="-1"/>
                <w:sz w:val="24"/>
                <w:szCs w:val="24"/>
                <w:lang w:val="en-US" w:eastAsia="zh-CN"/>
              </w:rPr>
              <w:t>后满足</w:t>
            </w:r>
            <w:r>
              <w:rPr>
                <w:rFonts w:hint="eastAsia" w:ascii="Times New Roman" w:hAnsi="Times New Roman" w:eastAsia="宋体" w:cs="宋体"/>
                <w:color w:val="auto"/>
                <w:spacing w:val="-1"/>
                <w:sz w:val="24"/>
                <w:szCs w:val="24"/>
              </w:rPr>
              <w:t>《污水排入城镇下水道水质标准》（GB/T31962-2015）A等级标准外排</w:t>
            </w:r>
            <w:r>
              <w:rPr>
                <w:rFonts w:hint="eastAsia" w:ascii="Times New Roman" w:hAnsi="Times New Roman" w:eastAsia="宋体" w:cs="宋体"/>
                <w:color w:val="auto"/>
                <w:spacing w:val="-1"/>
                <w:sz w:val="24"/>
                <w:szCs w:val="24"/>
                <w:lang w:val="en-US" w:eastAsia="zh-CN"/>
              </w:rPr>
              <w:t>易天线市政污水管网，最终进入寻甸县污水处理厂统一处理。</w:t>
            </w:r>
          </w:p>
          <w:p w14:paraId="216AC21E">
            <w:pPr>
              <w:adjustRightInd w:val="0"/>
              <w:snapToGrid w:val="0"/>
              <w:spacing w:line="360" w:lineRule="auto"/>
              <w:ind w:firstLine="476" w:firstLineChars="200"/>
              <w:rPr>
                <w:rFonts w:hint="eastAsia" w:ascii="Times New Roman" w:hAnsi="Times New Roman" w:eastAsia="Times New Roman" w:cs="Times New Roman"/>
                <w:color w:val="auto"/>
                <w:sz w:val="24"/>
                <w:szCs w:val="24"/>
                <w:lang w:val="en-US" w:eastAsia="zh-CN" w:bidi="ar"/>
              </w:rPr>
            </w:pPr>
            <w:r>
              <w:rPr>
                <w:rFonts w:hint="default" w:ascii="Times New Roman" w:hAnsi="Times New Roman" w:eastAsia="宋体" w:cs="宋体"/>
                <w:color w:val="auto"/>
                <w:spacing w:val="-1"/>
                <w:sz w:val="24"/>
                <w:szCs w:val="24"/>
              </w:rPr>
              <w:t>参考《城市污水回用技术手册》（</w:t>
            </w:r>
            <w:r>
              <w:rPr>
                <w:rFonts w:hint="default" w:ascii="Times New Roman" w:hAnsi="Times New Roman" w:eastAsia="Times New Roman" w:cs="Times New Roman"/>
                <w:color w:val="auto"/>
                <w:sz w:val="24"/>
                <w:szCs w:val="24"/>
                <w:lang w:bidi="ar"/>
              </w:rPr>
              <w:t>化学工业出版社，2004年，82页）中推荐的生活污水浓度范围：CODCr：250~400mg/L、BOD</w:t>
            </w:r>
            <w:r>
              <w:rPr>
                <w:rFonts w:hint="default" w:ascii="Times New Roman" w:hAnsi="Times New Roman" w:eastAsia="Times New Roman" w:cs="Times New Roman"/>
                <w:color w:val="auto"/>
                <w:sz w:val="24"/>
                <w:szCs w:val="24"/>
                <w:vertAlign w:val="subscript"/>
                <w:lang w:bidi="ar"/>
              </w:rPr>
              <w:t>5</w:t>
            </w:r>
            <w:r>
              <w:rPr>
                <w:rFonts w:hint="default" w:ascii="Times New Roman" w:hAnsi="Times New Roman" w:eastAsia="Times New Roman" w:cs="Times New Roman"/>
                <w:color w:val="auto"/>
                <w:sz w:val="24"/>
                <w:szCs w:val="24"/>
                <w:lang w:bidi="ar"/>
              </w:rPr>
              <w:t>：100~200mg/L、氨氮：15~25mg/L、总磷：4~8mg/L</w:t>
            </w:r>
            <w:r>
              <w:rPr>
                <w:rFonts w:hint="default" w:ascii="Times New Roman" w:hAnsi="Times New Roman" w:eastAsia="Times New Roman" w:cs="Times New Roman"/>
                <w:color w:val="auto"/>
                <w:sz w:val="24"/>
                <w:szCs w:val="24"/>
              </w:rPr>
              <w:t>，</w:t>
            </w:r>
            <w:r>
              <w:rPr>
                <w:rFonts w:hint="eastAsia" w:ascii="Times New Roman" w:hAnsi="Times New Roman" w:eastAsia="Times New Roman" w:cs="Times New Roman"/>
                <w:color w:val="auto"/>
                <w:sz w:val="24"/>
                <w:szCs w:val="24"/>
                <w:lang w:val="en-US" w:eastAsia="zh-CN"/>
              </w:rPr>
              <w:t>本项目</w:t>
            </w:r>
            <w:r>
              <w:rPr>
                <w:rFonts w:hint="default" w:ascii="Times New Roman" w:hAnsi="Times New Roman" w:eastAsia="Times New Roman" w:cs="Times New Roman"/>
                <w:color w:val="auto"/>
                <w:sz w:val="24"/>
                <w:szCs w:val="24"/>
                <w:lang w:bidi="ar"/>
              </w:rPr>
              <w:t>生活污水浓度</w:t>
            </w:r>
            <w:r>
              <w:rPr>
                <w:rFonts w:hint="eastAsia" w:ascii="Times New Roman" w:hAnsi="Times New Roman" w:eastAsia="Times New Roman" w:cs="Times New Roman"/>
                <w:color w:val="auto"/>
                <w:sz w:val="24"/>
                <w:szCs w:val="24"/>
                <w:lang w:val="en-US" w:eastAsia="zh-CN"/>
              </w:rPr>
              <w:t>取值</w:t>
            </w:r>
            <w:r>
              <w:rPr>
                <w:rFonts w:hint="default" w:ascii="Times New Roman" w:hAnsi="Times New Roman" w:eastAsia="Times New Roman" w:cs="Times New Roman"/>
                <w:color w:val="auto"/>
                <w:sz w:val="24"/>
                <w:szCs w:val="24"/>
                <w:lang w:bidi="ar"/>
              </w:rPr>
              <w:t>CODCr：</w:t>
            </w:r>
            <w:r>
              <w:rPr>
                <w:rFonts w:hint="eastAsia" w:ascii="Times New Roman" w:hAnsi="Times New Roman" w:eastAsia="Times New Roman" w:cs="Times New Roman"/>
                <w:color w:val="auto"/>
                <w:sz w:val="24"/>
                <w:szCs w:val="24"/>
                <w:lang w:val="en-US" w:eastAsia="zh-CN" w:bidi="ar"/>
              </w:rPr>
              <w:t>350</w:t>
            </w:r>
            <w:r>
              <w:rPr>
                <w:rFonts w:hint="default" w:ascii="Times New Roman" w:hAnsi="Times New Roman" w:eastAsia="Times New Roman" w:cs="Times New Roman"/>
                <w:color w:val="auto"/>
                <w:sz w:val="24"/>
                <w:szCs w:val="24"/>
                <w:lang w:bidi="ar"/>
              </w:rPr>
              <w:t>mg/L、BOD</w:t>
            </w:r>
            <w:r>
              <w:rPr>
                <w:rFonts w:hint="default" w:ascii="Times New Roman" w:hAnsi="Times New Roman" w:eastAsia="Times New Roman" w:cs="Times New Roman"/>
                <w:color w:val="auto"/>
                <w:sz w:val="24"/>
                <w:szCs w:val="24"/>
                <w:vertAlign w:val="subscript"/>
                <w:lang w:bidi="ar"/>
              </w:rPr>
              <w:t>5</w:t>
            </w:r>
            <w:r>
              <w:rPr>
                <w:rFonts w:hint="default" w:ascii="Times New Roman" w:hAnsi="Times New Roman" w:eastAsia="Times New Roman" w:cs="Times New Roman"/>
                <w:color w:val="auto"/>
                <w:sz w:val="24"/>
                <w:szCs w:val="24"/>
                <w:lang w:bidi="ar"/>
              </w:rPr>
              <w:t>：</w:t>
            </w:r>
            <w:r>
              <w:rPr>
                <w:rFonts w:hint="eastAsia" w:ascii="Times New Roman" w:hAnsi="Times New Roman" w:eastAsia="Times New Roman" w:cs="Times New Roman"/>
                <w:color w:val="auto"/>
                <w:sz w:val="24"/>
                <w:szCs w:val="24"/>
                <w:lang w:val="en-US" w:eastAsia="zh-CN" w:bidi="ar"/>
              </w:rPr>
              <w:t>150</w:t>
            </w:r>
            <w:r>
              <w:rPr>
                <w:rFonts w:hint="default" w:ascii="Times New Roman" w:hAnsi="Times New Roman" w:eastAsia="Times New Roman" w:cs="Times New Roman"/>
                <w:color w:val="auto"/>
                <w:sz w:val="24"/>
                <w:szCs w:val="24"/>
                <w:lang w:bidi="ar"/>
              </w:rPr>
              <w:t>mg/L、氨氮：</w:t>
            </w:r>
            <w:r>
              <w:rPr>
                <w:rFonts w:hint="eastAsia" w:ascii="Times New Roman" w:hAnsi="Times New Roman" w:eastAsia="Times New Roman" w:cs="Times New Roman"/>
                <w:color w:val="auto"/>
                <w:sz w:val="24"/>
                <w:szCs w:val="24"/>
                <w:lang w:val="en-US" w:eastAsia="zh-CN" w:bidi="ar"/>
              </w:rPr>
              <w:t>20</w:t>
            </w:r>
            <w:r>
              <w:rPr>
                <w:rFonts w:hint="default" w:ascii="Times New Roman" w:hAnsi="Times New Roman" w:eastAsia="Times New Roman" w:cs="Times New Roman"/>
                <w:color w:val="auto"/>
                <w:sz w:val="24"/>
                <w:szCs w:val="24"/>
                <w:lang w:bidi="ar"/>
              </w:rPr>
              <w:t>mg/L、总磷：</w:t>
            </w:r>
            <w:r>
              <w:rPr>
                <w:rFonts w:hint="eastAsia" w:ascii="Times New Roman" w:hAnsi="Times New Roman" w:eastAsia="Times New Roman" w:cs="Times New Roman"/>
                <w:color w:val="auto"/>
                <w:sz w:val="24"/>
                <w:szCs w:val="24"/>
                <w:lang w:val="en-US" w:eastAsia="zh-CN" w:bidi="ar"/>
              </w:rPr>
              <w:t>5</w:t>
            </w:r>
            <w:r>
              <w:rPr>
                <w:rFonts w:hint="default" w:ascii="Times New Roman" w:hAnsi="Times New Roman" w:eastAsia="Times New Roman" w:cs="Times New Roman"/>
                <w:color w:val="auto"/>
                <w:sz w:val="24"/>
                <w:szCs w:val="24"/>
                <w:lang w:bidi="ar"/>
              </w:rPr>
              <w:t>mg/L</w:t>
            </w:r>
            <w:r>
              <w:rPr>
                <w:rFonts w:hint="eastAsia" w:ascii="Times New Roman" w:hAnsi="Times New Roman" w:eastAsia="Times New Roman" w:cs="Times New Roman"/>
                <w:color w:val="auto"/>
                <w:sz w:val="24"/>
                <w:szCs w:val="24"/>
                <w:lang w:eastAsia="zh-CN" w:bidi="ar"/>
              </w:rPr>
              <w:t>。</w:t>
            </w:r>
            <w:r>
              <w:rPr>
                <w:rFonts w:hint="eastAsia" w:ascii="Times New Roman" w:hAnsi="Times New Roman" w:eastAsia="Times New Roman" w:cs="Times New Roman"/>
                <w:color w:val="auto"/>
                <w:sz w:val="24"/>
                <w:szCs w:val="24"/>
                <w:lang w:val="en-US" w:eastAsia="zh-CN" w:bidi="ar"/>
              </w:rPr>
              <w:t>参考《给水排水设计手册》“典型的生活污水水质”生活污水化粪池污染物去除率一般为COD</w:t>
            </w:r>
            <w:r>
              <w:rPr>
                <w:rFonts w:hint="eastAsia" w:ascii="Times New Roman" w:hAnsi="Times New Roman" w:eastAsia="Times New Roman" w:cs="Times New Roman"/>
                <w:color w:val="auto"/>
                <w:sz w:val="24"/>
                <w:szCs w:val="24"/>
                <w:vertAlign w:val="subscript"/>
                <w:lang w:val="en-US" w:eastAsia="zh-CN" w:bidi="ar"/>
              </w:rPr>
              <w:t>Cr</w:t>
            </w:r>
            <w:r>
              <w:rPr>
                <w:rFonts w:hint="eastAsia" w:ascii="Times New Roman" w:hAnsi="Times New Roman" w:eastAsia="Times New Roman" w:cs="Times New Roman"/>
                <w:color w:val="auto"/>
                <w:sz w:val="24"/>
                <w:szCs w:val="24"/>
                <w:lang w:val="en-US" w:eastAsia="zh-CN" w:bidi="ar"/>
              </w:rPr>
              <w:t>：15%、BOD</w:t>
            </w:r>
            <w:r>
              <w:rPr>
                <w:rFonts w:hint="eastAsia" w:ascii="Times New Roman" w:hAnsi="Times New Roman" w:eastAsia="Times New Roman" w:cs="Times New Roman"/>
                <w:color w:val="auto"/>
                <w:sz w:val="24"/>
                <w:szCs w:val="24"/>
                <w:vertAlign w:val="subscript"/>
                <w:lang w:val="en-US" w:eastAsia="zh-CN" w:bidi="ar"/>
              </w:rPr>
              <w:t>5</w:t>
            </w:r>
            <w:r>
              <w:rPr>
                <w:rFonts w:hint="eastAsia" w:ascii="Times New Roman" w:hAnsi="Times New Roman" w:eastAsia="Times New Roman" w:cs="Times New Roman"/>
                <w:color w:val="auto"/>
                <w:sz w:val="24"/>
                <w:szCs w:val="24"/>
                <w:lang w:val="en-US" w:eastAsia="zh-CN" w:bidi="ar"/>
              </w:rPr>
              <w:t>：9%、氨氮：3%、TP：15%。</w:t>
            </w:r>
          </w:p>
          <w:p w14:paraId="3F5F2BBD">
            <w:pPr>
              <w:numPr>
                <w:ilvl w:val="0"/>
                <w:numId w:val="0"/>
              </w:numPr>
              <w:adjustRightInd w:val="0"/>
              <w:snapToGrid w:val="0"/>
              <w:spacing w:line="360" w:lineRule="auto"/>
              <w:jc w:val="center"/>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表4-</w:t>
            </w:r>
            <w:r>
              <w:rPr>
                <w:rFonts w:hint="eastAsia" w:ascii="Times New Roman" w:hAnsi="Times New Roman" w:cs="宋体"/>
                <w:b/>
                <w:bCs/>
                <w:color w:val="auto"/>
                <w:kern w:val="2"/>
                <w:sz w:val="21"/>
                <w:szCs w:val="21"/>
                <w:lang w:val="en-US" w:eastAsia="zh-CN" w:bidi="ar-SA"/>
              </w:rPr>
              <w:t xml:space="preserve">11 </w:t>
            </w:r>
            <w:r>
              <w:rPr>
                <w:rFonts w:hint="eastAsia" w:ascii="Times New Roman" w:hAnsi="Times New Roman" w:eastAsia="宋体" w:cs="宋体"/>
                <w:b/>
                <w:bCs/>
                <w:color w:val="auto"/>
                <w:kern w:val="2"/>
                <w:sz w:val="21"/>
                <w:szCs w:val="21"/>
                <w:lang w:val="en-US" w:eastAsia="zh-CN" w:bidi="ar-SA"/>
              </w:rPr>
              <w:t>项目生活废水污染物产排情况一览表</w:t>
            </w:r>
          </w:p>
          <w:tbl>
            <w:tblPr>
              <w:tblStyle w:val="28"/>
              <w:tblW w:w="7994"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28"/>
              <w:gridCol w:w="1273"/>
              <w:gridCol w:w="1218"/>
              <w:gridCol w:w="1155"/>
              <w:gridCol w:w="1320"/>
            </w:tblGrid>
            <w:tr w14:paraId="05F8D851">
              <w:tblPrEx>
                <w:tblCellMar>
                  <w:top w:w="0" w:type="dxa"/>
                  <w:left w:w="0" w:type="dxa"/>
                  <w:bottom w:w="0" w:type="dxa"/>
                  <w:right w:w="0" w:type="dxa"/>
                </w:tblCellMar>
              </w:tblPrEx>
              <w:trPr>
                <w:trHeight w:val="408" w:hRule="exact"/>
              </w:trPr>
              <w:tc>
                <w:tcPr>
                  <w:tcW w:w="3028" w:type="dxa"/>
                  <w:vAlign w:val="center"/>
                </w:tcPr>
                <w:p w14:paraId="5EF321C3">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产排污环节</w:t>
                  </w:r>
                </w:p>
              </w:tc>
              <w:tc>
                <w:tcPr>
                  <w:tcW w:w="4966" w:type="dxa"/>
                  <w:gridSpan w:val="4"/>
                  <w:vAlign w:val="center"/>
                </w:tcPr>
                <w:p w14:paraId="72A5908E">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生活污水</w:t>
                  </w:r>
                </w:p>
              </w:tc>
            </w:tr>
            <w:tr w14:paraId="0A5E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exact"/>
              </w:trPr>
              <w:tc>
                <w:tcPr>
                  <w:tcW w:w="3028" w:type="dxa"/>
                  <w:vAlign w:val="center"/>
                </w:tcPr>
                <w:p w14:paraId="23FEB20D">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废水总量（t/a）</w:t>
                  </w:r>
                </w:p>
              </w:tc>
              <w:tc>
                <w:tcPr>
                  <w:tcW w:w="4966" w:type="dxa"/>
                  <w:gridSpan w:val="4"/>
                  <w:vAlign w:val="center"/>
                </w:tcPr>
                <w:p w14:paraId="505F208B">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43.2</w:t>
                  </w:r>
                </w:p>
              </w:tc>
            </w:tr>
            <w:tr w14:paraId="1FF6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75E2009F">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污染物种类</w:t>
                  </w:r>
                </w:p>
              </w:tc>
              <w:tc>
                <w:tcPr>
                  <w:tcW w:w="1273" w:type="dxa"/>
                  <w:vAlign w:val="center"/>
                </w:tcPr>
                <w:p w14:paraId="0B2091E6">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CODcr</w:t>
                  </w:r>
                </w:p>
              </w:tc>
              <w:tc>
                <w:tcPr>
                  <w:tcW w:w="1218" w:type="dxa"/>
                  <w:vAlign w:val="center"/>
                </w:tcPr>
                <w:p w14:paraId="568373A3">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BOD</w:t>
                  </w:r>
                  <w:r>
                    <w:rPr>
                      <w:rFonts w:hint="eastAsia" w:ascii="Times New Roman" w:hAnsi="Times New Roman" w:eastAsia="Times New Roman"/>
                      <w:color w:val="auto"/>
                      <w:sz w:val="21"/>
                      <w:szCs w:val="21"/>
                      <w:vertAlign w:val="subscript"/>
                    </w:rPr>
                    <w:t>5</w:t>
                  </w:r>
                </w:p>
              </w:tc>
              <w:tc>
                <w:tcPr>
                  <w:tcW w:w="1155" w:type="dxa"/>
                  <w:vAlign w:val="center"/>
                </w:tcPr>
                <w:p w14:paraId="1892FA44">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NH</w:t>
                  </w:r>
                  <w:r>
                    <w:rPr>
                      <w:rFonts w:hint="eastAsia" w:ascii="Times New Roman" w:hAnsi="Times New Roman" w:eastAsia="Times New Roman"/>
                      <w:color w:val="auto"/>
                      <w:sz w:val="21"/>
                      <w:szCs w:val="21"/>
                      <w:vertAlign w:val="subscript"/>
                    </w:rPr>
                    <w:t>3</w:t>
                  </w:r>
                  <w:r>
                    <w:rPr>
                      <w:rFonts w:hint="eastAsia" w:ascii="Times New Roman" w:hAnsi="Times New Roman" w:eastAsia="Times New Roman"/>
                      <w:color w:val="auto"/>
                      <w:sz w:val="21"/>
                      <w:szCs w:val="21"/>
                    </w:rPr>
                    <w:t>-N</w:t>
                  </w:r>
                </w:p>
              </w:tc>
              <w:tc>
                <w:tcPr>
                  <w:tcW w:w="1320" w:type="dxa"/>
                  <w:vAlign w:val="center"/>
                </w:tcPr>
                <w:p w14:paraId="6B86E44E">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总磷</w:t>
                  </w:r>
                </w:p>
              </w:tc>
            </w:tr>
            <w:tr w14:paraId="058A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5A8D39D2">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污染物产生量（t/a）</w:t>
                  </w:r>
                </w:p>
              </w:tc>
              <w:tc>
                <w:tcPr>
                  <w:tcW w:w="1273" w:type="dxa"/>
                  <w:vAlign w:val="center"/>
                </w:tcPr>
                <w:p w14:paraId="0A0CD7C1">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0.015</w:t>
                  </w:r>
                </w:p>
              </w:tc>
              <w:tc>
                <w:tcPr>
                  <w:tcW w:w="1218" w:type="dxa"/>
                  <w:vAlign w:val="center"/>
                </w:tcPr>
                <w:p w14:paraId="7F6971BC">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0.0065</w:t>
                  </w:r>
                </w:p>
              </w:tc>
              <w:tc>
                <w:tcPr>
                  <w:tcW w:w="1155" w:type="dxa"/>
                  <w:vAlign w:val="center"/>
                </w:tcPr>
                <w:p w14:paraId="6C2108DD">
                  <w:pPr>
                    <w:ind w:left="0" w:leftChars="0" w:right="0" w:rightChars="0"/>
                    <w:jc w:val="center"/>
                    <w:rPr>
                      <w:rFonts w:hint="default" w:ascii="Times New Roman" w:hAnsi="Times New Roman" w:eastAsia="Times New Roman"/>
                      <w:color w:val="auto"/>
                      <w:sz w:val="21"/>
                      <w:szCs w:val="21"/>
                      <w:lang w:val="en-US"/>
                    </w:rPr>
                  </w:pPr>
                  <w:r>
                    <w:rPr>
                      <w:rFonts w:hint="eastAsia" w:ascii="Times New Roman" w:hAnsi="Times New Roman" w:eastAsia="Times New Roman"/>
                      <w:color w:val="auto"/>
                      <w:sz w:val="21"/>
                      <w:szCs w:val="21"/>
                      <w:lang w:val="en-US" w:eastAsia="zh-CN"/>
                    </w:rPr>
                    <w:t>0.00086</w:t>
                  </w:r>
                </w:p>
              </w:tc>
              <w:tc>
                <w:tcPr>
                  <w:tcW w:w="1320" w:type="dxa"/>
                  <w:vAlign w:val="center"/>
                </w:tcPr>
                <w:p w14:paraId="4D9500A6">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0.00022</w:t>
                  </w:r>
                </w:p>
              </w:tc>
            </w:tr>
            <w:tr w14:paraId="2383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4A2AD13B">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污染物产生浓度（mg/L）</w:t>
                  </w:r>
                </w:p>
              </w:tc>
              <w:tc>
                <w:tcPr>
                  <w:tcW w:w="1273" w:type="dxa"/>
                  <w:vAlign w:val="center"/>
                </w:tcPr>
                <w:p w14:paraId="076C36D7">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350</w:t>
                  </w:r>
                </w:p>
              </w:tc>
              <w:tc>
                <w:tcPr>
                  <w:tcW w:w="1218" w:type="dxa"/>
                  <w:vAlign w:val="center"/>
                </w:tcPr>
                <w:p w14:paraId="346E2083">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150</w:t>
                  </w:r>
                </w:p>
              </w:tc>
              <w:tc>
                <w:tcPr>
                  <w:tcW w:w="1155" w:type="dxa"/>
                  <w:vAlign w:val="center"/>
                </w:tcPr>
                <w:p w14:paraId="550E5358">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20</w:t>
                  </w:r>
                </w:p>
              </w:tc>
              <w:tc>
                <w:tcPr>
                  <w:tcW w:w="1320" w:type="dxa"/>
                  <w:vAlign w:val="center"/>
                </w:tcPr>
                <w:p w14:paraId="38E22459">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5</w:t>
                  </w:r>
                </w:p>
              </w:tc>
            </w:tr>
            <w:tr w14:paraId="0248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06AB4CC1">
                  <w:pPr>
                    <w:jc w:val="center"/>
                    <w:rPr>
                      <w:rFonts w:hint="eastAsia" w:ascii="Times New Roman" w:hAnsi="Times New Roman" w:eastAsia="Times New Roman"/>
                      <w:b/>
                      <w:bCs/>
                      <w:color w:val="auto"/>
                      <w:sz w:val="21"/>
                      <w:szCs w:val="21"/>
                      <w:lang w:val="en-US" w:eastAsia="zh-CN"/>
                    </w:rPr>
                  </w:pPr>
                  <w:r>
                    <w:rPr>
                      <w:rFonts w:hint="eastAsia" w:ascii="Times New Roman" w:hAnsi="Times New Roman" w:eastAsia="Times New Roman"/>
                      <w:b/>
                      <w:bCs/>
                      <w:color w:val="auto"/>
                      <w:sz w:val="21"/>
                      <w:szCs w:val="21"/>
                      <w:lang w:val="en-US" w:eastAsia="zh-CN"/>
                    </w:rPr>
                    <w:t>化粪池去除率（%）</w:t>
                  </w:r>
                </w:p>
              </w:tc>
              <w:tc>
                <w:tcPr>
                  <w:tcW w:w="1273" w:type="dxa"/>
                  <w:vAlign w:val="center"/>
                </w:tcPr>
                <w:p w14:paraId="27D1D7F0">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15%</w:t>
                  </w:r>
                </w:p>
              </w:tc>
              <w:tc>
                <w:tcPr>
                  <w:tcW w:w="1218" w:type="dxa"/>
                  <w:vAlign w:val="center"/>
                </w:tcPr>
                <w:p w14:paraId="176EBFF4">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9%</w:t>
                  </w:r>
                </w:p>
              </w:tc>
              <w:tc>
                <w:tcPr>
                  <w:tcW w:w="1155" w:type="dxa"/>
                  <w:vAlign w:val="center"/>
                </w:tcPr>
                <w:p w14:paraId="57A49A60">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3%</w:t>
                  </w:r>
                </w:p>
              </w:tc>
              <w:tc>
                <w:tcPr>
                  <w:tcW w:w="1320" w:type="dxa"/>
                  <w:vAlign w:val="center"/>
                </w:tcPr>
                <w:p w14:paraId="68FF990D">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15%</w:t>
                  </w:r>
                </w:p>
              </w:tc>
            </w:tr>
            <w:tr w14:paraId="2583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14:paraId="0F2E6421">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污染物排放量（t/a）</w:t>
                  </w:r>
                </w:p>
              </w:tc>
              <w:tc>
                <w:tcPr>
                  <w:tcW w:w="1273" w:type="dxa"/>
                  <w:vAlign w:val="center"/>
                </w:tcPr>
                <w:p w14:paraId="5B07A209">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0.013</w:t>
                  </w:r>
                </w:p>
              </w:tc>
              <w:tc>
                <w:tcPr>
                  <w:tcW w:w="1218" w:type="dxa"/>
                  <w:vAlign w:val="center"/>
                </w:tcPr>
                <w:p w14:paraId="288BC47E">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0.0059</w:t>
                  </w:r>
                </w:p>
              </w:tc>
              <w:tc>
                <w:tcPr>
                  <w:tcW w:w="1155" w:type="dxa"/>
                  <w:vAlign w:val="center"/>
                </w:tcPr>
                <w:p w14:paraId="4F0A0C2F">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0.00083</w:t>
                  </w:r>
                </w:p>
              </w:tc>
              <w:tc>
                <w:tcPr>
                  <w:tcW w:w="1320" w:type="dxa"/>
                  <w:vAlign w:val="center"/>
                </w:tcPr>
                <w:p w14:paraId="6C9643AA">
                  <w:pPr>
                    <w:ind w:left="0" w:leftChars="0" w:right="0" w:rightChars="0"/>
                    <w:jc w:val="center"/>
                    <w:rPr>
                      <w:rFonts w:hint="default" w:ascii="Times New Roman" w:hAnsi="Times New Roman" w:eastAsia="Times New Roman"/>
                      <w:color w:val="auto"/>
                      <w:sz w:val="21"/>
                      <w:szCs w:val="21"/>
                      <w:lang w:val="en-US"/>
                    </w:rPr>
                  </w:pPr>
                  <w:r>
                    <w:rPr>
                      <w:rFonts w:hint="eastAsia" w:ascii="Times New Roman" w:hAnsi="Times New Roman" w:eastAsia="Times New Roman"/>
                      <w:color w:val="auto"/>
                      <w:sz w:val="21"/>
                      <w:szCs w:val="21"/>
                      <w:lang w:val="en-US" w:eastAsia="zh-CN"/>
                    </w:rPr>
                    <w:t>0.00019</w:t>
                  </w:r>
                </w:p>
              </w:tc>
            </w:tr>
            <w:tr w14:paraId="493D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6D73A9D6">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污染物排放浓度（mg/L）</w:t>
                  </w:r>
                </w:p>
              </w:tc>
              <w:tc>
                <w:tcPr>
                  <w:tcW w:w="1273" w:type="dxa"/>
                  <w:vAlign w:val="top"/>
                </w:tcPr>
                <w:p w14:paraId="73BB6473">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300.93</w:t>
                  </w:r>
                </w:p>
              </w:tc>
              <w:tc>
                <w:tcPr>
                  <w:tcW w:w="1218" w:type="dxa"/>
                  <w:vAlign w:val="top"/>
                </w:tcPr>
                <w:p w14:paraId="4EC503B7">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137</w:t>
                  </w:r>
                </w:p>
              </w:tc>
              <w:tc>
                <w:tcPr>
                  <w:tcW w:w="1155" w:type="dxa"/>
                  <w:vAlign w:val="top"/>
                </w:tcPr>
                <w:p w14:paraId="2702F02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19.21</w:t>
                  </w:r>
                </w:p>
              </w:tc>
              <w:tc>
                <w:tcPr>
                  <w:tcW w:w="1320" w:type="dxa"/>
                  <w:vAlign w:val="top"/>
                </w:tcPr>
                <w:p w14:paraId="6D840F75">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4.40</w:t>
                  </w:r>
                </w:p>
              </w:tc>
            </w:tr>
            <w:tr w14:paraId="24F1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exact"/>
              </w:trPr>
              <w:tc>
                <w:tcPr>
                  <w:tcW w:w="3028" w:type="dxa"/>
                  <w:vAlign w:val="center"/>
                </w:tcPr>
                <w:p w14:paraId="28514056">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标准值</w:t>
                  </w:r>
                  <w:r>
                    <w:rPr>
                      <w:rFonts w:hint="eastAsia" w:ascii="Times New Roman" w:hAnsi="Times New Roman" w:eastAsia="Times New Roman"/>
                      <w:b/>
                      <w:bCs/>
                      <w:color w:val="auto"/>
                      <w:sz w:val="21"/>
                      <w:szCs w:val="21"/>
                    </w:rPr>
                    <w:t>（mg/L）</w:t>
                  </w:r>
                </w:p>
              </w:tc>
              <w:tc>
                <w:tcPr>
                  <w:tcW w:w="1273" w:type="dxa"/>
                  <w:shd w:val="clear" w:color="auto" w:fill="auto"/>
                  <w:vAlign w:val="top"/>
                </w:tcPr>
                <w:p w14:paraId="34DF6B9E">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500</w:t>
                  </w:r>
                </w:p>
              </w:tc>
              <w:tc>
                <w:tcPr>
                  <w:tcW w:w="1218" w:type="dxa"/>
                  <w:shd w:val="clear" w:color="auto" w:fill="auto"/>
                  <w:vAlign w:val="top"/>
                </w:tcPr>
                <w:p w14:paraId="4EE88E05">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350</w:t>
                  </w:r>
                </w:p>
              </w:tc>
              <w:tc>
                <w:tcPr>
                  <w:tcW w:w="1155" w:type="dxa"/>
                  <w:shd w:val="clear" w:color="auto" w:fill="auto"/>
                  <w:vAlign w:val="top"/>
                </w:tcPr>
                <w:p w14:paraId="3B1425CD">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20</w:t>
                  </w:r>
                </w:p>
              </w:tc>
              <w:tc>
                <w:tcPr>
                  <w:tcW w:w="1320" w:type="dxa"/>
                  <w:shd w:val="clear" w:color="auto" w:fill="auto"/>
                  <w:vAlign w:val="top"/>
                </w:tcPr>
                <w:p w14:paraId="43509D6F">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8</w:t>
                  </w:r>
                </w:p>
              </w:tc>
            </w:tr>
            <w:tr w14:paraId="23A6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14:paraId="4B1D2EFC">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达标情况</w:t>
                  </w:r>
                </w:p>
              </w:tc>
              <w:tc>
                <w:tcPr>
                  <w:tcW w:w="1273" w:type="dxa"/>
                  <w:vAlign w:val="top"/>
                </w:tcPr>
                <w:p w14:paraId="4342B56B">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218" w:type="dxa"/>
                  <w:vAlign w:val="top"/>
                </w:tcPr>
                <w:p w14:paraId="3E7C455C">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155" w:type="dxa"/>
                  <w:vAlign w:val="top"/>
                </w:tcPr>
                <w:p w14:paraId="7DCFB2F5">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320" w:type="dxa"/>
                  <w:vAlign w:val="top"/>
                </w:tcPr>
                <w:p w14:paraId="6FD66E8B">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r>
            <w:tr w14:paraId="1FEE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1D99B9C1">
                  <w:pPr>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执行标准</w:t>
                  </w:r>
                </w:p>
              </w:tc>
              <w:tc>
                <w:tcPr>
                  <w:tcW w:w="4966" w:type="dxa"/>
                  <w:gridSpan w:val="4"/>
                  <w:vAlign w:val="top"/>
                </w:tcPr>
                <w:p w14:paraId="4B0B3212">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《污水排入城镇下水道水质标准》</w:t>
                  </w:r>
                </w:p>
                <w:p w14:paraId="370F7A44">
                  <w:pPr>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（GB/T31962-2015）</w:t>
                  </w:r>
                  <w:r>
                    <w:rPr>
                      <w:rFonts w:hint="eastAsia" w:ascii="Times New Roman" w:hAnsi="Times New Roman" w:eastAsia="宋体"/>
                      <w:color w:val="auto"/>
                      <w:sz w:val="21"/>
                      <w:szCs w:val="21"/>
                      <w:lang w:val="en-US" w:eastAsia="zh-CN"/>
                    </w:rPr>
                    <w:t>表1</w:t>
                  </w:r>
                  <w:r>
                    <w:rPr>
                      <w:rFonts w:hint="eastAsia" w:ascii="Times New Roman" w:hAnsi="Times New Roman" w:eastAsia="Times New Roman"/>
                      <w:color w:val="auto"/>
                      <w:sz w:val="21"/>
                      <w:szCs w:val="21"/>
                    </w:rPr>
                    <w:t>A等级标准</w:t>
                  </w:r>
                </w:p>
              </w:tc>
            </w:tr>
            <w:tr w14:paraId="1644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075F9479">
                  <w:pPr>
                    <w:jc w:val="center"/>
                    <w:rPr>
                      <w:rFonts w:hint="default" w:ascii="Times New Roman" w:hAnsi="Times New Roman" w:eastAsia="宋体"/>
                      <w:b/>
                      <w:bCs/>
                      <w:color w:val="auto"/>
                      <w:sz w:val="21"/>
                      <w:szCs w:val="21"/>
                      <w:lang w:val="en-US" w:eastAsia="zh-CN"/>
                    </w:rPr>
                  </w:pPr>
                  <w:r>
                    <w:rPr>
                      <w:rFonts w:hint="eastAsia" w:ascii="Times New Roman" w:hAnsi="Times New Roman"/>
                      <w:b/>
                      <w:bCs/>
                      <w:color w:val="auto"/>
                      <w:sz w:val="21"/>
                      <w:szCs w:val="21"/>
                      <w:lang w:val="en-US" w:eastAsia="zh-CN"/>
                    </w:rPr>
                    <w:t>处置措施</w:t>
                  </w:r>
                </w:p>
              </w:tc>
              <w:tc>
                <w:tcPr>
                  <w:tcW w:w="4966" w:type="dxa"/>
                  <w:gridSpan w:val="4"/>
                  <w:vAlign w:val="top"/>
                </w:tcPr>
                <w:p w14:paraId="57F59387">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经化粪池处理达标后排入易天线市政污水管网，最终进入寻甸县污水处理厂统一处理</w:t>
                  </w:r>
                </w:p>
              </w:tc>
            </w:tr>
            <w:tr w14:paraId="56CE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14:paraId="0114CC8C">
                  <w:pPr>
                    <w:pStyle w:val="98"/>
                    <w:spacing w:before="58" w:line="219" w:lineRule="auto"/>
                    <w:ind w:left="98" w:leftChars="0"/>
                    <w:jc w:val="center"/>
                    <w:rPr>
                      <w:rFonts w:hint="default" w:ascii="Times New Roman" w:hAnsi="Times New Roman"/>
                      <w:b/>
                      <w:bCs/>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SA"/>
                    </w:rPr>
                    <w:t>排放口名称及编号</w:t>
                  </w:r>
                </w:p>
              </w:tc>
              <w:tc>
                <w:tcPr>
                  <w:tcW w:w="4966" w:type="dxa"/>
                  <w:gridSpan w:val="4"/>
                  <w:vAlign w:val="center"/>
                </w:tcPr>
                <w:p w14:paraId="484E372F">
                  <w:pPr>
                    <w:pStyle w:val="98"/>
                    <w:spacing w:before="59" w:line="220" w:lineRule="auto"/>
                    <w:ind w:left="103" w:leftChars="0"/>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s="Times New Roman"/>
                      <w:color w:val="auto"/>
                      <w:kern w:val="2"/>
                      <w:sz w:val="21"/>
                      <w:szCs w:val="21"/>
                      <w:lang w:val="en-US" w:eastAsia="zh-CN" w:bidi="ar-SA"/>
                    </w:rPr>
                    <w:t>综合废水总排口DW001</w:t>
                  </w:r>
                </w:p>
              </w:tc>
            </w:tr>
          </w:tbl>
          <w:p w14:paraId="4C331FED">
            <w:pPr>
              <w:pStyle w:val="13"/>
              <w:keepNext w:val="0"/>
              <w:keepLines w:val="0"/>
              <w:pageBreakBefore w:val="0"/>
              <w:widowControl w:val="0"/>
              <w:numPr>
                <w:ilvl w:val="0"/>
                <w:numId w:val="0"/>
              </w:numPr>
              <w:tabs>
                <w:tab w:val="left" w:pos="480"/>
              </w:tabs>
              <w:kinsoku/>
              <w:wordWrap/>
              <w:overflowPunct/>
              <w:topLinePunct w:val="0"/>
              <w:autoSpaceDE w:val="0"/>
              <w:autoSpaceDN w:val="0"/>
              <w:bidi w:val="0"/>
              <w:adjustRightInd w:val="0"/>
              <w:snapToGrid/>
              <w:spacing w:line="360" w:lineRule="auto"/>
              <w:ind w:left="420" w:leftChars="0"/>
              <w:textAlignment w:val="auto"/>
              <w:rPr>
                <w:rFonts w:hint="default" w:ascii="Times New Roman" w:hAnsi="Times New Roman" w:eastAsia="Times New Roman" w:cs="宋体"/>
                <w:color w:val="auto"/>
                <w:kern w:val="2"/>
                <w:sz w:val="24"/>
                <w:szCs w:val="24"/>
                <w:lang w:val="en-US" w:eastAsia="zh-CN" w:bidi="ar-SA"/>
              </w:rPr>
            </w:pPr>
            <w:r>
              <w:rPr>
                <w:rFonts w:hint="eastAsia" w:ascii="Times New Roman" w:hAnsi="Times New Roman" w:eastAsia="Times New Roman" w:cs="宋体"/>
                <w:color w:val="auto"/>
                <w:kern w:val="2"/>
                <w:sz w:val="24"/>
                <w:szCs w:val="24"/>
                <w:lang w:val="en-US" w:eastAsia="zh-CN" w:bidi="ar-SA"/>
              </w:rPr>
              <w:t>(4)项目</w:t>
            </w:r>
            <w:r>
              <w:rPr>
                <w:rFonts w:hint="default" w:ascii="Times New Roman" w:hAnsi="Times New Roman" w:eastAsia="Times New Roman" w:cs="宋体"/>
                <w:color w:val="auto"/>
                <w:kern w:val="2"/>
                <w:sz w:val="24"/>
                <w:szCs w:val="24"/>
                <w:lang w:val="en-US" w:eastAsia="zh-CN" w:bidi="ar-SA"/>
              </w:rPr>
              <w:t>全厂</w:t>
            </w:r>
            <w:r>
              <w:rPr>
                <w:rFonts w:hint="eastAsia" w:ascii="Times New Roman" w:hAnsi="Times New Roman" w:eastAsia="Times New Roman" w:cs="宋体"/>
                <w:color w:val="auto"/>
                <w:kern w:val="2"/>
                <w:sz w:val="24"/>
                <w:szCs w:val="24"/>
                <w:lang w:val="en-US" w:eastAsia="zh-CN" w:bidi="ar-SA"/>
              </w:rPr>
              <w:t>外排</w:t>
            </w:r>
            <w:r>
              <w:rPr>
                <w:rFonts w:hint="default" w:ascii="Times New Roman" w:hAnsi="Times New Roman" w:eastAsia="Times New Roman" w:cs="宋体"/>
                <w:color w:val="auto"/>
                <w:kern w:val="2"/>
                <w:sz w:val="24"/>
                <w:szCs w:val="24"/>
                <w:lang w:val="en-US" w:eastAsia="zh-CN" w:bidi="ar-SA"/>
              </w:rPr>
              <w:t>废水污染物排放情况汇总</w:t>
            </w:r>
          </w:p>
          <w:p w14:paraId="51760D99">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Times New Roman" w:cs="宋体"/>
                <w:color w:val="auto"/>
                <w:kern w:val="2"/>
                <w:sz w:val="24"/>
                <w:szCs w:val="24"/>
                <w:lang w:val="en-US" w:eastAsia="zh-CN" w:bidi="ar-SA"/>
              </w:rPr>
              <w:t>项目废水主要</w:t>
            </w:r>
            <w:r>
              <w:rPr>
                <w:rFonts w:hint="default" w:ascii="Times New Roman" w:hAnsi="Times New Roman" w:eastAsia="Times New Roman" w:cs="宋体"/>
                <w:color w:val="auto"/>
                <w:kern w:val="2"/>
                <w:sz w:val="24"/>
                <w:szCs w:val="24"/>
                <w:lang w:val="en-US" w:eastAsia="zh-CN" w:bidi="ar-SA"/>
              </w:rPr>
              <w:t>包括</w:t>
            </w:r>
            <w:r>
              <w:rPr>
                <w:rFonts w:hint="eastAsia" w:ascii="Times New Roman" w:hAnsi="Times New Roman" w:eastAsia="Times New Roman" w:cs="宋体"/>
                <w:color w:val="auto"/>
                <w:kern w:val="2"/>
                <w:sz w:val="24"/>
                <w:szCs w:val="24"/>
                <w:lang w:val="en-US" w:eastAsia="zh-CN" w:bidi="ar-SA"/>
              </w:rPr>
              <w:t>生产</w:t>
            </w:r>
            <w:r>
              <w:rPr>
                <w:rFonts w:hint="default" w:ascii="Times New Roman" w:hAnsi="Times New Roman" w:eastAsia="Times New Roman" w:cs="宋体"/>
                <w:color w:val="auto"/>
                <w:kern w:val="2"/>
                <w:sz w:val="24"/>
                <w:szCs w:val="24"/>
                <w:lang w:val="en-US" w:eastAsia="zh-CN" w:bidi="ar-SA"/>
              </w:rPr>
              <w:t>：</w:t>
            </w:r>
            <w:r>
              <w:rPr>
                <w:rFonts w:hint="eastAsia" w:ascii="Times New Roman" w:hAnsi="Times New Roman" w:eastAsia="Times New Roman" w:cs="宋体"/>
                <w:color w:val="auto"/>
                <w:kern w:val="2"/>
                <w:sz w:val="24"/>
                <w:szCs w:val="24"/>
                <w:lang w:val="en-US" w:eastAsia="zh-CN" w:bidi="ar-SA"/>
              </w:rPr>
              <w:t>洗涤废水、</w:t>
            </w:r>
            <w:r>
              <w:rPr>
                <w:rFonts w:hint="default" w:ascii="Times New Roman" w:hAnsi="Times New Roman" w:eastAsia="Times New Roman" w:cs="宋体"/>
                <w:color w:val="auto"/>
                <w:kern w:val="2"/>
                <w:sz w:val="24"/>
                <w:szCs w:val="24"/>
                <w:lang w:val="en-US" w:eastAsia="zh-CN" w:bidi="ar-SA"/>
              </w:rPr>
              <w:t>软化</w:t>
            </w:r>
            <w:r>
              <w:rPr>
                <w:rFonts w:hint="eastAsia" w:ascii="Times New Roman" w:hAnsi="Times New Roman" w:eastAsia="Times New Roman" w:cs="宋体"/>
                <w:color w:val="auto"/>
                <w:kern w:val="2"/>
                <w:sz w:val="24"/>
                <w:szCs w:val="24"/>
                <w:lang w:val="en-US" w:eastAsia="zh-CN" w:bidi="ar-SA"/>
              </w:rPr>
              <w:t>制备</w:t>
            </w:r>
            <w:r>
              <w:rPr>
                <w:rFonts w:hint="default" w:ascii="Times New Roman" w:hAnsi="Times New Roman" w:eastAsia="Times New Roman" w:cs="宋体"/>
                <w:color w:val="auto"/>
                <w:kern w:val="2"/>
                <w:sz w:val="24"/>
                <w:szCs w:val="24"/>
                <w:lang w:val="en-US" w:eastAsia="zh-CN" w:bidi="ar-SA"/>
              </w:rPr>
              <w:t>废水</w:t>
            </w:r>
            <w:r>
              <w:rPr>
                <w:rFonts w:hint="eastAsia" w:ascii="Times New Roman" w:hAnsi="Times New Roman" w:eastAsia="Times New Roman" w:cs="宋体"/>
                <w:color w:val="auto"/>
                <w:kern w:val="2"/>
                <w:sz w:val="24"/>
                <w:szCs w:val="24"/>
                <w:lang w:val="en-US" w:eastAsia="zh-CN" w:bidi="ar-SA"/>
              </w:rPr>
              <w:t>、锅炉排污水以及生活污水。洗涤废水、</w:t>
            </w:r>
            <w:r>
              <w:rPr>
                <w:rFonts w:hint="default" w:ascii="Times New Roman" w:hAnsi="Times New Roman" w:eastAsia="Times New Roman" w:cs="宋体"/>
                <w:color w:val="auto"/>
                <w:kern w:val="2"/>
                <w:sz w:val="24"/>
                <w:szCs w:val="24"/>
                <w:lang w:val="en-US" w:eastAsia="zh-CN" w:bidi="ar-SA"/>
              </w:rPr>
              <w:t>软化</w:t>
            </w:r>
            <w:r>
              <w:rPr>
                <w:rFonts w:hint="eastAsia" w:ascii="Times New Roman" w:hAnsi="Times New Roman" w:eastAsia="Times New Roman" w:cs="宋体"/>
                <w:color w:val="auto"/>
                <w:kern w:val="2"/>
                <w:sz w:val="24"/>
                <w:szCs w:val="24"/>
                <w:lang w:val="en-US" w:eastAsia="zh-CN" w:bidi="ar-SA"/>
              </w:rPr>
              <w:t>制备</w:t>
            </w:r>
            <w:r>
              <w:rPr>
                <w:rFonts w:hint="default" w:ascii="Times New Roman" w:hAnsi="Times New Roman" w:eastAsia="Times New Roman" w:cs="宋体"/>
                <w:color w:val="auto"/>
                <w:kern w:val="2"/>
                <w:sz w:val="24"/>
                <w:szCs w:val="24"/>
                <w:lang w:val="en-US" w:eastAsia="zh-CN" w:bidi="ar-SA"/>
              </w:rPr>
              <w:t>废水</w:t>
            </w:r>
            <w:r>
              <w:rPr>
                <w:rFonts w:hint="eastAsia" w:ascii="Times New Roman" w:hAnsi="Times New Roman" w:eastAsia="Times New Roman" w:cs="宋体"/>
                <w:color w:val="auto"/>
                <w:kern w:val="2"/>
                <w:sz w:val="24"/>
                <w:szCs w:val="24"/>
                <w:lang w:val="en-US" w:eastAsia="zh-CN" w:bidi="ar-SA"/>
              </w:rPr>
              <w:t>、锅炉排污水经三级沉淀处理后与经化粪池处理后的生活</w:t>
            </w:r>
            <w:r>
              <w:rPr>
                <w:rFonts w:hint="eastAsia" w:ascii="Times New Roman" w:hAnsi="Times New Roman" w:eastAsia="宋体" w:cs="Times New Roman"/>
                <w:color w:val="auto"/>
                <w:sz w:val="24"/>
                <w:szCs w:val="24"/>
                <w:highlight w:val="none"/>
                <w:lang w:val="en-US" w:eastAsia="zh-CN"/>
              </w:rPr>
              <w:t>污水合并，经综合废水总排口（DW001）排入易天线市政污水管网，最终进入寻甸县污水处理厂统一处理。废水污染物产排情况</w:t>
            </w:r>
            <w:r>
              <w:rPr>
                <w:rFonts w:hint="default" w:ascii="Times New Roman" w:hAnsi="Times New Roman" w:eastAsia="宋体" w:cs="Times New Roman"/>
                <w:color w:val="auto"/>
                <w:sz w:val="24"/>
                <w:szCs w:val="24"/>
                <w:highlight w:val="none"/>
                <w:lang w:val="en-US" w:eastAsia="zh-CN"/>
              </w:rPr>
              <w:t>具体汇总见下表</w:t>
            </w:r>
            <w:r>
              <w:rPr>
                <w:rFonts w:hint="eastAsia" w:ascii="Times New Roman" w:hAnsi="Times New Roman" w:eastAsia="宋体" w:cs="Times New Roman"/>
                <w:color w:val="auto"/>
                <w:sz w:val="24"/>
                <w:szCs w:val="24"/>
                <w:highlight w:val="none"/>
                <w:lang w:val="en-US" w:eastAsia="zh-CN"/>
              </w:rPr>
              <w:t>。</w:t>
            </w:r>
          </w:p>
          <w:p w14:paraId="2209E5ED">
            <w:pPr>
              <w:numPr>
                <w:ilvl w:val="0"/>
                <w:numId w:val="0"/>
              </w:numPr>
              <w:adjustRightInd w:val="0"/>
              <w:snapToGrid w:val="0"/>
              <w:spacing w:line="360" w:lineRule="auto"/>
              <w:jc w:val="center"/>
              <w:rPr>
                <w:rFonts w:hint="default"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表4-</w:t>
            </w:r>
            <w:r>
              <w:rPr>
                <w:rFonts w:hint="eastAsia" w:ascii="Times New Roman" w:hAnsi="Times New Roman" w:eastAsia="宋体" w:cs="宋体"/>
                <w:b/>
                <w:bCs/>
                <w:color w:val="auto"/>
                <w:kern w:val="2"/>
                <w:sz w:val="21"/>
                <w:szCs w:val="21"/>
                <w:lang w:val="en-US" w:eastAsia="zh-CN" w:bidi="ar-SA"/>
              </w:rPr>
              <w:t xml:space="preserve">12 </w:t>
            </w:r>
            <w:r>
              <w:rPr>
                <w:rFonts w:hint="default" w:ascii="Times New Roman" w:hAnsi="Times New Roman" w:eastAsia="宋体" w:cs="宋体"/>
                <w:b/>
                <w:bCs/>
                <w:color w:val="auto"/>
                <w:kern w:val="2"/>
                <w:sz w:val="21"/>
                <w:szCs w:val="21"/>
                <w:lang w:val="en-US" w:eastAsia="zh-CN" w:bidi="ar-SA"/>
              </w:rPr>
              <w:t xml:space="preserve"> </w:t>
            </w:r>
            <w:r>
              <w:rPr>
                <w:rFonts w:hint="eastAsia" w:ascii="Times New Roman" w:hAnsi="Times New Roman" w:cs="宋体"/>
                <w:b/>
                <w:bCs/>
                <w:color w:val="auto"/>
                <w:kern w:val="2"/>
                <w:sz w:val="21"/>
                <w:szCs w:val="21"/>
                <w:lang w:val="en-US" w:eastAsia="zh-CN" w:bidi="ar-SA"/>
              </w:rPr>
              <w:t>废水</w:t>
            </w:r>
            <w:r>
              <w:rPr>
                <w:rFonts w:hint="default" w:ascii="Times New Roman" w:hAnsi="Times New Roman" w:eastAsia="宋体" w:cs="宋体"/>
                <w:b/>
                <w:bCs/>
                <w:color w:val="auto"/>
                <w:kern w:val="2"/>
                <w:sz w:val="21"/>
                <w:szCs w:val="21"/>
                <w:lang w:val="en-US" w:eastAsia="zh-CN" w:bidi="ar-SA"/>
              </w:rPr>
              <w:t>排放</w:t>
            </w:r>
            <w:r>
              <w:rPr>
                <w:rFonts w:hint="eastAsia" w:ascii="Times New Roman" w:hAnsi="Times New Roman" w:cs="宋体"/>
                <w:b/>
                <w:bCs/>
                <w:color w:val="auto"/>
                <w:kern w:val="2"/>
                <w:sz w:val="21"/>
                <w:szCs w:val="21"/>
                <w:lang w:val="en-US" w:eastAsia="zh-CN" w:bidi="ar-SA"/>
              </w:rPr>
              <w:t>情况</w:t>
            </w:r>
            <w:r>
              <w:rPr>
                <w:rFonts w:hint="default" w:ascii="Times New Roman" w:hAnsi="Times New Roman" w:eastAsia="宋体" w:cs="宋体"/>
                <w:b/>
                <w:bCs/>
                <w:color w:val="auto"/>
                <w:kern w:val="2"/>
                <w:sz w:val="21"/>
                <w:szCs w:val="21"/>
                <w:lang w:val="en-US" w:eastAsia="zh-CN" w:bidi="ar-SA"/>
              </w:rPr>
              <w:t xml:space="preserve">汇总表 </w:t>
            </w:r>
          </w:p>
          <w:tbl>
            <w:tblPr>
              <w:tblStyle w:val="80"/>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8"/>
              <w:gridCol w:w="1722"/>
              <w:gridCol w:w="1092"/>
              <w:gridCol w:w="888"/>
              <w:gridCol w:w="800"/>
              <w:gridCol w:w="1100"/>
              <w:gridCol w:w="875"/>
            </w:tblGrid>
            <w:tr w14:paraId="69BF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1338" w:type="dxa"/>
                  <w:vAlign w:val="center"/>
                </w:tcPr>
                <w:p w14:paraId="53CD8219">
                  <w:pPr>
                    <w:jc w:val="center"/>
                    <w:rPr>
                      <w:rFonts w:hint="default" w:ascii="Times New Roman" w:hAnsi="Times New Roman" w:eastAsiaTheme="minorEastAsia" w:cstheme="minorEastAsia"/>
                      <w:b/>
                      <w:bCs/>
                      <w:color w:val="auto"/>
                      <w:sz w:val="21"/>
                      <w:szCs w:val="21"/>
                      <w:lang w:val="en-US" w:eastAsia="zh-CN"/>
                    </w:rPr>
                  </w:pPr>
                  <w:r>
                    <w:rPr>
                      <w:rFonts w:hint="eastAsia" w:ascii="Times New Roman" w:hAnsi="Times New Roman" w:eastAsiaTheme="minorEastAsia" w:cstheme="minorEastAsia"/>
                      <w:b/>
                      <w:bCs/>
                      <w:color w:val="auto"/>
                      <w:sz w:val="21"/>
                      <w:szCs w:val="21"/>
                      <w:lang w:val="en-US" w:eastAsia="zh-CN"/>
                    </w:rPr>
                    <w:t>废水类型</w:t>
                  </w:r>
                </w:p>
              </w:tc>
              <w:tc>
                <w:tcPr>
                  <w:tcW w:w="1722" w:type="dxa"/>
                  <w:vAlign w:val="center"/>
                </w:tcPr>
                <w:p w14:paraId="14DE44B0">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heme="minorEastAsia" w:cstheme="minorEastAsia"/>
                      <w:b/>
                      <w:bCs/>
                      <w:color w:val="auto"/>
                      <w:sz w:val="21"/>
                      <w:szCs w:val="21"/>
                    </w:rPr>
                    <w:t>指标</w:t>
                  </w:r>
                </w:p>
              </w:tc>
              <w:tc>
                <w:tcPr>
                  <w:tcW w:w="1092" w:type="dxa"/>
                  <w:vAlign w:val="center"/>
                </w:tcPr>
                <w:p w14:paraId="6CF93DBD">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heme="minorEastAsia" w:cstheme="minorEastAsia"/>
                      <w:b/>
                      <w:bCs/>
                      <w:color w:val="auto"/>
                      <w:sz w:val="21"/>
                      <w:szCs w:val="21"/>
                      <w:lang w:val="en-US" w:eastAsia="zh-CN"/>
                    </w:rPr>
                    <w:t>废水排放量</w:t>
                  </w:r>
                </w:p>
              </w:tc>
              <w:tc>
                <w:tcPr>
                  <w:tcW w:w="888" w:type="dxa"/>
                  <w:vAlign w:val="center"/>
                </w:tcPr>
                <w:p w14:paraId="34691432">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imes New Roman"/>
                      <w:b/>
                      <w:bCs/>
                      <w:color w:val="auto"/>
                      <w:sz w:val="21"/>
                      <w:szCs w:val="21"/>
                    </w:rPr>
                    <w:t>CODcr</w:t>
                  </w:r>
                </w:p>
              </w:tc>
              <w:tc>
                <w:tcPr>
                  <w:tcW w:w="800" w:type="dxa"/>
                  <w:vAlign w:val="center"/>
                </w:tcPr>
                <w:p w14:paraId="57650187">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imes New Roman"/>
                      <w:b/>
                      <w:bCs/>
                      <w:color w:val="auto"/>
                      <w:sz w:val="21"/>
                      <w:szCs w:val="21"/>
                    </w:rPr>
                    <w:t>BOD</w:t>
                  </w:r>
                  <w:r>
                    <w:rPr>
                      <w:rFonts w:hint="eastAsia" w:ascii="Times New Roman" w:hAnsi="Times New Roman" w:eastAsia="Times New Roman"/>
                      <w:b/>
                      <w:bCs/>
                      <w:color w:val="auto"/>
                      <w:sz w:val="21"/>
                      <w:szCs w:val="21"/>
                      <w:vertAlign w:val="subscript"/>
                    </w:rPr>
                    <w:t>5</w:t>
                  </w:r>
                </w:p>
              </w:tc>
              <w:tc>
                <w:tcPr>
                  <w:tcW w:w="1100" w:type="dxa"/>
                  <w:vAlign w:val="center"/>
                </w:tcPr>
                <w:p w14:paraId="70F94FC3">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imes New Roman"/>
                      <w:b/>
                      <w:bCs/>
                      <w:color w:val="auto"/>
                      <w:sz w:val="21"/>
                      <w:szCs w:val="21"/>
                    </w:rPr>
                    <w:t>NH</w:t>
                  </w:r>
                  <w:r>
                    <w:rPr>
                      <w:rFonts w:hint="eastAsia" w:ascii="Times New Roman" w:hAnsi="Times New Roman" w:eastAsia="Times New Roman"/>
                      <w:b/>
                      <w:bCs/>
                      <w:color w:val="auto"/>
                      <w:sz w:val="21"/>
                      <w:szCs w:val="21"/>
                      <w:vertAlign w:val="subscript"/>
                    </w:rPr>
                    <w:t>3</w:t>
                  </w:r>
                  <w:r>
                    <w:rPr>
                      <w:rFonts w:hint="eastAsia" w:ascii="Times New Roman" w:hAnsi="Times New Roman" w:eastAsia="Times New Roman"/>
                      <w:b/>
                      <w:bCs/>
                      <w:color w:val="auto"/>
                      <w:sz w:val="21"/>
                      <w:szCs w:val="21"/>
                    </w:rPr>
                    <w:t>-N</w:t>
                  </w:r>
                </w:p>
              </w:tc>
              <w:tc>
                <w:tcPr>
                  <w:tcW w:w="875" w:type="dxa"/>
                  <w:vAlign w:val="center"/>
                </w:tcPr>
                <w:p w14:paraId="274C5443">
                  <w:pPr>
                    <w:jc w:val="center"/>
                    <w:rPr>
                      <w:rFonts w:hint="eastAsia" w:ascii="Times New Roman" w:hAnsi="Times New Roman" w:eastAsiaTheme="minorEastAsia" w:cstheme="minorEastAsia"/>
                      <w:b/>
                      <w:bCs/>
                      <w:color w:val="auto"/>
                      <w:sz w:val="21"/>
                      <w:szCs w:val="21"/>
                    </w:rPr>
                  </w:pPr>
                  <w:r>
                    <w:rPr>
                      <w:rFonts w:hint="eastAsia" w:ascii="Times New Roman" w:hAnsi="Times New Roman" w:eastAsia="Times New Roman"/>
                      <w:b/>
                      <w:bCs/>
                      <w:color w:val="auto"/>
                      <w:sz w:val="21"/>
                      <w:szCs w:val="21"/>
                    </w:rPr>
                    <w:t>总磷</w:t>
                  </w:r>
                </w:p>
              </w:tc>
            </w:tr>
            <w:tr w14:paraId="4FB1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1338" w:type="dxa"/>
                  <w:vMerge w:val="restart"/>
                  <w:vAlign w:val="center"/>
                </w:tcPr>
                <w:p w14:paraId="0575310F">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洗涤废水</w:t>
                  </w:r>
                </w:p>
              </w:tc>
              <w:tc>
                <w:tcPr>
                  <w:tcW w:w="1722" w:type="dxa"/>
                  <w:vAlign w:val="center"/>
                </w:tcPr>
                <w:p w14:paraId="44EC4B5B">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排放浓度（mg/L）</w:t>
                  </w:r>
                </w:p>
              </w:tc>
              <w:tc>
                <w:tcPr>
                  <w:tcW w:w="1092" w:type="dxa"/>
                  <w:vAlign w:val="center"/>
                </w:tcPr>
                <w:p w14:paraId="680237EF">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w:t>
                  </w:r>
                </w:p>
              </w:tc>
              <w:tc>
                <w:tcPr>
                  <w:tcW w:w="888" w:type="dxa"/>
                  <w:vAlign w:val="center"/>
                </w:tcPr>
                <w:p w14:paraId="5B08C2C6">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350</w:t>
                  </w:r>
                </w:p>
              </w:tc>
              <w:tc>
                <w:tcPr>
                  <w:tcW w:w="800" w:type="dxa"/>
                  <w:vAlign w:val="center"/>
                </w:tcPr>
                <w:p w14:paraId="15019F0B">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s="Times New Roman"/>
                      <w:color w:val="auto"/>
                      <w:kern w:val="2"/>
                      <w:sz w:val="21"/>
                      <w:szCs w:val="21"/>
                      <w:lang w:val="en-US" w:eastAsia="zh-CN" w:bidi="ar-SA"/>
                    </w:rPr>
                    <w:t>125.6</w:t>
                  </w:r>
                </w:p>
              </w:tc>
              <w:tc>
                <w:tcPr>
                  <w:tcW w:w="1100" w:type="dxa"/>
                  <w:vAlign w:val="center"/>
                </w:tcPr>
                <w:p w14:paraId="4770011A">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33</w:t>
                  </w:r>
                </w:p>
              </w:tc>
              <w:tc>
                <w:tcPr>
                  <w:tcW w:w="875" w:type="dxa"/>
                  <w:vAlign w:val="center"/>
                </w:tcPr>
                <w:p w14:paraId="5C7C2AFA">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5.5</w:t>
                  </w:r>
                </w:p>
              </w:tc>
            </w:tr>
            <w:tr w14:paraId="2E8F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1338" w:type="dxa"/>
                  <w:vMerge w:val="continue"/>
                  <w:vAlign w:val="center"/>
                </w:tcPr>
                <w:p w14:paraId="26DF2A4D">
                  <w:pPr>
                    <w:jc w:val="center"/>
                    <w:rPr>
                      <w:rFonts w:hint="eastAsia" w:ascii="Times New Roman" w:hAnsi="Times New Roman" w:eastAsiaTheme="minorEastAsia" w:cstheme="minorEastAsia"/>
                      <w:color w:val="auto"/>
                      <w:sz w:val="21"/>
                      <w:szCs w:val="21"/>
                    </w:rPr>
                  </w:pPr>
                </w:p>
              </w:tc>
              <w:tc>
                <w:tcPr>
                  <w:tcW w:w="1722" w:type="dxa"/>
                  <w:vAlign w:val="center"/>
                </w:tcPr>
                <w:p w14:paraId="0A2177E7">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排放量（t/a）</w:t>
                  </w:r>
                </w:p>
              </w:tc>
              <w:tc>
                <w:tcPr>
                  <w:tcW w:w="1092" w:type="dxa"/>
                  <w:vAlign w:val="center"/>
                </w:tcPr>
                <w:p w14:paraId="09279E97">
                  <w:pPr>
                    <w:jc w:val="center"/>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10320</w:t>
                  </w:r>
                </w:p>
              </w:tc>
              <w:tc>
                <w:tcPr>
                  <w:tcW w:w="888" w:type="dxa"/>
                  <w:vAlign w:val="center"/>
                </w:tcPr>
                <w:p w14:paraId="213F7A3B">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 xml:space="preserve">3.61 </w:t>
                  </w:r>
                </w:p>
              </w:tc>
              <w:tc>
                <w:tcPr>
                  <w:tcW w:w="800" w:type="dxa"/>
                  <w:vAlign w:val="center"/>
                </w:tcPr>
                <w:p w14:paraId="766F7234">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1.30</w:t>
                  </w:r>
                </w:p>
              </w:tc>
              <w:tc>
                <w:tcPr>
                  <w:tcW w:w="1100" w:type="dxa"/>
                  <w:vAlign w:val="center"/>
                </w:tcPr>
                <w:p w14:paraId="686DE0BC">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0.34</w:t>
                  </w:r>
                </w:p>
              </w:tc>
              <w:tc>
                <w:tcPr>
                  <w:tcW w:w="875" w:type="dxa"/>
                  <w:vAlign w:val="center"/>
                </w:tcPr>
                <w:p w14:paraId="43B51F2C">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 xml:space="preserve">0.057 </w:t>
                  </w:r>
                </w:p>
              </w:tc>
            </w:tr>
            <w:tr w14:paraId="6CA2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8" w:type="dxa"/>
                  <w:vAlign w:val="center"/>
                </w:tcPr>
                <w:p w14:paraId="2B23FDE0">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default" w:ascii="Times New Roman" w:hAnsi="Times New Roman" w:eastAsia="宋体" w:cs="Times New Roman"/>
                      <w:color w:val="auto"/>
                      <w:sz w:val="21"/>
                      <w:szCs w:val="21"/>
                      <w:vertAlign w:val="baseline"/>
                      <w:lang w:val="en-US" w:eastAsia="zh-CN"/>
                    </w:rPr>
                    <w:t>软化</w:t>
                  </w:r>
                  <w:r>
                    <w:rPr>
                      <w:rFonts w:hint="eastAsia" w:ascii="Times New Roman" w:hAnsi="Times New Roman" w:eastAsia="宋体" w:cs="Times New Roman"/>
                      <w:color w:val="auto"/>
                      <w:sz w:val="21"/>
                      <w:szCs w:val="21"/>
                      <w:vertAlign w:val="baseline"/>
                      <w:lang w:val="en-US" w:eastAsia="zh-CN"/>
                    </w:rPr>
                    <w:t>制备</w:t>
                  </w:r>
                  <w:r>
                    <w:rPr>
                      <w:rFonts w:hint="default" w:ascii="Times New Roman" w:hAnsi="Times New Roman" w:eastAsia="宋体" w:cs="Times New Roman"/>
                      <w:color w:val="auto"/>
                      <w:sz w:val="21"/>
                      <w:szCs w:val="21"/>
                      <w:vertAlign w:val="baseline"/>
                      <w:lang w:val="en-US" w:eastAsia="zh-CN"/>
                    </w:rPr>
                    <w:t>废水</w:t>
                  </w:r>
                </w:p>
              </w:tc>
              <w:tc>
                <w:tcPr>
                  <w:tcW w:w="1722" w:type="dxa"/>
                  <w:vAlign w:val="center"/>
                </w:tcPr>
                <w:p w14:paraId="4FE4BD13">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排放量（t/a）</w:t>
                  </w:r>
                </w:p>
              </w:tc>
              <w:tc>
                <w:tcPr>
                  <w:tcW w:w="1092" w:type="dxa"/>
                  <w:vAlign w:val="center"/>
                </w:tcPr>
                <w:p w14:paraId="71003BC4">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108</w:t>
                  </w:r>
                </w:p>
              </w:tc>
              <w:tc>
                <w:tcPr>
                  <w:tcW w:w="888" w:type="dxa"/>
                  <w:vAlign w:val="center"/>
                </w:tcPr>
                <w:p w14:paraId="5B511B1D">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00" w:type="dxa"/>
                  <w:vAlign w:val="center"/>
                </w:tcPr>
                <w:p w14:paraId="47A4EB7D">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1100" w:type="dxa"/>
                  <w:vAlign w:val="center"/>
                </w:tcPr>
                <w:p w14:paraId="6FE0FCF7">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75" w:type="dxa"/>
                  <w:vAlign w:val="center"/>
                </w:tcPr>
                <w:p w14:paraId="27BA0F72">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r>
            <w:tr w14:paraId="199D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338" w:type="dxa"/>
                  <w:vAlign w:val="center"/>
                </w:tcPr>
                <w:p w14:paraId="1242809E">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锅炉排污水</w:t>
                  </w:r>
                </w:p>
              </w:tc>
              <w:tc>
                <w:tcPr>
                  <w:tcW w:w="1722" w:type="dxa"/>
                  <w:vAlign w:val="center"/>
                </w:tcPr>
                <w:p w14:paraId="21576829">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排放量（t/a）</w:t>
                  </w:r>
                </w:p>
              </w:tc>
              <w:tc>
                <w:tcPr>
                  <w:tcW w:w="1092" w:type="dxa"/>
                  <w:vAlign w:val="center"/>
                </w:tcPr>
                <w:p w14:paraId="6AFF6A40">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288</w:t>
                  </w:r>
                </w:p>
              </w:tc>
              <w:tc>
                <w:tcPr>
                  <w:tcW w:w="888" w:type="dxa"/>
                  <w:vAlign w:val="center"/>
                </w:tcPr>
                <w:p w14:paraId="7DAB771C">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00" w:type="dxa"/>
                  <w:vAlign w:val="center"/>
                </w:tcPr>
                <w:p w14:paraId="163C2329">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1100" w:type="dxa"/>
                  <w:vAlign w:val="center"/>
                </w:tcPr>
                <w:p w14:paraId="4B1A6FB8">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75" w:type="dxa"/>
                  <w:vAlign w:val="center"/>
                </w:tcPr>
                <w:p w14:paraId="3A281E05">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r>
            <w:tr w14:paraId="46E6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338" w:type="dxa"/>
                  <w:vMerge w:val="restart"/>
                  <w:vAlign w:val="center"/>
                </w:tcPr>
                <w:p w14:paraId="4048CD73">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生活污水</w:t>
                  </w:r>
                </w:p>
              </w:tc>
              <w:tc>
                <w:tcPr>
                  <w:tcW w:w="1722" w:type="dxa"/>
                  <w:vAlign w:val="center"/>
                </w:tcPr>
                <w:p w14:paraId="1782D7EB">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排放浓度（mg/L）</w:t>
                  </w:r>
                </w:p>
              </w:tc>
              <w:tc>
                <w:tcPr>
                  <w:tcW w:w="1092" w:type="dxa"/>
                  <w:vAlign w:val="center"/>
                </w:tcPr>
                <w:p w14:paraId="598B40BB">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w:t>
                  </w:r>
                </w:p>
              </w:tc>
              <w:tc>
                <w:tcPr>
                  <w:tcW w:w="888" w:type="dxa"/>
                  <w:vAlign w:val="top"/>
                </w:tcPr>
                <w:p w14:paraId="33422D7A">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300.93</w:t>
                  </w:r>
                </w:p>
              </w:tc>
              <w:tc>
                <w:tcPr>
                  <w:tcW w:w="800" w:type="dxa"/>
                  <w:vAlign w:val="top"/>
                </w:tcPr>
                <w:p w14:paraId="70F9E7F8">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137</w:t>
                  </w:r>
                </w:p>
              </w:tc>
              <w:tc>
                <w:tcPr>
                  <w:tcW w:w="1100" w:type="dxa"/>
                  <w:vAlign w:val="top"/>
                </w:tcPr>
                <w:p w14:paraId="0C3BC3BA">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19.21</w:t>
                  </w:r>
                </w:p>
              </w:tc>
              <w:tc>
                <w:tcPr>
                  <w:tcW w:w="875" w:type="dxa"/>
                  <w:vAlign w:val="top"/>
                </w:tcPr>
                <w:p w14:paraId="7844BCDE">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4.40</w:t>
                  </w:r>
                </w:p>
              </w:tc>
            </w:tr>
            <w:tr w14:paraId="2A54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1338" w:type="dxa"/>
                  <w:vMerge w:val="continue"/>
                  <w:vAlign w:val="center"/>
                </w:tcPr>
                <w:p w14:paraId="264A06B2">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p>
              </w:tc>
              <w:tc>
                <w:tcPr>
                  <w:tcW w:w="1722" w:type="dxa"/>
                  <w:vAlign w:val="center"/>
                </w:tcPr>
                <w:p w14:paraId="23E08D6D">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排放量（t/a）</w:t>
                  </w:r>
                </w:p>
              </w:tc>
              <w:tc>
                <w:tcPr>
                  <w:tcW w:w="1092" w:type="dxa"/>
                  <w:vAlign w:val="center"/>
                </w:tcPr>
                <w:p w14:paraId="36C5B4D3">
                  <w:pPr>
                    <w:jc w:val="center"/>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43.2</w:t>
                  </w:r>
                </w:p>
              </w:tc>
              <w:tc>
                <w:tcPr>
                  <w:tcW w:w="888" w:type="dxa"/>
                  <w:vAlign w:val="center"/>
                </w:tcPr>
                <w:p w14:paraId="74CF2384">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0.013</w:t>
                  </w:r>
                </w:p>
              </w:tc>
              <w:tc>
                <w:tcPr>
                  <w:tcW w:w="800" w:type="dxa"/>
                  <w:vAlign w:val="center"/>
                </w:tcPr>
                <w:p w14:paraId="4D710F26">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0.0059</w:t>
                  </w:r>
                </w:p>
              </w:tc>
              <w:tc>
                <w:tcPr>
                  <w:tcW w:w="1100" w:type="dxa"/>
                  <w:vAlign w:val="center"/>
                </w:tcPr>
                <w:p w14:paraId="4A1CDDBE">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0.00083</w:t>
                  </w:r>
                </w:p>
              </w:tc>
              <w:tc>
                <w:tcPr>
                  <w:tcW w:w="875" w:type="dxa"/>
                  <w:vAlign w:val="center"/>
                </w:tcPr>
                <w:p w14:paraId="737E6E7F">
                  <w:pPr>
                    <w:ind w:left="0" w:leftChars="0" w:right="0" w:rightChars="0"/>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0.00019</w:t>
                  </w:r>
                </w:p>
              </w:tc>
            </w:tr>
            <w:tr w14:paraId="108E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060" w:type="dxa"/>
                  <w:gridSpan w:val="2"/>
                  <w:vAlign w:val="center"/>
                </w:tcPr>
                <w:p w14:paraId="712F2F46">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合计</w:t>
                  </w:r>
                  <w:r>
                    <w:rPr>
                      <w:rFonts w:hint="eastAsia" w:ascii="Times New Roman" w:hAnsi="Times New Roman" w:eastAsiaTheme="minorEastAsia" w:cstheme="minorEastAsia"/>
                      <w:color w:val="auto"/>
                      <w:sz w:val="21"/>
                      <w:szCs w:val="21"/>
                    </w:rPr>
                    <w:t>（t/a）</w:t>
                  </w:r>
                </w:p>
              </w:tc>
              <w:tc>
                <w:tcPr>
                  <w:tcW w:w="1092" w:type="dxa"/>
                  <w:vAlign w:val="center"/>
                </w:tcPr>
                <w:p w14:paraId="3D5105BE">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10759.2</w:t>
                  </w:r>
                </w:p>
              </w:tc>
              <w:tc>
                <w:tcPr>
                  <w:tcW w:w="888" w:type="dxa"/>
                  <w:vAlign w:val="center"/>
                </w:tcPr>
                <w:p w14:paraId="0D4FAFA7">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3.623</w:t>
                  </w:r>
                </w:p>
              </w:tc>
              <w:tc>
                <w:tcPr>
                  <w:tcW w:w="800" w:type="dxa"/>
                  <w:vAlign w:val="center"/>
                </w:tcPr>
                <w:p w14:paraId="1856CA17">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1.3059</w:t>
                  </w:r>
                </w:p>
              </w:tc>
              <w:tc>
                <w:tcPr>
                  <w:tcW w:w="1100" w:type="dxa"/>
                  <w:vAlign w:val="center"/>
                </w:tcPr>
                <w:p w14:paraId="0FB172CF">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Theme="minorEastAsia" w:cstheme="minorEastAsia"/>
                      <w:color w:val="auto"/>
                      <w:sz w:val="21"/>
                      <w:szCs w:val="21"/>
                    </w:rPr>
                  </w:pPr>
                  <w:r>
                    <w:rPr>
                      <w:rFonts w:hint="eastAsia" w:ascii="Times New Roman" w:hAnsi="Times New Roman" w:eastAsia="宋体" w:cs="Times New Roman"/>
                      <w:color w:val="auto"/>
                      <w:sz w:val="21"/>
                      <w:szCs w:val="21"/>
                      <w:vertAlign w:val="baseline"/>
                      <w:lang w:val="en-US" w:eastAsia="zh-CN"/>
                    </w:rPr>
                    <w:t>0.34083</w:t>
                  </w:r>
                </w:p>
              </w:tc>
              <w:tc>
                <w:tcPr>
                  <w:tcW w:w="875" w:type="dxa"/>
                  <w:vAlign w:val="center"/>
                </w:tcPr>
                <w:p w14:paraId="2E05A094">
                  <w:pPr>
                    <w:pStyle w:val="16"/>
                    <w:keepNext w:val="0"/>
                    <w:keepLines w:val="0"/>
                    <w:pageBreakBefore w:val="0"/>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ascii="Times New Roman" w:hAnsi="Times New Roman"/>
                      <w:color w:val="auto"/>
                      <w:sz w:val="21"/>
                      <w:szCs w:val="21"/>
                    </w:rPr>
                  </w:pPr>
                  <w:r>
                    <w:rPr>
                      <w:rFonts w:hint="eastAsia" w:ascii="Times New Roman" w:hAnsi="Times New Roman" w:eastAsia="宋体" w:cs="Times New Roman"/>
                      <w:color w:val="auto"/>
                      <w:sz w:val="21"/>
                      <w:szCs w:val="21"/>
                      <w:vertAlign w:val="baseline"/>
                      <w:lang w:val="en-US" w:eastAsia="zh-CN"/>
                    </w:rPr>
                    <w:t>0.05719</w:t>
                  </w:r>
                </w:p>
              </w:tc>
            </w:tr>
            <w:tr w14:paraId="5CD5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060" w:type="dxa"/>
                  <w:gridSpan w:val="2"/>
                  <w:vAlign w:val="center"/>
                </w:tcPr>
                <w:p w14:paraId="27F4C49B">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标准值</w:t>
                  </w:r>
                  <w:r>
                    <w:rPr>
                      <w:rFonts w:hint="eastAsia" w:ascii="Times New Roman" w:hAnsi="Times New Roman" w:eastAsiaTheme="minorEastAsia" w:cstheme="minorEastAsia"/>
                      <w:color w:val="auto"/>
                      <w:sz w:val="21"/>
                      <w:szCs w:val="21"/>
                    </w:rPr>
                    <w:t>（mg/L）</w:t>
                  </w:r>
                </w:p>
              </w:tc>
              <w:tc>
                <w:tcPr>
                  <w:tcW w:w="1092" w:type="dxa"/>
                  <w:vAlign w:val="top"/>
                </w:tcPr>
                <w:p w14:paraId="6FE0BAA2">
                  <w:pPr>
                    <w:jc w:val="center"/>
                    <w:rPr>
                      <w:rFonts w:hint="default"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w:t>
                  </w:r>
                </w:p>
              </w:tc>
              <w:tc>
                <w:tcPr>
                  <w:tcW w:w="888" w:type="dxa"/>
                  <w:vAlign w:val="top"/>
                </w:tcPr>
                <w:p w14:paraId="6BAC3EB1">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500</w:t>
                  </w:r>
                </w:p>
              </w:tc>
              <w:tc>
                <w:tcPr>
                  <w:tcW w:w="800" w:type="dxa"/>
                  <w:vAlign w:val="top"/>
                </w:tcPr>
                <w:p w14:paraId="7F093C35">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350</w:t>
                  </w:r>
                </w:p>
              </w:tc>
              <w:tc>
                <w:tcPr>
                  <w:tcW w:w="1100" w:type="dxa"/>
                  <w:vAlign w:val="top"/>
                </w:tcPr>
                <w:p w14:paraId="40B16F59">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20</w:t>
                  </w:r>
                </w:p>
              </w:tc>
              <w:tc>
                <w:tcPr>
                  <w:tcW w:w="875" w:type="dxa"/>
                  <w:vAlign w:val="top"/>
                </w:tcPr>
                <w:p w14:paraId="1704FA83">
                  <w:pPr>
                    <w:jc w:val="center"/>
                    <w:rPr>
                      <w:rFonts w:hint="eastAsia" w:ascii="Times New Roman" w:hAnsi="Times New Roman" w:eastAsiaTheme="minorEastAsia" w:cstheme="minorEastAsia"/>
                      <w:color w:val="auto"/>
                      <w:sz w:val="21"/>
                      <w:szCs w:val="21"/>
                    </w:rPr>
                  </w:pPr>
                  <w:r>
                    <w:rPr>
                      <w:rFonts w:hint="eastAsia" w:ascii="Times New Roman" w:hAnsi="Times New Roman" w:eastAsia="Times New Roman"/>
                      <w:color w:val="auto"/>
                      <w:sz w:val="21"/>
                      <w:szCs w:val="21"/>
                      <w:lang w:val="en-US" w:eastAsia="zh-CN"/>
                    </w:rPr>
                    <w:t>8</w:t>
                  </w:r>
                </w:p>
              </w:tc>
            </w:tr>
            <w:tr w14:paraId="6877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3060" w:type="dxa"/>
                  <w:gridSpan w:val="2"/>
                  <w:vAlign w:val="center"/>
                </w:tcPr>
                <w:p w14:paraId="7E9E9B06">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达标情况</w:t>
                  </w:r>
                </w:p>
              </w:tc>
              <w:tc>
                <w:tcPr>
                  <w:tcW w:w="1092" w:type="dxa"/>
                  <w:vAlign w:val="top"/>
                </w:tcPr>
                <w:p w14:paraId="64A20E67">
                  <w:pPr>
                    <w:jc w:val="center"/>
                    <w:rPr>
                      <w:rFonts w:hint="eastAsia" w:ascii="Times New Roman" w:hAnsi="Times New Roman" w:eastAsiaTheme="minorEastAsia" w:cstheme="minorEastAsia"/>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888" w:type="dxa"/>
                  <w:vAlign w:val="top"/>
                </w:tcPr>
                <w:p w14:paraId="20F3B9F0">
                  <w:pPr>
                    <w:jc w:val="center"/>
                    <w:rPr>
                      <w:rFonts w:hint="eastAsia" w:ascii="Times New Roman" w:hAnsi="Times New Roman" w:eastAsiaTheme="minorEastAsia" w:cstheme="minorEastAsia"/>
                      <w:color w:val="auto"/>
                      <w:sz w:val="21"/>
                      <w:szCs w:val="21"/>
                    </w:rPr>
                  </w:pPr>
                  <w:r>
                    <w:rPr>
                      <w:rFonts w:hint="default" w:ascii="Times New Roman" w:hAnsi="Times New Roman" w:eastAsia="Times New Roman" w:cs="Times New Roman"/>
                      <w:color w:val="auto"/>
                      <w:kern w:val="0"/>
                      <w:sz w:val="21"/>
                      <w:szCs w:val="21"/>
                      <w:lang w:val="en-US" w:eastAsia="zh-CN" w:bidi="ar"/>
                    </w:rPr>
                    <w:t>达标</w:t>
                  </w:r>
                </w:p>
              </w:tc>
              <w:tc>
                <w:tcPr>
                  <w:tcW w:w="800" w:type="dxa"/>
                  <w:vAlign w:val="top"/>
                </w:tcPr>
                <w:p w14:paraId="04953ADC">
                  <w:pPr>
                    <w:jc w:val="center"/>
                    <w:rPr>
                      <w:rFonts w:hint="eastAsia" w:ascii="Times New Roman" w:hAnsi="Times New Roman" w:eastAsiaTheme="minorEastAsia" w:cstheme="minorEastAsia"/>
                      <w:color w:val="auto"/>
                      <w:sz w:val="21"/>
                      <w:szCs w:val="21"/>
                    </w:rPr>
                  </w:pPr>
                  <w:r>
                    <w:rPr>
                      <w:rFonts w:hint="default" w:ascii="Times New Roman" w:hAnsi="Times New Roman" w:eastAsia="Times New Roman" w:cs="Times New Roman"/>
                      <w:color w:val="auto"/>
                      <w:kern w:val="0"/>
                      <w:sz w:val="21"/>
                      <w:szCs w:val="21"/>
                      <w:lang w:val="en-US" w:eastAsia="zh-CN" w:bidi="ar"/>
                    </w:rPr>
                    <w:t>达标</w:t>
                  </w:r>
                </w:p>
              </w:tc>
              <w:tc>
                <w:tcPr>
                  <w:tcW w:w="1100" w:type="dxa"/>
                  <w:vAlign w:val="top"/>
                </w:tcPr>
                <w:p w14:paraId="6138BFDC">
                  <w:pPr>
                    <w:jc w:val="center"/>
                    <w:rPr>
                      <w:rFonts w:hint="eastAsia" w:ascii="Times New Roman" w:hAnsi="Times New Roman" w:eastAsiaTheme="minorEastAsia" w:cstheme="minorEastAsia"/>
                      <w:color w:val="auto"/>
                      <w:sz w:val="21"/>
                      <w:szCs w:val="21"/>
                    </w:rPr>
                  </w:pPr>
                  <w:r>
                    <w:rPr>
                      <w:rFonts w:hint="default" w:ascii="Times New Roman" w:hAnsi="Times New Roman" w:eastAsia="Times New Roman" w:cs="Times New Roman"/>
                      <w:color w:val="auto"/>
                      <w:kern w:val="0"/>
                      <w:sz w:val="21"/>
                      <w:szCs w:val="21"/>
                      <w:lang w:val="en-US" w:eastAsia="zh-CN" w:bidi="ar"/>
                    </w:rPr>
                    <w:t>达标</w:t>
                  </w:r>
                </w:p>
              </w:tc>
              <w:tc>
                <w:tcPr>
                  <w:tcW w:w="875" w:type="dxa"/>
                  <w:vAlign w:val="top"/>
                </w:tcPr>
                <w:p w14:paraId="3857FDAC">
                  <w:pPr>
                    <w:jc w:val="center"/>
                    <w:rPr>
                      <w:rFonts w:hint="eastAsia" w:ascii="Times New Roman" w:hAnsi="Times New Roman" w:eastAsiaTheme="minorEastAsia" w:cstheme="minorEastAsia"/>
                      <w:color w:val="auto"/>
                      <w:sz w:val="21"/>
                      <w:szCs w:val="21"/>
                    </w:rPr>
                  </w:pPr>
                  <w:r>
                    <w:rPr>
                      <w:rFonts w:hint="default" w:ascii="Times New Roman" w:hAnsi="Times New Roman" w:eastAsia="Times New Roman" w:cs="Times New Roman"/>
                      <w:color w:val="auto"/>
                      <w:kern w:val="0"/>
                      <w:sz w:val="21"/>
                      <w:szCs w:val="21"/>
                      <w:lang w:val="en-US" w:eastAsia="zh-CN" w:bidi="ar"/>
                    </w:rPr>
                    <w:t>达标</w:t>
                  </w:r>
                </w:p>
              </w:tc>
            </w:tr>
            <w:tr w14:paraId="71DC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3060" w:type="dxa"/>
                  <w:gridSpan w:val="2"/>
                  <w:vMerge w:val="restart"/>
                  <w:vAlign w:val="center"/>
                </w:tcPr>
                <w:p w14:paraId="4441B87D">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rPr>
                    <w:t>排放口基本情况</w:t>
                  </w:r>
                </w:p>
              </w:tc>
              <w:tc>
                <w:tcPr>
                  <w:tcW w:w="1092" w:type="dxa"/>
                  <w:vAlign w:val="center"/>
                </w:tcPr>
                <w:p w14:paraId="770319F5">
                  <w:pPr>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rPr>
                    <w:t>排放去向</w:t>
                  </w:r>
                </w:p>
              </w:tc>
              <w:tc>
                <w:tcPr>
                  <w:tcW w:w="3663" w:type="dxa"/>
                  <w:gridSpan w:val="4"/>
                  <w:vAlign w:val="center"/>
                </w:tcPr>
                <w:p w14:paraId="3752CDC7">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生产废水经三级沉淀处理后与经化粪池处理后的生活污水合并，经综合废水总排口（DW001）排入易天线市政污水管网，最终进入寻甸县污水处理厂统一处理</w:t>
                  </w:r>
                </w:p>
              </w:tc>
            </w:tr>
            <w:tr w14:paraId="0DA0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3060" w:type="dxa"/>
                  <w:gridSpan w:val="2"/>
                  <w:vMerge w:val="continue"/>
                  <w:vAlign w:val="center"/>
                </w:tcPr>
                <w:p w14:paraId="7EE09E6C">
                  <w:pPr>
                    <w:jc w:val="center"/>
                    <w:rPr>
                      <w:rFonts w:hint="eastAsia" w:ascii="Times New Roman" w:hAnsi="Times New Roman" w:eastAsiaTheme="minorEastAsia" w:cstheme="minorEastAsia"/>
                      <w:color w:val="auto"/>
                      <w:sz w:val="21"/>
                      <w:szCs w:val="21"/>
                    </w:rPr>
                  </w:pPr>
                </w:p>
              </w:tc>
              <w:tc>
                <w:tcPr>
                  <w:tcW w:w="1092" w:type="dxa"/>
                  <w:vAlign w:val="center"/>
                </w:tcPr>
                <w:p w14:paraId="125CFA10">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排放</w:t>
                  </w:r>
                  <w:r>
                    <w:rPr>
                      <w:rFonts w:hint="eastAsia" w:ascii="Times New Roman" w:hAnsi="Times New Roman" w:eastAsiaTheme="minorEastAsia" w:cstheme="minorEastAsia"/>
                      <w:color w:val="auto"/>
                      <w:sz w:val="21"/>
                      <w:szCs w:val="21"/>
                      <w:lang w:val="en-US" w:eastAsia="zh-CN"/>
                    </w:rPr>
                    <w:t>口</w:t>
                  </w:r>
                  <w:r>
                    <w:rPr>
                      <w:rFonts w:hint="eastAsia" w:ascii="Times New Roman" w:hAnsi="Times New Roman" w:eastAsiaTheme="minorEastAsia" w:cstheme="minorEastAsia"/>
                      <w:color w:val="auto"/>
                      <w:sz w:val="21"/>
                      <w:szCs w:val="21"/>
                    </w:rPr>
                    <w:t>名称</w:t>
                  </w:r>
                </w:p>
              </w:tc>
              <w:tc>
                <w:tcPr>
                  <w:tcW w:w="3663" w:type="dxa"/>
                  <w:gridSpan w:val="4"/>
                  <w:vAlign w:val="center"/>
                </w:tcPr>
                <w:p w14:paraId="6561714B">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综合废水总排口DW001</w:t>
                  </w:r>
                </w:p>
              </w:tc>
            </w:tr>
            <w:tr w14:paraId="08A3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3060" w:type="dxa"/>
                  <w:gridSpan w:val="2"/>
                  <w:vMerge w:val="continue"/>
                  <w:vAlign w:val="center"/>
                </w:tcPr>
                <w:p w14:paraId="462684E9">
                  <w:pPr>
                    <w:jc w:val="center"/>
                    <w:rPr>
                      <w:rFonts w:hint="eastAsia" w:ascii="Times New Roman" w:hAnsi="Times New Roman" w:eastAsiaTheme="minorEastAsia" w:cstheme="minorEastAsia"/>
                      <w:color w:val="auto"/>
                      <w:sz w:val="21"/>
                      <w:szCs w:val="21"/>
                    </w:rPr>
                  </w:pPr>
                </w:p>
              </w:tc>
              <w:tc>
                <w:tcPr>
                  <w:tcW w:w="1092" w:type="dxa"/>
                  <w:vAlign w:val="center"/>
                </w:tcPr>
                <w:p w14:paraId="57E62E97">
                  <w:pPr>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地理坐标</w:t>
                  </w:r>
                </w:p>
              </w:tc>
              <w:tc>
                <w:tcPr>
                  <w:tcW w:w="3663" w:type="dxa"/>
                  <w:gridSpan w:val="4"/>
                  <w:vAlign w:val="center"/>
                </w:tcPr>
                <w:p w14:paraId="2B64FD4E">
                  <w:pPr>
                    <w:jc w:val="center"/>
                    <w:rPr>
                      <w:rFonts w:hint="eastAsia" w:ascii="Times New Roman" w:hAnsi="Times New Roman" w:eastAsiaTheme="minorEastAsia" w:cstheme="minorEastAsia"/>
                      <w:color w:val="auto"/>
                      <w:sz w:val="21"/>
                      <w:szCs w:val="21"/>
                    </w:rPr>
                  </w:pPr>
                  <w:r>
                    <w:rPr>
                      <w:rFonts w:ascii="Times New Roman" w:hAnsi="Times New Roman" w:eastAsia="Times New Roman" w:cs="Times New Roman"/>
                      <w:color w:val="auto"/>
                      <w:spacing w:val="-1"/>
                      <w:sz w:val="21"/>
                      <w:szCs w:val="21"/>
                    </w:rPr>
                    <w:t>E</w:t>
                  </w:r>
                  <w:r>
                    <w:rPr>
                      <w:rFonts w:hint="eastAsia" w:ascii="Times New Roman" w:hAnsi="Times New Roman" w:eastAsia="宋体" w:cs="Times New Roman"/>
                      <w:color w:val="auto"/>
                      <w:spacing w:val="-1"/>
                      <w:sz w:val="21"/>
                      <w:szCs w:val="21"/>
                      <w:lang w:val="en-US" w:eastAsia="zh-CN"/>
                    </w:rPr>
                    <w:t>103</w:t>
                  </w:r>
                  <w:r>
                    <w:rPr>
                      <w:rFonts w:ascii="Times New Roman" w:hAnsi="Times New Roman" w:eastAsia="Times New Roman" w:cs="Times New Roman"/>
                      <w:color w:val="auto"/>
                      <w:spacing w:val="-1"/>
                      <w:sz w:val="21"/>
                      <w:szCs w:val="21"/>
                    </w:rPr>
                    <w:t>°</w:t>
                  </w:r>
                  <w:r>
                    <w:rPr>
                      <w:rFonts w:hint="eastAsia" w:ascii="Times New Roman" w:hAnsi="Times New Roman" w:eastAsia="宋体" w:cs="Times New Roman"/>
                      <w:color w:val="auto"/>
                      <w:spacing w:val="-1"/>
                      <w:sz w:val="21"/>
                      <w:szCs w:val="21"/>
                      <w:lang w:val="en-US" w:eastAsia="zh-CN"/>
                    </w:rPr>
                    <w:t>1</w:t>
                  </w:r>
                  <w:r>
                    <w:rPr>
                      <w:rFonts w:ascii="Times New Roman" w:hAnsi="Times New Roman" w:eastAsia="Times New Roman" w:cs="Times New Roman"/>
                      <w:color w:val="auto"/>
                      <w:spacing w:val="-1"/>
                      <w:sz w:val="21"/>
                      <w:szCs w:val="21"/>
                    </w:rPr>
                    <w:t>4′</w:t>
                  </w:r>
                  <w:r>
                    <w:rPr>
                      <w:rFonts w:hint="eastAsia" w:ascii="Times New Roman" w:hAnsi="Times New Roman" w:eastAsia="宋体" w:cs="Times New Roman"/>
                      <w:color w:val="auto"/>
                      <w:spacing w:val="-1"/>
                      <w:sz w:val="21"/>
                      <w:szCs w:val="21"/>
                      <w:lang w:val="en-US" w:eastAsia="zh-CN"/>
                    </w:rPr>
                    <w:t>59.629</w:t>
                  </w:r>
                  <w:r>
                    <w:rPr>
                      <w:rFonts w:ascii="Times New Roman" w:hAnsi="Times New Roman" w:eastAsia="Times New Roman" w:cs="Times New Roman"/>
                      <w:color w:val="auto"/>
                      <w:spacing w:val="-1"/>
                      <w:sz w:val="21"/>
                      <w:szCs w:val="21"/>
                    </w:rPr>
                    <w:t>″</w:t>
                  </w:r>
                  <w:r>
                    <w:rPr>
                      <w:rFonts w:ascii="Times New Roman" w:hAnsi="Times New Roman" w:eastAsia="Times New Roman" w:cs="Times New Roman"/>
                      <w:color w:val="auto"/>
                      <w:spacing w:val="-23"/>
                      <w:sz w:val="21"/>
                      <w:szCs w:val="21"/>
                    </w:rPr>
                    <w:t xml:space="preserve"> </w:t>
                  </w:r>
                  <w:r>
                    <w:rPr>
                      <w:rFonts w:ascii="Times New Roman" w:hAnsi="Times New Roman"/>
                      <w:color w:val="auto"/>
                      <w:spacing w:val="-1"/>
                      <w:sz w:val="21"/>
                      <w:szCs w:val="21"/>
                    </w:rPr>
                    <w:t>，</w:t>
                  </w:r>
                  <w:r>
                    <w:rPr>
                      <w:rFonts w:ascii="Times New Roman" w:hAnsi="Times New Roman" w:eastAsia="Times New Roman" w:cs="Times New Roman"/>
                      <w:color w:val="auto"/>
                      <w:spacing w:val="-1"/>
                      <w:sz w:val="21"/>
                      <w:szCs w:val="21"/>
                    </w:rPr>
                    <w:t>2</w:t>
                  </w:r>
                  <w:r>
                    <w:rPr>
                      <w:rFonts w:hint="eastAsia" w:ascii="Times New Roman" w:hAnsi="Times New Roman" w:eastAsia="宋体" w:cs="Times New Roman"/>
                      <w:color w:val="auto"/>
                      <w:spacing w:val="-1"/>
                      <w:sz w:val="21"/>
                      <w:szCs w:val="21"/>
                      <w:lang w:val="en-US" w:eastAsia="zh-CN"/>
                    </w:rPr>
                    <w:t>5</w:t>
                  </w:r>
                  <w:r>
                    <w:rPr>
                      <w:rFonts w:ascii="Times New Roman" w:hAnsi="Times New Roman" w:eastAsia="Times New Roman" w:cs="Times New Roman"/>
                      <w:color w:val="auto"/>
                      <w:spacing w:val="-1"/>
                      <w:sz w:val="21"/>
                      <w:szCs w:val="21"/>
                    </w:rPr>
                    <w:t>°3</w:t>
                  </w:r>
                  <w:r>
                    <w:rPr>
                      <w:rFonts w:hint="eastAsia" w:ascii="Times New Roman" w:hAnsi="Times New Roman" w:eastAsia="宋体" w:cs="Times New Roman"/>
                      <w:color w:val="auto"/>
                      <w:spacing w:val="-1"/>
                      <w:sz w:val="21"/>
                      <w:szCs w:val="21"/>
                      <w:lang w:val="en-US" w:eastAsia="zh-CN"/>
                    </w:rPr>
                    <w:t>5</w:t>
                  </w:r>
                  <w:r>
                    <w:rPr>
                      <w:rFonts w:ascii="Times New Roman" w:hAnsi="Times New Roman" w:eastAsia="Times New Roman" w:cs="Times New Roman"/>
                      <w:color w:val="auto"/>
                      <w:spacing w:val="-1"/>
                      <w:sz w:val="21"/>
                      <w:szCs w:val="21"/>
                    </w:rPr>
                    <w:t>′</w:t>
                  </w:r>
                  <w:r>
                    <w:rPr>
                      <w:rFonts w:hint="eastAsia" w:ascii="Times New Roman" w:hAnsi="Times New Roman" w:eastAsia="宋体" w:cs="Times New Roman"/>
                      <w:color w:val="auto"/>
                      <w:spacing w:val="-1"/>
                      <w:sz w:val="21"/>
                      <w:szCs w:val="21"/>
                      <w:lang w:val="en-US" w:eastAsia="zh-CN"/>
                    </w:rPr>
                    <w:t>10.595</w:t>
                  </w:r>
                  <w:r>
                    <w:rPr>
                      <w:rFonts w:ascii="Times New Roman" w:hAnsi="Times New Roman" w:eastAsia="Times New Roman" w:cs="Times New Roman"/>
                      <w:color w:val="auto"/>
                      <w:spacing w:val="-2"/>
                      <w:sz w:val="21"/>
                      <w:szCs w:val="21"/>
                    </w:rPr>
                    <w:t>″</w:t>
                  </w:r>
                </w:p>
              </w:tc>
            </w:tr>
          </w:tbl>
          <w:p w14:paraId="53A422B7">
            <w:pPr>
              <w:adjustRightInd w:val="0"/>
              <w:snapToGrid w:val="0"/>
              <w:spacing w:line="360" w:lineRule="auto"/>
              <w:ind w:firstLine="482" w:firstLineChars="200"/>
              <w:rPr>
                <w:rFonts w:ascii="Times New Roman" w:hAnsi="Times New Roman"/>
                <w:b/>
                <w:color w:val="auto"/>
                <w:sz w:val="24"/>
              </w:rPr>
            </w:pPr>
            <w:r>
              <w:rPr>
                <w:rFonts w:hint="eastAsia" w:ascii="Times New Roman" w:hAnsi="Times New Roman"/>
                <w:b/>
                <w:color w:val="auto"/>
                <w:sz w:val="24"/>
                <w:lang w:val="en-US" w:eastAsia="zh-CN"/>
              </w:rPr>
              <w:t>2</w:t>
            </w:r>
            <w:r>
              <w:rPr>
                <w:rFonts w:hint="eastAsia" w:ascii="Times New Roman" w:hAnsi="Times New Roman"/>
                <w:b/>
                <w:color w:val="auto"/>
                <w:sz w:val="24"/>
              </w:rPr>
              <w:t>、</w:t>
            </w:r>
            <w:r>
              <w:rPr>
                <w:rFonts w:ascii="Times New Roman" w:hAnsi="Times New Roman"/>
                <w:b/>
                <w:color w:val="auto"/>
                <w:sz w:val="24"/>
              </w:rPr>
              <w:t>项目</w:t>
            </w:r>
            <w:r>
              <w:rPr>
                <w:rFonts w:hint="eastAsia" w:ascii="Times New Roman" w:hAnsi="Times New Roman"/>
                <w:b/>
                <w:color w:val="auto"/>
                <w:sz w:val="24"/>
                <w:lang w:val="en-US" w:eastAsia="zh-CN"/>
              </w:rPr>
              <w:t>废水</w:t>
            </w:r>
            <w:r>
              <w:rPr>
                <w:rFonts w:hint="default" w:ascii="Times New Roman" w:hAnsi="Times New Roman" w:eastAsia="宋体" w:cs="Times New Roman"/>
                <w:b/>
                <w:bCs/>
                <w:snapToGrid/>
                <w:color w:val="auto"/>
                <w:kern w:val="2"/>
                <w:sz w:val="24"/>
                <w:szCs w:val="24"/>
                <w:lang w:val="en-US" w:eastAsia="zh-CN" w:bidi="ar-SA"/>
              </w:rPr>
              <w:t>污染治理设施</w:t>
            </w:r>
            <w:r>
              <w:rPr>
                <w:rFonts w:hint="eastAsia" w:ascii="Times New Roman" w:hAnsi="Times New Roman"/>
                <w:b/>
                <w:color w:val="auto"/>
                <w:sz w:val="24"/>
                <w:lang w:val="en-US" w:eastAsia="zh-CN"/>
              </w:rPr>
              <w:t>可行性</w:t>
            </w:r>
            <w:r>
              <w:rPr>
                <w:rFonts w:ascii="Times New Roman" w:hAnsi="Times New Roman"/>
                <w:b/>
                <w:color w:val="auto"/>
                <w:sz w:val="24"/>
              </w:rPr>
              <w:t>分析</w:t>
            </w:r>
          </w:p>
          <w:p w14:paraId="611B17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（1）生产</w:t>
            </w:r>
            <w:r>
              <w:rPr>
                <w:rFonts w:hint="default" w:ascii="Times New Roman" w:hAnsi="Times New Roman" w:eastAsia="Times New Roman" w:cs="宋体"/>
                <w:b/>
                <w:bCs/>
                <w:color w:val="auto"/>
                <w:sz w:val="24"/>
                <w:szCs w:val="24"/>
                <w:lang w:val="en-US" w:eastAsia="zh-CN"/>
              </w:rPr>
              <w:t>废水处理</w:t>
            </w:r>
            <w:r>
              <w:rPr>
                <w:rFonts w:hint="eastAsia" w:ascii="Times New Roman" w:hAnsi="Times New Roman" w:eastAsia="Times New Roman" w:cs="宋体"/>
                <w:b/>
                <w:bCs/>
                <w:color w:val="auto"/>
                <w:sz w:val="24"/>
                <w:szCs w:val="24"/>
                <w:lang w:val="en-US" w:eastAsia="zh-CN"/>
              </w:rPr>
              <w:t>措施</w:t>
            </w:r>
            <w:r>
              <w:rPr>
                <w:rFonts w:hint="default" w:ascii="Times New Roman" w:hAnsi="Times New Roman" w:eastAsia="Times New Roman" w:cs="宋体"/>
                <w:b/>
                <w:bCs/>
                <w:color w:val="auto"/>
                <w:sz w:val="24"/>
                <w:szCs w:val="24"/>
                <w:lang w:val="en-US" w:eastAsia="zh-CN"/>
              </w:rPr>
              <w:t>可行性分析</w:t>
            </w:r>
          </w:p>
          <w:p w14:paraId="04979DF8">
            <w:p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default" w:ascii="Times New Roman" w:hAnsi="Times New Roman" w:eastAsia="宋体" w:cs="Times New Roman"/>
                <w:color w:val="auto"/>
                <w:sz w:val="24"/>
                <w:szCs w:val="24"/>
              </w:rPr>
              <w:t>本工程处理的</w:t>
            </w:r>
            <w:r>
              <w:rPr>
                <w:rFonts w:hint="eastAsia" w:ascii="Times New Roman" w:hAnsi="Times New Roman" w:eastAsia="宋体" w:cs="Times New Roman"/>
                <w:color w:val="auto"/>
                <w:sz w:val="24"/>
                <w:szCs w:val="24"/>
                <w:lang w:val="en-US" w:eastAsia="zh-CN"/>
              </w:rPr>
              <w:t>洗涤</w:t>
            </w:r>
            <w:r>
              <w:rPr>
                <w:rFonts w:hint="default" w:ascii="Times New Roman" w:hAnsi="Times New Roman" w:eastAsia="宋体" w:cs="Times New Roman"/>
                <w:color w:val="auto"/>
                <w:sz w:val="24"/>
                <w:szCs w:val="24"/>
              </w:rPr>
              <w:t>污水为典型的布草洗涤污水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本项目不使用含磷洗涤剂，其主要污染主要COD</w:t>
            </w:r>
            <w:r>
              <w:rPr>
                <w:rFonts w:hint="eastAsia" w:ascii="Times New Roman" w:hAnsi="Times New Roman" w:eastAsia="宋体" w:cs="Times New Roman"/>
                <w:color w:val="auto"/>
                <w:sz w:val="24"/>
                <w:szCs w:val="24"/>
                <w:vertAlign w:val="subscript"/>
                <w:lang w:val="en-US" w:eastAsia="zh-CN"/>
              </w:rPr>
              <w:t>Cr</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、SS、氨氮、TP、TN、LAS，</w:t>
            </w:r>
            <w:r>
              <w:rPr>
                <w:rFonts w:hint="default" w:ascii="Times New Roman" w:hAnsi="Times New Roman" w:eastAsia="宋体" w:cs="Times New Roman"/>
                <w:color w:val="auto"/>
                <w:sz w:val="24"/>
                <w:szCs w:val="24"/>
              </w:rPr>
              <w:t>污染物种类简单，且浓度不高</w:t>
            </w:r>
            <w:r>
              <w:rPr>
                <w:rFonts w:hint="eastAsia" w:ascii="Times New Roman" w:hAnsi="Times New Roman" w:eastAsia="宋体" w:cs="Times New Roman"/>
                <w:color w:val="auto"/>
                <w:sz w:val="24"/>
                <w:szCs w:val="24"/>
                <w:lang w:eastAsia="zh-CN"/>
              </w:rPr>
              <w:t>。</w:t>
            </w:r>
            <w:r>
              <w:rPr>
                <w:rFonts w:hint="eastAsia" w:ascii="Times New Roman" w:hAnsi="Times New Roman" w:eastAsia="Times New Roman" w:cs="宋体"/>
                <w:color w:val="auto"/>
                <w:kern w:val="2"/>
                <w:sz w:val="24"/>
                <w:szCs w:val="24"/>
                <w:lang w:val="en-US" w:eastAsia="zh-CN" w:bidi="ar-SA"/>
              </w:rPr>
              <w:t>纯水制备废水、锅炉排污水为清净下水，废水主要污染物为含盐类物质（Ca</w:t>
            </w:r>
            <w:r>
              <w:rPr>
                <w:rFonts w:hint="eastAsia" w:ascii="Times New Roman" w:hAnsi="Times New Roman" w:eastAsia="Times New Roman" w:cs="宋体"/>
                <w:color w:val="auto"/>
                <w:kern w:val="2"/>
                <w:sz w:val="24"/>
                <w:szCs w:val="24"/>
                <w:vertAlign w:val="superscript"/>
                <w:lang w:val="en-US" w:eastAsia="zh-CN" w:bidi="ar-SA"/>
              </w:rPr>
              <w:t xml:space="preserve">2+ </w:t>
            </w:r>
            <w:r>
              <w:rPr>
                <w:rFonts w:hint="eastAsia" w:ascii="Times New Roman" w:hAnsi="Times New Roman" w:eastAsia="Times New Roman" w:cs="宋体"/>
                <w:color w:val="auto"/>
                <w:kern w:val="2"/>
                <w:sz w:val="24"/>
                <w:szCs w:val="24"/>
                <w:lang w:val="en-US" w:eastAsia="zh-CN" w:bidi="ar-SA"/>
              </w:rPr>
              <w:t>、Mg</w:t>
            </w:r>
            <w:r>
              <w:rPr>
                <w:rFonts w:hint="eastAsia" w:ascii="Times New Roman" w:hAnsi="Times New Roman" w:eastAsia="Times New Roman" w:cs="宋体"/>
                <w:color w:val="auto"/>
                <w:kern w:val="2"/>
                <w:sz w:val="24"/>
                <w:szCs w:val="24"/>
                <w:vertAlign w:val="superscript"/>
                <w:lang w:val="en-US" w:eastAsia="zh-CN" w:bidi="ar-SA"/>
              </w:rPr>
              <w:t xml:space="preserve">2+ </w:t>
            </w:r>
            <w:r>
              <w:rPr>
                <w:rFonts w:hint="eastAsia" w:ascii="Times New Roman" w:hAnsi="Times New Roman" w:eastAsia="Times New Roman" w:cs="宋体"/>
                <w:color w:val="auto"/>
                <w:kern w:val="2"/>
                <w:sz w:val="24"/>
                <w:szCs w:val="24"/>
                <w:lang w:val="en-US" w:eastAsia="zh-CN" w:bidi="ar-SA"/>
              </w:rPr>
              <w:t>）。</w:t>
            </w:r>
            <w:r>
              <w:rPr>
                <w:rFonts w:hint="eastAsia" w:ascii="Times New Roman" w:hAnsi="Times New Roman" w:cs="Times New Roman"/>
                <w:color w:val="auto"/>
                <w:sz w:val="24"/>
                <w:szCs w:val="24"/>
                <w:highlight w:val="none"/>
                <w:lang w:val="en-US" w:eastAsia="zh-CN"/>
              </w:rPr>
              <w:t>项目洗涤废水产生量为</w:t>
            </w:r>
            <w:r>
              <w:rPr>
                <w:rFonts w:hint="eastAsia" w:ascii="Times New Roman" w:hAnsi="Times New Roman" w:cs="宋体"/>
                <w:color w:val="auto"/>
                <w:sz w:val="24"/>
                <w:szCs w:val="24"/>
                <w:lang w:val="en-US" w:eastAsia="zh-CN"/>
              </w:rPr>
              <w:t>34.4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宋体"/>
                <w:color w:val="auto"/>
                <w:sz w:val="24"/>
                <w:szCs w:val="24"/>
                <w:lang w:val="en-US" w:eastAsia="zh-CN"/>
              </w:rPr>
              <w:t>/d</w:t>
            </w:r>
            <w:r>
              <w:rPr>
                <w:rFonts w:hint="eastAsia" w:ascii="Times New Roman" w:hAnsi="Times New Roman" w:cs="宋体"/>
                <w:color w:val="auto"/>
                <w:sz w:val="24"/>
                <w:szCs w:val="24"/>
                <w:lang w:val="en-US" w:eastAsia="zh-CN"/>
              </w:rPr>
              <w:t>、</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w:t>
            </w:r>
            <w:r>
              <w:rPr>
                <w:rFonts w:hint="eastAsia" w:ascii="Times New Roman" w:hAnsi="Times New Roman" w:cs="Times New Roman"/>
                <w:color w:val="auto"/>
                <w:sz w:val="24"/>
                <w:szCs w:val="24"/>
                <w:highlight w:val="none"/>
                <w:lang w:val="en-US" w:eastAsia="zh-CN"/>
              </w:rPr>
              <w:t>制备</w:t>
            </w:r>
            <w:r>
              <w:rPr>
                <w:rFonts w:hint="default" w:ascii="Times New Roman" w:hAnsi="Times New Roman" w:eastAsia="宋体" w:cs="Times New Roman"/>
                <w:color w:val="auto"/>
                <w:sz w:val="24"/>
                <w:szCs w:val="24"/>
                <w:highlight w:val="none"/>
                <w:lang w:eastAsia="zh-CN"/>
              </w:rPr>
              <w:t>废水</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则项目生产废水产生量为35.72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的</w:t>
            </w:r>
            <w:r>
              <w:rPr>
                <w:rFonts w:hint="eastAsia" w:ascii="Times New Roman" w:hAnsi="Times New Roman" w:eastAsia="宋体" w:cs="Times New Roman"/>
                <w:color w:val="auto"/>
                <w:sz w:val="24"/>
                <w:szCs w:val="24"/>
                <w:highlight w:val="none"/>
                <w:lang w:val="en-US" w:eastAsia="zh-CN"/>
              </w:rPr>
              <w:t>三级沉淀</w:t>
            </w:r>
            <w:r>
              <w:rPr>
                <w:rFonts w:hint="default" w:ascii="Times New Roman" w:hAnsi="Times New Roman" w:eastAsia="宋体" w:cs="Times New Roman"/>
                <w:color w:val="auto"/>
                <w:sz w:val="24"/>
                <w:szCs w:val="24"/>
                <w:highlight w:val="none"/>
              </w:rPr>
              <w:t>池用于预处理</w:t>
            </w:r>
            <w:r>
              <w:rPr>
                <w:rFonts w:hint="eastAsia" w:ascii="Times New Roman" w:hAnsi="Times New Roman" w:eastAsia="宋体" w:cs="Times New Roman"/>
                <w:color w:val="auto"/>
                <w:sz w:val="24"/>
                <w:szCs w:val="24"/>
                <w:highlight w:val="none"/>
                <w:lang w:val="en-US" w:eastAsia="zh-CN"/>
              </w:rPr>
              <w:t>生产废</w:t>
            </w:r>
            <w:r>
              <w:rPr>
                <w:rFonts w:hint="default" w:ascii="Times New Roman" w:hAnsi="Times New Roman" w:eastAsia="宋体" w:cs="Times New Roman"/>
                <w:color w:val="auto"/>
                <w:sz w:val="24"/>
                <w:szCs w:val="24"/>
                <w:highlight w:val="none"/>
              </w:rPr>
              <w:t>水</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三级沉淀池</w:t>
            </w:r>
            <w:r>
              <w:rPr>
                <w:rFonts w:hint="default" w:ascii="Times New Roman" w:hAnsi="Times New Roman" w:eastAsia="宋体" w:cs="Times New Roman"/>
                <w:color w:val="auto"/>
                <w:sz w:val="24"/>
                <w:szCs w:val="24"/>
                <w:highlight w:val="none"/>
                <w:lang w:eastAsia="zh-CN"/>
              </w:rPr>
              <w:t>容积</w:t>
            </w:r>
            <w:r>
              <w:rPr>
                <w:rFonts w:hint="eastAsia" w:ascii="Times New Roman" w:hAnsi="Times New Roman" w:eastAsia="宋体" w:cs="Times New Roman"/>
                <w:color w:val="auto"/>
                <w:sz w:val="24"/>
                <w:szCs w:val="24"/>
                <w:highlight w:val="none"/>
                <w:lang w:val="en-US" w:eastAsia="zh-CN"/>
              </w:rPr>
              <w:t>可满足项目需求</w:t>
            </w:r>
            <w:r>
              <w:rPr>
                <w:rFonts w:hint="default" w:ascii="Times New Roman" w:hAnsi="Times New Roman" w:eastAsia="宋体" w:cs="Times New Roman"/>
                <w:color w:val="auto"/>
                <w:sz w:val="24"/>
                <w:szCs w:val="24"/>
                <w:highlight w:val="none"/>
              </w:rPr>
              <w:t>。</w:t>
            </w:r>
          </w:p>
          <w:p w14:paraId="6DF624E6">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val="en-US" w:eastAsia="zh-CN"/>
              </w:rPr>
              <w:t>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后排入易天线市政污水管网，最终进入寻甸县污水处理厂统一处理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参考《排污许可证申请与核发技术规范 水处理（试行）》（HJ978-2018）中表4污水处理可行</w:t>
            </w:r>
            <w:r>
              <w:rPr>
                <w:rFonts w:hint="default" w:ascii="Times New Roman" w:hAnsi="Times New Roman" w:cs="Times New Roman"/>
                <w:color w:val="auto"/>
                <w:sz w:val="24"/>
                <w:szCs w:val="24"/>
              </w:rPr>
              <w:t>技术参照表，工业废水间接排放时可以只有预处理段</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污水处理措施属于可行技术</w:t>
            </w:r>
            <w:r>
              <w:rPr>
                <w:rFonts w:hint="eastAsia" w:ascii="Times New Roman" w:hAnsi="Times New Roman" w:cs="Times New Roman"/>
                <w:color w:val="auto"/>
                <w:sz w:val="24"/>
                <w:szCs w:val="24"/>
                <w:lang w:eastAsia="zh-CN"/>
              </w:rPr>
              <w:t>。</w:t>
            </w:r>
          </w:p>
          <w:p w14:paraId="00D9CB9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（2）生活污水</w:t>
            </w:r>
            <w:r>
              <w:rPr>
                <w:rFonts w:hint="default" w:ascii="Times New Roman" w:hAnsi="Times New Roman" w:eastAsia="Times New Roman" w:cs="宋体"/>
                <w:b/>
                <w:bCs/>
                <w:color w:val="auto"/>
                <w:sz w:val="24"/>
                <w:szCs w:val="24"/>
                <w:lang w:val="en-US" w:eastAsia="zh-CN"/>
              </w:rPr>
              <w:t>处理</w:t>
            </w:r>
            <w:r>
              <w:rPr>
                <w:rFonts w:hint="eastAsia" w:ascii="Times New Roman" w:hAnsi="Times New Roman" w:eastAsia="Times New Roman" w:cs="宋体"/>
                <w:b/>
                <w:bCs/>
                <w:color w:val="auto"/>
                <w:sz w:val="24"/>
                <w:szCs w:val="24"/>
                <w:lang w:val="en-US" w:eastAsia="zh-CN"/>
              </w:rPr>
              <w:t>措施可行性分析</w:t>
            </w:r>
          </w:p>
          <w:p w14:paraId="51F64433">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rPr>
              <w:t>本项目生活污水主要为</w:t>
            </w:r>
            <w:r>
              <w:rPr>
                <w:rFonts w:hint="eastAsia" w:ascii="Times New Roman" w:hAnsi="Times New Roman" w:eastAsia="宋体" w:cs="宋体"/>
                <w:color w:val="auto"/>
                <w:spacing w:val="-1"/>
                <w:sz w:val="24"/>
                <w:szCs w:val="24"/>
              </w:rPr>
              <w:t>员工清洁用水</w:t>
            </w:r>
            <w:r>
              <w:rPr>
                <w:rFonts w:hint="eastAsia" w:ascii="Times New Roman" w:hAnsi="Times New Roman" w:cs="宋体"/>
                <w:color w:val="auto"/>
                <w:spacing w:val="-1"/>
                <w:sz w:val="24"/>
                <w:szCs w:val="24"/>
                <w:lang w:eastAsia="zh-CN"/>
              </w:rPr>
              <w:t>、</w:t>
            </w:r>
            <w:r>
              <w:rPr>
                <w:rFonts w:hint="eastAsia" w:ascii="Times New Roman" w:hAnsi="Times New Roman" w:cs="宋体"/>
                <w:color w:val="auto"/>
                <w:spacing w:val="-1"/>
                <w:sz w:val="24"/>
                <w:szCs w:val="24"/>
                <w:lang w:val="en-US" w:eastAsia="zh-CN"/>
              </w:rPr>
              <w:t>卫生间用水，员工不在项目区食宿。生活废水产生量为0.144</w:t>
            </w:r>
            <w:r>
              <w:rPr>
                <w:rFonts w:hint="eastAsia" w:ascii="Times New Roman" w:hAnsi="Times New Roman" w:eastAsia="宋体" w:cs="宋体"/>
                <w:color w:val="auto"/>
                <w:spacing w:val="-1"/>
                <w:sz w:val="24"/>
                <w:szCs w:val="24"/>
              </w:rPr>
              <w:t>m</w:t>
            </w:r>
            <w:r>
              <w:rPr>
                <w:rFonts w:hint="eastAsia" w:ascii="Times New Roman" w:hAnsi="Times New Roman" w:eastAsia="宋体" w:cs="宋体"/>
                <w:color w:val="auto"/>
                <w:spacing w:val="-1"/>
                <w:sz w:val="24"/>
                <w:szCs w:val="24"/>
                <w:vertAlign w:val="superscript"/>
              </w:rPr>
              <w:t>3</w:t>
            </w:r>
            <w:r>
              <w:rPr>
                <w:rFonts w:hint="eastAsia" w:ascii="Times New Roman" w:hAnsi="Times New Roman" w:eastAsia="宋体" w:cs="宋体"/>
                <w:color w:val="auto"/>
                <w:spacing w:val="-1"/>
                <w:sz w:val="24"/>
                <w:szCs w:val="24"/>
              </w:rPr>
              <w:t>/d</w:t>
            </w:r>
            <w:r>
              <w:rPr>
                <w:rFonts w:hint="eastAsia" w:ascii="Times New Roman" w:hAnsi="Times New Roman" w:cs="宋体"/>
                <w:color w:val="auto"/>
                <w:spacing w:val="-1"/>
                <w:sz w:val="24"/>
                <w:szCs w:val="24"/>
                <w:lang w:eastAsia="zh-CN"/>
              </w:rPr>
              <w:t>。</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化粪池，用于预处理项目区所有生活污水</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项目化粪池容积（2m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）可满足项目需求</w:t>
            </w:r>
            <w:r>
              <w:rPr>
                <w:rFonts w:hint="default" w:ascii="Times New Roman" w:hAnsi="Times New Roman" w:eastAsia="宋体" w:cs="Times New Roman"/>
                <w:color w:val="auto"/>
                <w:sz w:val="24"/>
                <w:szCs w:val="24"/>
                <w:highlight w:val="none"/>
              </w:rPr>
              <w:t>。</w:t>
            </w:r>
          </w:p>
          <w:p w14:paraId="3E3C5CFB">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项目生活污水</w:t>
            </w:r>
            <w:r>
              <w:rPr>
                <w:rFonts w:hint="eastAsia" w:ascii="Times New Roman" w:hAnsi="Times New Roman" w:cs="Times New Roman"/>
                <w:color w:val="auto"/>
                <w:sz w:val="24"/>
                <w:szCs w:val="24"/>
              </w:rPr>
              <w:t>经化</w:t>
            </w:r>
            <w:r>
              <w:rPr>
                <w:rFonts w:hint="eastAsia" w:ascii="Times New Roman" w:hAnsi="Times New Roman" w:eastAsia="宋体" w:cs="Times New Roman"/>
                <w:color w:val="auto"/>
                <w:sz w:val="24"/>
                <w:szCs w:val="24"/>
              </w:rPr>
              <w:t>粪池处理</w:t>
            </w:r>
            <w:r>
              <w:rPr>
                <w:rFonts w:hint="eastAsia" w:ascii="Times New Roman" w:hAnsi="Times New Roman" w:eastAsia="宋体" w:cs="Times New Roman"/>
                <w:color w:val="auto"/>
                <w:sz w:val="24"/>
                <w:szCs w:val="24"/>
                <w:lang w:val="en-US" w:eastAsia="zh-CN"/>
              </w:rPr>
              <w:t>后排入易天线市政污水管网，最终进入寻甸县污水处理厂统一处理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生活污水污染物种类简单，且浓度不高，本项目采用化粪池进行预处理，参考《排污许可证申请与核发技术规范 水处理（试行）》（HJ978-2018）中表4污水处理可行技术参照表，本项目生活污水处理措施属于可行技术</w:t>
            </w:r>
            <w:r>
              <w:rPr>
                <w:rFonts w:hint="eastAsia" w:ascii="Times New Roman" w:hAnsi="Times New Roman" w:eastAsia="宋体" w:cs="Times New Roman"/>
                <w:color w:val="auto"/>
                <w:sz w:val="24"/>
                <w:szCs w:val="24"/>
                <w:lang w:eastAsia="zh-CN"/>
              </w:rPr>
              <w:t>。</w:t>
            </w:r>
          </w:p>
          <w:p w14:paraId="076E132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（3）项目废水进入寻甸县污水处理厂的可行性分析</w:t>
            </w:r>
          </w:p>
          <w:p w14:paraId="69632587">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寻甸县污水处理厂概况</w:t>
            </w:r>
          </w:p>
          <w:p w14:paraId="4023B2F0">
            <w:pPr>
              <w:adjustRightInd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eastAsia="宋体" w:cs="Times New Roman"/>
                <w:color w:val="auto"/>
                <w:sz w:val="24"/>
                <w:szCs w:val="24"/>
                <w:lang w:eastAsia="zh-CN"/>
              </w:rPr>
              <w:t>寻甸县污水处</w:t>
            </w:r>
            <w:r>
              <w:rPr>
                <w:rFonts w:hint="eastAsia" w:ascii="Times New Roman" w:hAnsi="Times New Roman"/>
                <w:color w:val="auto"/>
                <w:sz w:val="24"/>
                <w:highlight w:val="none"/>
                <w:lang w:eastAsia="zh-CN"/>
              </w:rPr>
              <w:t>理厂</w:t>
            </w:r>
            <w:r>
              <w:rPr>
                <w:rFonts w:hint="eastAsia" w:ascii="Times New Roman" w:hAnsi="Times New Roman"/>
                <w:color w:val="auto"/>
                <w:sz w:val="24"/>
                <w:highlight w:val="none"/>
              </w:rPr>
              <w:t>是以BOT模式投资建设，厂址位于寻甸县城东边月秀路15号，目前</w:t>
            </w:r>
            <w:r>
              <w:rPr>
                <w:rFonts w:hint="eastAsia" w:ascii="Times New Roman" w:hAnsi="Times New Roman"/>
                <w:color w:val="auto"/>
                <w:sz w:val="24"/>
                <w:highlight w:val="none"/>
                <w:lang w:eastAsia="zh-CN"/>
              </w:rPr>
              <w:t>寻甸县污水处理厂</w:t>
            </w:r>
            <w:r>
              <w:rPr>
                <w:rFonts w:hint="eastAsia" w:ascii="Times New Roman" w:hAnsi="Times New Roman"/>
                <w:color w:val="auto"/>
                <w:sz w:val="24"/>
                <w:highlight w:val="none"/>
              </w:rPr>
              <w:t>一期处理规模</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1.2万m³/d，最大处理量</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1.5万m³/d，二期工程处理规模2.4万m³/d，污水处理工艺采用“预处理+A</w:t>
            </w:r>
            <w:r>
              <w:rPr>
                <w:rFonts w:hint="eastAsia" w:ascii="Times New Roman" w:hAnsi="Times New Roman"/>
                <w:color w:val="auto"/>
                <w:sz w:val="24"/>
                <w:highlight w:val="none"/>
                <w:vertAlign w:val="superscript"/>
              </w:rPr>
              <w:t>2</w:t>
            </w:r>
            <w:r>
              <w:rPr>
                <w:rFonts w:hint="eastAsia" w:ascii="Times New Roman" w:hAnsi="Times New Roman"/>
                <w:color w:val="auto"/>
                <w:sz w:val="24"/>
                <w:highlight w:val="none"/>
              </w:rPr>
              <w:t>/O型SBR工艺+V型滤池+紫外线消毒”工艺</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出水水质达到《城镇污水处理厂污染物排放标准》（GB18918-2002）中的一级A</w:t>
            </w:r>
            <w:r>
              <w:rPr>
                <w:rFonts w:hint="eastAsia" w:ascii="Times New Roman" w:hAnsi="Times New Roman"/>
                <w:color w:val="auto"/>
                <w:sz w:val="24"/>
                <w:highlight w:val="none"/>
                <w:lang w:eastAsia="zh-CN"/>
              </w:rPr>
              <w:t>后，尾水排入牛栏江支流四清河，2.5km后由左岸入老河，2.25km后由右岸入前进河，400m汇入牛栏江。</w:t>
            </w:r>
            <w:r>
              <w:rPr>
                <w:rFonts w:hint="eastAsia" w:ascii="Times New Roman" w:hAnsi="Times New Roman"/>
                <w:color w:val="auto"/>
                <w:sz w:val="24"/>
                <w:highlight w:val="none"/>
                <w:lang w:val="en-US" w:eastAsia="zh-CN"/>
              </w:rPr>
              <w:t>寻甸县污水收集管网及污水处理站已建设完成，并投入使用</w:t>
            </w:r>
            <w:r>
              <w:rPr>
                <w:rFonts w:hint="eastAsia" w:ascii="Times New Roman" w:hAnsi="Times New Roman"/>
                <w:color w:val="auto"/>
                <w:sz w:val="24"/>
                <w:highlight w:val="none"/>
              </w:rPr>
              <w:t>。</w:t>
            </w:r>
          </w:p>
          <w:p w14:paraId="0A14D8F3">
            <w:pPr>
              <w:widowControl/>
              <w:numPr>
                <w:ilvl w:val="0"/>
                <w:numId w:val="0"/>
              </w:numPr>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②</w:t>
            </w:r>
            <w:r>
              <w:rPr>
                <w:rFonts w:hint="eastAsia" w:ascii="Times New Roman" w:hAnsi="Times New Roman" w:eastAsia="宋体" w:cs="Times New Roman"/>
                <w:color w:val="auto"/>
                <w:kern w:val="0"/>
                <w:sz w:val="24"/>
                <w:highlight w:val="none"/>
                <w:lang w:val="en-US" w:eastAsia="zh-CN" w:bidi="ar"/>
              </w:rPr>
              <w:t>寻甸县污水处理厂接纳范围</w:t>
            </w:r>
          </w:p>
          <w:p w14:paraId="15B5FE66">
            <w:pPr>
              <w:widowControl/>
              <w:numPr>
                <w:ilvl w:val="0"/>
                <w:numId w:val="0"/>
              </w:numPr>
              <w:snapToGrid w:val="0"/>
              <w:spacing w:line="360" w:lineRule="auto"/>
              <w:ind w:firstLine="480" w:firstLineChars="200"/>
              <w:rPr>
                <w:rFonts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val="en-US" w:eastAsia="zh-CN" w:bidi="ar"/>
              </w:rPr>
              <w:t>项目位</w:t>
            </w:r>
            <w:r>
              <w:rPr>
                <w:rFonts w:ascii="Times New Roman" w:hAnsi="Times New Roman" w:eastAsia="宋体" w:cs="Times New Roman"/>
                <w:color w:val="auto"/>
                <w:kern w:val="0"/>
                <w:sz w:val="24"/>
                <w:highlight w:val="none"/>
                <w:lang w:bidi="ar"/>
              </w:rPr>
              <w:t>于</w:t>
            </w:r>
            <w:r>
              <w:rPr>
                <w:rFonts w:hint="eastAsia" w:ascii="Times New Roman" w:hAnsi="Times New Roman" w:eastAsia="宋体" w:cs="Times New Roman"/>
                <w:color w:val="auto"/>
                <w:kern w:val="2"/>
                <w:sz w:val="24"/>
                <w:szCs w:val="24"/>
                <w:lang w:val="en-US" w:eastAsia="zh-CN" w:bidi="ar-SA"/>
              </w:rPr>
              <w:t>昆明市寻甸县仁德街道办事处易天线小功山</w:t>
            </w:r>
            <w:r>
              <w:rPr>
                <w:rFonts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bidi="ar"/>
              </w:rPr>
              <w:t>与寻甸县污水处理厂直线距离约</w:t>
            </w:r>
            <w:r>
              <w:rPr>
                <w:rFonts w:hint="eastAsia" w:ascii="Times New Roman" w:hAnsi="Times New Roman" w:cs="Times New Roman"/>
                <w:color w:val="auto"/>
                <w:kern w:val="0"/>
                <w:sz w:val="24"/>
                <w:highlight w:val="none"/>
                <w:lang w:val="en-US" w:eastAsia="zh-CN" w:bidi="ar"/>
              </w:rPr>
              <w:t>4.5</w:t>
            </w:r>
            <w:r>
              <w:rPr>
                <w:rFonts w:hint="eastAsia" w:ascii="Times New Roman" w:hAnsi="Times New Roman" w:eastAsia="宋体" w:cs="Times New Roman"/>
                <w:color w:val="auto"/>
                <w:kern w:val="0"/>
                <w:sz w:val="24"/>
                <w:highlight w:val="none"/>
                <w:lang w:bidi="ar"/>
              </w:rPr>
              <w:t>km，项目已取得住建局关于项目废水排污</w:t>
            </w:r>
            <w:r>
              <w:rPr>
                <w:rFonts w:hint="eastAsia" w:ascii="Times New Roman" w:hAnsi="Times New Roman" w:cs="Times New Roman"/>
                <w:color w:val="auto"/>
                <w:kern w:val="0"/>
                <w:sz w:val="24"/>
                <w:highlight w:val="none"/>
                <w:lang w:val="en-US" w:eastAsia="zh-CN" w:bidi="ar"/>
              </w:rPr>
              <w:t>接管</w:t>
            </w:r>
            <w:r>
              <w:rPr>
                <w:rFonts w:hint="eastAsia" w:ascii="Times New Roman" w:hAnsi="Times New Roman" w:eastAsia="宋体" w:cs="Times New Roman"/>
                <w:color w:val="auto"/>
                <w:kern w:val="0"/>
                <w:sz w:val="24"/>
                <w:highlight w:val="none"/>
                <w:lang w:bidi="ar"/>
              </w:rPr>
              <w:t>的回复，同意项目废水预处理符合《污水排入城镇下水道水质标准》(GB/T31962)及相关行业标准且办理排水许可后接入</w:t>
            </w:r>
            <w:r>
              <w:rPr>
                <w:rFonts w:hint="eastAsia" w:ascii="Times New Roman" w:hAnsi="Times New Roman" w:cs="Times New Roman"/>
                <w:color w:val="auto"/>
                <w:kern w:val="0"/>
                <w:sz w:val="24"/>
                <w:highlight w:val="none"/>
                <w:lang w:val="en-US" w:eastAsia="zh-CN" w:bidi="ar"/>
              </w:rPr>
              <w:t>附近的易天线市政</w:t>
            </w:r>
            <w:r>
              <w:rPr>
                <w:rFonts w:hint="eastAsia" w:ascii="Times New Roman" w:hAnsi="Times New Roman" w:eastAsia="宋体" w:cs="Times New Roman"/>
                <w:color w:val="auto"/>
                <w:kern w:val="0"/>
                <w:sz w:val="24"/>
                <w:highlight w:val="none"/>
                <w:lang w:bidi="ar"/>
              </w:rPr>
              <w:t>污水管网系统，最后排至</w:t>
            </w:r>
            <w:r>
              <w:rPr>
                <w:rFonts w:hint="eastAsia" w:ascii="Times New Roman" w:hAnsi="Times New Roman"/>
                <w:color w:val="auto"/>
                <w:kern w:val="0"/>
                <w:sz w:val="24"/>
                <w:highlight w:val="none"/>
                <w:lang w:val="en-US" w:eastAsia="zh-CN" w:bidi="ar"/>
              </w:rPr>
              <w:t>寻甸县污水处理厂</w:t>
            </w:r>
            <w:r>
              <w:rPr>
                <w:rFonts w:hint="eastAsia" w:ascii="Times New Roman" w:hAnsi="Times New Roman" w:eastAsia="宋体" w:cs="Times New Roman"/>
                <w:color w:val="auto"/>
                <w:kern w:val="0"/>
                <w:sz w:val="24"/>
                <w:highlight w:val="none"/>
                <w:lang w:bidi="ar"/>
              </w:rPr>
              <w:t>。</w:t>
            </w:r>
          </w:p>
          <w:p w14:paraId="1D6F3243">
            <w:pPr>
              <w:widowControl/>
              <w:numPr>
                <w:ilvl w:val="0"/>
                <w:numId w:val="0"/>
              </w:numPr>
              <w:snapToGrid w:val="0"/>
              <w:spacing w:line="360" w:lineRule="auto"/>
              <w:ind w:firstLine="480" w:firstLineChars="200"/>
              <w:rPr>
                <w:rFonts w:hint="eastAsia" w:ascii="Times New Roman" w:hAnsi="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③</w:t>
            </w:r>
            <w:r>
              <w:rPr>
                <w:rFonts w:hint="eastAsia" w:ascii="Times New Roman" w:hAnsi="Times New Roman" w:eastAsia="宋体" w:cs="Times New Roman"/>
                <w:color w:val="auto"/>
                <w:kern w:val="0"/>
                <w:sz w:val="24"/>
                <w:highlight w:val="none"/>
                <w:lang w:val="en-US" w:eastAsia="zh-CN" w:bidi="ar"/>
              </w:rPr>
              <w:t>寻甸</w:t>
            </w:r>
            <w:r>
              <w:rPr>
                <w:rFonts w:hint="eastAsia" w:ascii="Times New Roman" w:hAnsi="Times New Roman"/>
                <w:color w:val="auto"/>
                <w:kern w:val="0"/>
                <w:sz w:val="24"/>
                <w:highlight w:val="none"/>
                <w:lang w:val="en-US" w:eastAsia="zh-CN" w:bidi="ar"/>
              </w:rPr>
              <w:t>县污水处理厂容纳负荷分析</w:t>
            </w:r>
          </w:p>
          <w:p w14:paraId="1E1A06D9">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bidi="ar"/>
              </w:rPr>
              <w:t>根据</w:t>
            </w:r>
            <w:r>
              <w:rPr>
                <w:rFonts w:hint="eastAsia" w:ascii="Times New Roman" w:hAnsi="Times New Roman" w:cs="Times New Roman"/>
                <w:color w:val="auto"/>
                <w:kern w:val="0"/>
                <w:sz w:val="24"/>
                <w:highlight w:val="none"/>
                <w:lang w:val="en-US" w:eastAsia="zh-CN" w:bidi="ar"/>
              </w:rPr>
              <w:t>调查</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val="en-US" w:eastAsia="zh-CN" w:bidi="ar"/>
              </w:rPr>
              <w:t>寻甸县污水处理厂</w:t>
            </w:r>
            <w:r>
              <w:rPr>
                <w:rFonts w:hint="eastAsia" w:ascii="Times New Roman" w:hAnsi="Times New Roman" w:eastAsia="宋体" w:cs="Times New Roman"/>
                <w:color w:val="auto"/>
                <w:kern w:val="0"/>
                <w:sz w:val="24"/>
                <w:highlight w:val="none"/>
                <w:lang w:bidi="ar"/>
              </w:rPr>
              <w:t>实际处理能力尚未达到设计处理能力，</w:t>
            </w:r>
            <w:r>
              <w:rPr>
                <w:rFonts w:hint="eastAsia" w:ascii="Times New Roman" w:hAnsi="Times New Roman" w:eastAsia="宋体" w:cs="Times New Roman"/>
                <w:color w:val="auto"/>
                <w:kern w:val="0"/>
                <w:sz w:val="24"/>
                <w:highlight w:val="none"/>
                <w:lang w:val="en-US" w:eastAsia="zh-CN" w:bidi="ar"/>
              </w:rPr>
              <w:t>本项目总废水量</w:t>
            </w:r>
            <w:r>
              <w:rPr>
                <w:rFonts w:hint="eastAsia" w:ascii="Times New Roman" w:hAnsi="Times New Roman" w:cs="Times New Roman"/>
                <w:color w:val="auto"/>
                <w:kern w:val="0"/>
                <w:sz w:val="24"/>
                <w:highlight w:val="none"/>
                <w:lang w:val="en-US" w:eastAsia="zh-CN" w:bidi="ar"/>
              </w:rPr>
              <w:t>35.864</w:t>
            </w:r>
            <w:r>
              <w:rPr>
                <w:rFonts w:hint="eastAsia" w:ascii="Times New Roman" w:hAnsi="Times New Roman" w:eastAsia="宋体" w:cs="Times New Roman"/>
                <w:color w:val="auto"/>
                <w:kern w:val="0"/>
                <w:sz w:val="24"/>
                <w:highlight w:val="none"/>
                <w:lang w:val="en-US" w:eastAsia="zh-CN" w:bidi="ar"/>
              </w:rPr>
              <w:t>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/d，寻甸县污水处理厂现平均实际处理水量约1.5774万m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/d，有能力接纳接纳本项目废水。</w:t>
            </w:r>
            <w:r>
              <w:rPr>
                <w:rFonts w:hint="eastAsia" w:ascii="Times New Roman" w:hAnsi="Times New Roman" w:eastAsia="宋体" w:cs="Times New Roman"/>
                <w:color w:val="auto"/>
                <w:kern w:val="0"/>
                <w:sz w:val="24"/>
                <w:highlight w:val="none"/>
                <w:lang w:bidi="ar"/>
              </w:rPr>
              <w:t>项目污水量排放量较小，且水质《污水排入下城镇下水道水质标准》（GB/T31962-2015）表1中A等级标准，满足排入寻甸县污水处理厂的水质要求，项目污水排入寻甸县污水处理厂后不会影响其正常运行。</w:t>
            </w:r>
          </w:p>
          <w:p w14:paraId="17C68206">
            <w:pPr>
              <w:widowControl/>
              <w:numPr>
                <w:ilvl w:val="0"/>
                <w:numId w:val="0"/>
              </w:numPr>
              <w:snapToGrid w:val="0"/>
              <w:spacing w:line="360" w:lineRule="auto"/>
              <w:ind w:firstLine="480" w:firstLineChars="200"/>
              <w:rPr>
                <w:rFonts w:ascii="Times New Roman" w:hAnsi="Times New Roman"/>
                <w:color w:val="auto"/>
                <w:sz w:val="24"/>
                <w:highlight w:val="none"/>
              </w:rPr>
            </w:pPr>
            <w:r>
              <w:rPr>
                <w:rFonts w:hint="eastAsia" w:ascii="Times New Roman" w:hAnsi="Times New Roman" w:eastAsia="微软雅黑" w:cs="微软雅黑"/>
                <w:color w:val="auto"/>
                <w:kern w:val="0"/>
                <w:sz w:val="24"/>
                <w:highlight w:val="none"/>
                <w:lang w:bidi="ar"/>
              </w:rPr>
              <w:t>④</w:t>
            </w:r>
            <w:r>
              <w:rPr>
                <w:rFonts w:hint="eastAsia" w:ascii="Times New Roman" w:hAnsi="Times New Roman"/>
                <w:color w:val="auto"/>
                <w:kern w:val="0"/>
                <w:sz w:val="24"/>
                <w:highlight w:val="none"/>
                <w:lang w:val="en-US" w:eastAsia="zh-CN" w:bidi="ar"/>
              </w:rPr>
              <w:t>项目出水水质</w:t>
            </w:r>
          </w:p>
          <w:p w14:paraId="78A1FA8C">
            <w:pPr>
              <w:widowControl/>
              <w:snapToGrid w:val="0"/>
              <w:spacing w:line="360" w:lineRule="auto"/>
              <w:ind w:firstLine="480" w:firstLineChars="200"/>
              <w:jc w:val="left"/>
              <w:rPr>
                <w:rFonts w:hint="eastAsia" w:ascii="Times New Roman" w:hAnsi="Times New Roman" w:eastAsia="宋体" w:cs="宋体"/>
                <w:color w:val="auto"/>
                <w:spacing w:val="-1"/>
                <w:sz w:val="24"/>
                <w:szCs w:val="24"/>
              </w:rPr>
            </w:pPr>
            <w:r>
              <w:rPr>
                <w:rFonts w:ascii="Times New Roman" w:hAnsi="Times New Roman"/>
                <w:color w:val="auto"/>
                <w:kern w:val="0"/>
                <w:sz w:val="24"/>
                <w:highlight w:val="none"/>
                <w:lang w:bidi="ar"/>
              </w:rPr>
              <w:t>根据</w:t>
            </w:r>
            <w:r>
              <w:rPr>
                <w:rFonts w:hint="eastAsia" w:ascii="Times New Roman" w:hAnsi="Times New Roman"/>
                <w:color w:val="auto"/>
                <w:kern w:val="0"/>
                <w:sz w:val="24"/>
                <w:highlight w:val="none"/>
                <w:lang w:bidi="ar"/>
              </w:rPr>
              <w:t>前文</w:t>
            </w:r>
            <w:r>
              <w:rPr>
                <w:rFonts w:hint="eastAsia" w:ascii="Times New Roman" w:hAnsi="Times New Roman"/>
                <w:color w:val="auto"/>
                <w:kern w:val="0"/>
                <w:sz w:val="24"/>
                <w:highlight w:val="none"/>
                <w:lang w:val="en-US" w:eastAsia="zh-CN" w:bidi="ar"/>
              </w:rPr>
              <w:t>分析</w:t>
            </w:r>
            <w:r>
              <w:rPr>
                <w:rFonts w:ascii="Times New Roman" w:hAnsi="Times New Roman"/>
                <w:color w:val="auto"/>
                <w:kern w:val="0"/>
                <w:sz w:val="24"/>
                <w:highlight w:val="none"/>
                <w:lang w:bidi="ar"/>
              </w:rPr>
              <w:t>，项目</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val="en-US" w:eastAsia="zh-CN"/>
              </w:rPr>
              <w:t>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w:t>
            </w:r>
            <w:r>
              <w:rPr>
                <w:rFonts w:ascii="Times New Roman" w:hAnsi="Times New Roman"/>
                <w:color w:val="auto"/>
                <w:kern w:val="0"/>
                <w:sz w:val="24"/>
                <w:highlight w:val="none"/>
                <w:lang w:bidi="ar"/>
              </w:rPr>
              <w:t>出水水质能够</w:t>
            </w:r>
            <w:r>
              <w:rPr>
                <w:rFonts w:hint="eastAsia" w:ascii="Times New Roman" w:hAnsi="Times New Roman"/>
                <w:color w:val="auto"/>
                <w:kern w:val="0"/>
                <w:sz w:val="24"/>
                <w:highlight w:val="none"/>
                <w:lang w:val="en-US" w:eastAsia="zh-CN" w:bidi="ar"/>
              </w:rPr>
              <w:t>满足</w:t>
            </w:r>
            <w:r>
              <w:rPr>
                <w:rFonts w:ascii="Times New Roman" w:hAnsi="Times New Roman"/>
                <w:color w:val="auto"/>
                <w:kern w:val="0"/>
                <w:sz w:val="24"/>
                <w:highlight w:val="none"/>
                <w:lang w:bidi="ar"/>
              </w:rPr>
              <w:t>《污水排入城镇下水道水质标准》（GB/T31962-2015）表1中A级标准限值，</w:t>
            </w:r>
            <w:r>
              <w:rPr>
                <w:rFonts w:hint="eastAsia" w:ascii="Times New Roman" w:hAnsi="Times New Roman" w:eastAsia="宋体"/>
                <w:color w:val="auto"/>
                <w:sz w:val="24"/>
                <w:szCs w:val="24"/>
              </w:rPr>
              <w:t>生活污</w:t>
            </w:r>
            <w:r>
              <w:rPr>
                <w:rFonts w:hint="eastAsia" w:ascii="Times New Roman" w:hAnsi="Times New Roman" w:eastAsia="宋体" w:cs="宋体"/>
                <w:color w:val="auto"/>
                <w:spacing w:val="-1"/>
                <w:sz w:val="24"/>
                <w:szCs w:val="24"/>
              </w:rPr>
              <w:t>水经化粪池处理</w:t>
            </w:r>
            <w:r>
              <w:rPr>
                <w:rFonts w:hint="eastAsia" w:ascii="Times New Roman" w:hAnsi="Times New Roman" w:eastAsia="宋体" w:cs="宋体"/>
                <w:color w:val="auto"/>
                <w:spacing w:val="-1"/>
                <w:sz w:val="24"/>
                <w:szCs w:val="24"/>
                <w:lang w:val="en-US" w:eastAsia="zh-CN"/>
              </w:rPr>
              <w:t>后</w:t>
            </w:r>
            <w:r>
              <w:rPr>
                <w:rFonts w:ascii="Times New Roman" w:hAnsi="Times New Roman"/>
                <w:color w:val="auto"/>
                <w:kern w:val="0"/>
                <w:sz w:val="24"/>
                <w:highlight w:val="none"/>
                <w:lang w:bidi="ar"/>
              </w:rPr>
              <w:t>出水水质能够</w:t>
            </w:r>
            <w:r>
              <w:rPr>
                <w:rFonts w:hint="eastAsia" w:ascii="Times New Roman" w:hAnsi="Times New Roman" w:eastAsia="宋体" w:cs="宋体"/>
                <w:color w:val="auto"/>
                <w:spacing w:val="-1"/>
                <w:sz w:val="24"/>
                <w:szCs w:val="24"/>
                <w:lang w:val="en-US" w:eastAsia="zh-CN"/>
              </w:rPr>
              <w:t>满足</w:t>
            </w:r>
            <w:r>
              <w:rPr>
                <w:rFonts w:hint="eastAsia" w:ascii="Times New Roman" w:hAnsi="Times New Roman" w:eastAsia="宋体" w:cs="宋体"/>
                <w:color w:val="auto"/>
                <w:spacing w:val="-1"/>
                <w:sz w:val="24"/>
                <w:szCs w:val="24"/>
              </w:rPr>
              <w:t>《污水排入城镇下水道水质标准》（GB/T31962-2015）</w:t>
            </w:r>
            <w:r>
              <w:rPr>
                <w:rFonts w:ascii="Times New Roman" w:hAnsi="Times New Roman"/>
                <w:color w:val="auto"/>
                <w:kern w:val="0"/>
                <w:sz w:val="24"/>
                <w:highlight w:val="none"/>
                <w:lang w:bidi="ar"/>
              </w:rPr>
              <w:t>表1中A级标准限值，项目废水经</w:t>
            </w:r>
            <w:r>
              <w:rPr>
                <w:rFonts w:hint="eastAsia" w:ascii="Times New Roman" w:hAnsi="Times New Roman"/>
                <w:color w:val="auto"/>
                <w:kern w:val="0"/>
                <w:sz w:val="24"/>
                <w:highlight w:val="none"/>
                <w:lang w:val="en-US" w:eastAsia="zh-CN" w:bidi="ar"/>
              </w:rPr>
              <w:t>预</w:t>
            </w:r>
            <w:r>
              <w:rPr>
                <w:rFonts w:ascii="Times New Roman" w:hAnsi="Times New Roman"/>
                <w:color w:val="auto"/>
                <w:kern w:val="0"/>
                <w:sz w:val="24"/>
                <w:highlight w:val="none"/>
                <w:lang w:bidi="ar"/>
              </w:rPr>
              <w:t>处理后能满足排入市政管网</w:t>
            </w:r>
            <w:r>
              <w:rPr>
                <w:rFonts w:hint="eastAsia" w:ascii="Times New Roman" w:hAnsi="Times New Roman" w:eastAsia="宋体" w:cs="宋体"/>
                <w:color w:val="auto"/>
                <w:spacing w:val="-1"/>
                <w:sz w:val="24"/>
                <w:szCs w:val="24"/>
                <w:lang w:val="en-US" w:eastAsia="zh-CN"/>
              </w:rPr>
              <w:t>接管</w:t>
            </w:r>
            <w:r>
              <w:rPr>
                <w:rFonts w:hint="eastAsia" w:ascii="Times New Roman" w:hAnsi="Times New Roman" w:eastAsia="宋体" w:cs="宋体"/>
                <w:color w:val="auto"/>
                <w:spacing w:val="-1"/>
                <w:sz w:val="24"/>
                <w:szCs w:val="24"/>
              </w:rPr>
              <w:t>要求。</w:t>
            </w:r>
          </w:p>
          <w:p w14:paraId="009D49CF">
            <w:pPr>
              <w:widowControl/>
              <w:snapToGrid w:val="0"/>
              <w:spacing w:line="360" w:lineRule="auto"/>
              <w:ind w:firstLine="476" w:firstLineChars="200"/>
              <w:jc w:val="left"/>
              <w:rPr>
                <w:rFonts w:hint="eastAsia" w:ascii="Times New Roman" w:hAnsi="Times New Roman" w:eastAsia="宋体" w:cs="宋体"/>
                <w:color w:val="auto"/>
                <w:spacing w:val="-1"/>
                <w:sz w:val="24"/>
                <w:szCs w:val="24"/>
              </w:rPr>
            </w:pPr>
            <w:r>
              <w:rPr>
                <w:rFonts w:hint="eastAsia" w:ascii="Times New Roman" w:hAnsi="Times New Roman" w:eastAsia="宋体" w:cs="宋体"/>
                <w:color w:val="auto"/>
                <w:spacing w:val="-1"/>
                <w:sz w:val="24"/>
                <w:szCs w:val="24"/>
              </w:rPr>
              <w:t>综上</w:t>
            </w:r>
            <w:r>
              <w:rPr>
                <w:rFonts w:hint="eastAsia" w:ascii="Times New Roman" w:hAnsi="Times New Roman" w:eastAsia="宋体" w:cs="宋体"/>
                <w:color w:val="auto"/>
                <w:spacing w:val="-1"/>
                <w:sz w:val="24"/>
                <w:szCs w:val="24"/>
                <w:lang w:val="en-US" w:eastAsia="zh-CN"/>
              </w:rPr>
              <w:t>所述，</w:t>
            </w:r>
            <w:r>
              <w:rPr>
                <w:rFonts w:hint="eastAsia" w:ascii="Times New Roman" w:hAnsi="Times New Roman" w:eastAsia="宋体" w:cs="宋体"/>
                <w:color w:val="auto"/>
                <w:spacing w:val="-1"/>
                <w:sz w:val="24"/>
                <w:szCs w:val="24"/>
              </w:rPr>
              <w:t>项目废水排入寻甸县污水处理厂处理是可行的。</w:t>
            </w:r>
          </w:p>
          <w:p w14:paraId="3C0D9FD8">
            <w:pPr>
              <w:widowControl/>
              <w:snapToGrid w:val="0"/>
              <w:spacing w:line="360" w:lineRule="auto"/>
              <w:ind w:firstLine="478" w:firstLineChars="200"/>
              <w:jc w:val="left"/>
              <w:rPr>
                <w:rFonts w:hint="eastAsia" w:ascii="Times New Roman" w:hAnsi="Times New Roman" w:eastAsia="宋体" w:cs="宋体"/>
                <w:b/>
                <w:bCs/>
                <w:color w:val="auto"/>
                <w:spacing w:val="-1"/>
                <w:sz w:val="24"/>
                <w:szCs w:val="24"/>
                <w:lang w:eastAsia="zh-CN"/>
              </w:rPr>
            </w:pPr>
            <w:r>
              <w:rPr>
                <w:rFonts w:hint="eastAsia" w:ascii="Times New Roman" w:hAnsi="Times New Roman" w:eastAsia="宋体" w:cs="宋体"/>
                <w:b/>
                <w:bCs/>
                <w:color w:val="auto"/>
                <w:spacing w:val="-1"/>
                <w:sz w:val="24"/>
                <w:szCs w:val="24"/>
                <w:lang w:val="en-US" w:eastAsia="zh-CN"/>
              </w:rPr>
              <w:t>3</w:t>
            </w:r>
            <w:r>
              <w:rPr>
                <w:rFonts w:hint="eastAsia" w:ascii="Times New Roman" w:hAnsi="Times New Roman" w:eastAsia="宋体" w:cs="宋体"/>
                <w:b/>
                <w:bCs/>
                <w:color w:val="auto"/>
                <w:spacing w:val="-1"/>
                <w:sz w:val="24"/>
                <w:szCs w:val="24"/>
              </w:rPr>
              <w:t>、项目废水</w:t>
            </w:r>
            <w:r>
              <w:rPr>
                <w:rFonts w:hint="eastAsia" w:ascii="Times New Roman" w:hAnsi="Times New Roman" w:eastAsia="宋体" w:cs="宋体"/>
                <w:b/>
                <w:bCs/>
                <w:color w:val="auto"/>
                <w:spacing w:val="-1"/>
                <w:sz w:val="24"/>
                <w:szCs w:val="24"/>
                <w:lang w:val="en-US" w:eastAsia="zh-CN"/>
              </w:rPr>
              <w:t>监测要求</w:t>
            </w:r>
          </w:p>
          <w:p w14:paraId="31EF3D85">
            <w:pPr>
              <w:widowControl/>
              <w:snapToGrid w:val="0"/>
              <w:spacing w:line="360" w:lineRule="auto"/>
              <w:ind w:firstLine="476" w:firstLineChars="200"/>
              <w:jc w:val="left"/>
              <w:rPr>
                <w:rFonts w:hint="eastAsia" w:ascii="Times New Roman" w:hAnsi="Times New Roman" w:eastAsia="宋体" w:cs="宋体"/>
                <w:color w:val="auto"/>
                <w:spacing w:val="-1"/>
                <w:kern w:val="2"/>
                <w:sz w:val="24"/>
                <w:szCs w:val="24"/>
                <w:lang w:val="en-US" w:eastAsia="zh-CN" w:bidi="ar-SA"/>
              </w:rPr>
            </w:pPr>
            <w:r>
              <w:rPr>
                <w:rFonts w:hint="eastAsia" w:ascii="Times New Roman" w:hAnsi="Times New Roman" w:eastAsia="宋体" w:cs="宋体"/>
                <w:color w:val="auto"/>
                <w:spacing w:val="-1"/>
                <w:sz w:val="24"/>
                <w:szCs w:val="24"/>
                <w:lang w:val="en-US" w:eastAsia="zh-CN"/>
              </w:rPr>
              <w:t>本项目建成后共设置1个综合废水总排口DW001，项目运营过程中应委托有资质的监测单位进行项目环</w:t>
            </w:r>
            <w:r>
              <w:rPr>
                <w:rFonts w:hint="eastAsia" w:ascii="Times New Roman" w:hAnsi="Times New Roman" w:eastAsia="宋体" w:cs="宋体"/>
                <w:color w:val="auto"/>
                <w:spacing w:val="-1"/>
                <w:kern w:val="2"/>
                <w:sz w:val="24"/>
                <w:szCs w:val="24"/>
                <w:lang w:val="en-US" w:eastAsia="zh-CN" w:bidi="ar-SA"/>
              </w:rPr>
              <w:t>境监测，参照《排污单位自行监测技术指南总则》（HJ819-2017），各监测点位、监测因子、监测频次见下表：</w:t>
            </w:r>
          </w:p>
          <w:p w14:paraId="39AE285E">
            <w:pPr>
              <w:spacing w:before="31" w:line="230" w:lineRule="auto"/>
              <w:ind w:left="2491"/>
              <w:rPr>
                <w:rFonts w:hint="eastAsia" w:ascii="Times New Roman" w:hAnsi="Times New Roman" w:eastAsia="宋体" w:cs="宋体"/>
                <w:b/>
                <w:bCs/>
                <w:color w:val="auto"/>
                <w:spacing w:val="-1"/>
                <w:kern w:val="2"/>
                <w:sz w:val="21"/>
                <w:szCs w:val="21"/>
                <w:lang w:val="en-US" w:eastAsia="zh-CN" w:bidi="ar-SA"/>
              </w:rPr>
            </w:pPr>
            <w:r>
              <w:rPr>
                <w:rFonts w:hint="eastAsia" w:ascii="Times New Roman" w:hAnsi="Times New Roman" w:eastAsia="宋体" w:cs="宋体"/>
                <w:b/>
                <w:bCs/>
                <w:color w:val="auto"/>
                <w:spacing w:val="-1"/>
                <w:kern w:val="2"/>
                <w:sz w:val="21"/>
                <w:szCs w:val="21"/>
                <w:lang w:val="en-US" w:eastAsia="zh-CN" w:bidi="ar-SA"/>
              </w:rPr>
              <w:t>表4-</w:t>
            </w:r>
            <w:r>
              <w:rPr>
                <w:rFonts w:hint="eastAsia" w:ascii="Times New Roman" w:hAnsi="Times New Roman" w:cs="宋体"/>
                <w:b/>
                <w:bCs/>
                <w:color w:val="auto"/>
                <w:spacing w:val="-1"/>
                <w:kern w:val="2"/>
                <w:sz w:val="21"/>
                <w:szCs w:val="21"/>
                <w:lang w:val="en-US" w:eastAsia="zh-CN" w:bidi="ar-SA"/>
              </w:rPr>
              <w:t>13</w:t>
            </w:r>
            <w:r>
              <w:rPr>
                <w:rFonts w:hint="eastAsia" w:ascii="Times New Roman" w:hAnsi="Times New Roman" w:eastAsia="宋体" w:cs="宋体"/>
                <w:b/>
                <w:bCs/>
                <w:color w:val="auto"/>
                <w:spacing w:val="-1"/>
                <w:kern w:val="2"/>
                <w:sz w:val="21"/>
                <w:szCs w:val="21"/>
                <w:lang w:val="en-US" w:eastAsia="zh-CN" w:bidi="ar-SA"/>
              </w:rPr>
              <w:t xml:space="preserve"> 项目运营期废水监测计划表</w:t>
            </w:r>
          </w:p>
          <w:p w14:paraId="3C41600F">
            <w:pPr>
              <w:spacing w:line="128" w:lineRule="exact"/>
              <w:rPr>
                <w:rFonts w:hint="eastAsia" w:ascii="Times New Roman" w:hAnsi="Times New Roman" w:eastAsia="宋体" w:cs="宋体"/>
                <w:color w:val="auto"/>
                <w:spacing w:val="-1"/>
                <w:kern w:val="2"/>
                <w:sz w:val="24"/>
                <w:szCs w:val="24"/>
                <w:lang w:val="en-US" w:eastAsia="zh-CN" w:bidi="ar-SA"/>
              </w:rPr>
            </w:pPr>
          </w:p>
          <w:tbl>
            <w:tblPr>
              <w:tblStyle w:val="80"/>
              <w:tblW w:w="81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1311"/>
              <w:gridCol w:w="1861"/>
              <w:gridCol w:w="1077"/>
              <w:gridCol w:w="2926"/>
            </w:tblGrid>
            <w:tr w14:paraId="288A8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955" w:type="dxa"/>
                  <w:vAlign w:val="center"/>
                </w:tcPr>
                <w:p w14:paraId="05AAB91C">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监测对象</w:t>
                  </w:r>
                </w:p>
              </w:tc>
              <w:tc>
                <w:tcPr>
                  <w:tcW w:w="1311" w:type="dxa"/>
                  <w:vAlign w:val="center"/>
                </w:tcPr>
                <w:p w14:paraId="6116A3D9">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监测点位</w:t>
                  </w:r>
                </w:p>
              </w:tc>
              <w:tc>
                <w:tcPr>
                  <w:tcW w:w="1861" w:type="dxa"/>
                  <w:vAlign w:val="center"/>
                </w:tcPr>
                <w:p w14:paraId="17AEF419">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监测项目</w:t>
                  </w:r>
                </w:p>
              </w:tc>
              <w:tc>
                <w:tcPr>
                  <w:tcW w:w="1077" w:type="dxa"/>
                  <w:vAlign w:val="center"/>
                </w:tcPr>
                <w:p w14:paraId="7C75AF2A">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监测频率</w:t>
                  </w:r>
                </w:p>
              </w:tc>
              <w:tc>
                <w:tcPr>
                  <w:tcW w:w="2926" w:type="dxa"/>
                  <w:vAlign w:val="center"/>
                </w:tcPr>
                <w:p w14:paraId="09AC540D">
                  <w:pPr>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执行标准</w:t>
                  </w:r>
                </w:p>
              </w:tc>
            </w:tr>
            <w:tr w14:paraId="014AE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jc w:val="center"/>
              </w:trPr>
              <w:tc>
                <w:tcPr>
                  <w:tcW w:w="955" w:type="dxa"/>
                  <w:vAlign w:val="center"/>
                </w:tcPr>
                <w:p w14:paraId="3EB8DF3B">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废水</w:t>
                  </w:r>
                </w:p>
              </w:tc>
              <w:tc>
                <w:tcPr>
                  <w:tcW w:w="1311" w:type="dxa"/>
                  <w:vAlign w:val="center"/>
                </w:tcPr>
                <w:p w14:paraId="15FAE563">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综合废水总排口（DW001）</w:t>
                  </w:r>
                </w:p>
              </w:tc>
              <w:tc>
                <w:tcPr>
                  <w:tcW w:w="1861" w:type="dxa"/>
                  <w:vAlign w:val="center"/>
                </w:tcPr>
                <w:p w14:paraId="058175C8">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lang w:val="en-US" w:eastAsia="zh-CN"/>
                    </w:rPr>
                    <w:t>pH、COD</w:t>
                  </w:r>
                  <w:r>
                    <w:rPr>
                      <w:rFonts w:hint="eastAsia" w:ascii="Times New Roman" w:hAnsi="Times New Roman" w:eastAsia="宋体" w:cs="Times New Roman"/>
                      <w:color w:val="auto"/>
                      <w:sz w:val="21"/>
                      <w:szCs w:val="21"/>
                      <w:vertAlign w:val="subscript"/>
                      <w:lang w:val="en-US" w:eastAsia="zh-CN"/>
                    </w:rPr>
                    <w:t>Cr</w:t>
                  </w:r>
                  <w:r>
                    <w:rPr>
                      <w:rFonts w:hint="eastAsia" w:ascii="Times New Roman" w:hAnsi="Times New Roman" w:eastAsia="宋体" w:cs="Times New Roman"/>
                      <w:color w:val="auto"/>
                      <w:sz w:val="21"/>
                      <w:szCs w:val="21"/>
                      <w:lang w:val="en-US" w:eastAsia="zh-CN"/>
                    </w:rPr>
                    <w:t>、BOD</w:t>
                  </w:r>
                  <w:r>
                    <w:rPr>
                      <w:rFonts w:hint="eastAsia" w:ascii="Times New Roman" w:hAnsi="Times New Roman" w:eastAsia="宋体" w:cs="Times New Roman"/>
                      <w:color w:val="auto"/>
                      <w:sz w:val="21"/>
                      <w:szCs w:val="21"/>
                      <w:vertAlign w:val="subscript"/>
                      <w:lang w:val="en-US" w:eastAsia="zh-CN"/>
                    </w:rPr>
                    <w:t>5</w:t>
                  </w:r>
                  <w:r>
                    <w:rPr>
                      <w:rFonts w:hint="eastAsia" w:ascii="Times New Roman" w:hAnsi="Times New Roman" w:eastAsia="宋体" w:cs="Times New Roman"/>
                      <w:color w:val="auto"/>
                      <w:sz w:val="21"/>
                      <w:szCs w:val="21"/>
                      <w:lang w:val="en-US" w:eastAsia="zh-CN"/>
                    </w:rPr>
                    <w:t>、SS、氨氮、TP、TN、LAS</w:t>
                  </w:r>
                </w:p>
              </w:tc>
              <w:tc>
                <w:tcPr>
                  <w:tcW w:w="1077" w:type="dxa"/>
                  <w:vAlign w:val="center"/>
                </w:tcPr>
                <w:p w14:paraId="314A029C">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1次/年</w:t>
                  </w:r>
                </w:p>
              </w:tc>
              <w:tc>
                <w:tcPr>
                  <w:tcW w:w="2926" w:type="dxa"/>
                  <w:vAlign w:val="center"/>
                </w:tcPr>
                <w:p w14:paraId="1656566F">
                  <w:pPr>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《污水排入城镇下水道水质标准》（GB/T31962-2015）表1中A级标准</w:t>
                  </w:r>
                </w:p>
              </w:tc>
            </w:tr>
          </w:tbl>
          <w:p w14:paraId="6B7E3ADD">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三、运营期噪声环境影响及防治措施</w:t>
            </w:r>
          </w:p>
          <w:p w14:paraId="302DB5E5">
            <w:pPr>
              <w:adjustRightInd w:val="0"/>
              <w:snapToGrid w:val="0"/>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1、噪声源强</w:t>
            </w:r>
          </w:p>
          <w:p w14:paraId="791A1B12">
            <w:pPr>
              <w:pStyle w:val="73"/>
              <w:spacing w:line="360" w:lineRule="auto"/>
              <w:ind w:firstLine="480"/>
              <w:rPr>
                <w:rFonts w:ascii="Times New Roman" w:hAnsi="Times New Roman" w:eastAsia="宋体"/>
                <w:color w:val="auto"/>
                <w:sz w:val="24"/>
                <w:szCs w:val="24"/>
              </w:rPr>
            </w:pPr>
            <w:r>
              <w:rPr>
                <w:rFonts w:hint="eastAsia" w:ascii="Times New Roman" w:hAnsi="Times New Roman" w:eastAsia="宋体"/>
                <w:color w:val="auto"/>
                <w:sz w:val="24"/>
                <w:szCs w:val="24"/>
              </w:rPr>
              <w:t>项目运营期噪声主要来源于生产过程中设备运行时产生的噪声，</w:t>
            </w:r>
            <w:r>
              <w:rPr>
                <w:rFonts w:ascii="Times New Roman" w:hAnsi="Times New Roman" w:eastAsia="宋体"/>
                <w:color w:val="auto"/>
                <w:sz w:val="24"/>
                <w:szCs w:val="24"/>
              </w:rPr>
              <w:t>项目主要噪声设备及噪声源强详见表</w:t>
            </w:r>
            <w:r>
              <w:rPr>
                <w:rFonts w:hint="eastAsia" w:ascii="Times New Roman" w:hAnsi="Times New Roman"/>
                <w:color w:val="auto"/>
                <w:sz w:val="24"/>
                <w:szCs w:val="24"/>
                <w:lang w:val="en-US" w:eastAsia="zh-CN"/>
              </w:rPr>
              <w:t>4</w:t>
            </w:r>
            <w:r>
              <w:rPr>
                <w:rFonts w:ascii="Times New Roman" w:hAnsi="Times New Roman" w:eastAsia="宋体"/>
                <w:color w:val="auto"/>
                <w:sz w:val="24"/>
                <w:szCs w:val="24"/>
              </w:rPr>
              <w:t>-</w:t>
            </w:r>
            <w:r>
              <w:rPr>
                <w:rFonts w:hint="eastAsia" w:ascii="Times New Roman" w:hAnsi="Times New Roman"/>
                <w:color w:val="auto"/>
                <w:sz w:val="24"/>
                <w:szCs w:val="24"/>
                <w:lang w:val="en-US" w:eastAsia="zh-CN"/>
              </w:rPr>
              <w:t>14</w:t>
            </w:r>
            <w:r>
              <w:rPr>
                <w:rFonts w:hint="eastAsia" w:ascii="Times New Roman" w:hAnsi="Times New Roman" w:eastAsia="宋体"/>
                <w:color w:val="auto"/>
                <w:sz w:val="24"/>
                <w:szCs w:val="24"/>
              </w:rPr>
              <w:t>，噪声源强约在</w:t>
            </w:r>
            <w:r>
              <w:rPr>
                <w:rFonts w:hint="eastAsia" w:ascii="Times New Roman" w:hAnsi="Times New Roman"/>
                <w:color w:val="auto"/>
                <w:sz w:val="24"/>
                <w:szCs w:val="24"/>
                <w:lang w:val="en-US" w:eastAsia="zh-CN"/>
              </w:rPr>
              <w:t>65</w:t>
            </w:r>
            <w:r>
              <w:rPr>
                <w:rFonts w:ascii="Times New Roman" w:hAnsi="Times New Roman" w:eastAsia="宋体"/>
                <w:color w:val="auto"/>
                <w:sz w:val="24"/>
                <w:szCs w:val="24"/>
              </w:rPr>
              <w:t>~</w:t>
            </w:r>
            <w:r>
              <w:rPr>
                <w:rFonts w:hint="eastAsia" w:ascii="Times New Roman" w:hAnsi="Times New Roman"/>
                <w:color w:val="auto"/>
                <w:sz w:val="24"/>
                <w:szCs w:val="24"/>
                <w:lang w:val="en-US" w:eastAsia="zh-CN"/>
              </w:rPr>
              <w:t>85</w:t>
            </w:r>
            <w:r>
              <w:rPr>
                <w:rFonts w:ascii="Times New Roman" w:hAnsi="Times New Roman" w:eastAsia="宋体"/>
                <w:color w:val="auto"/>
                <w:sz w:val="24"/>
                <w:szCs w:val="24"/>
              </w:rPr>
              <w:t>B（A）。</w:t>
            </w:r>
          </w:p>
          <w:p w14:paraId="7034B114">
            <w:pPr>
              <w:keepLines/>
              <w:adjustRightInd w:val="0"/>
              <w:snapToGrid w:val="0"/>
              <w:spacing w:line="360" w:lineRule="auto"/>
              <w:ind w:firstLine="422" w:firstLineChars="200"/>
              <w:jc w:val="center"/>
              <w:rPr>
                <w:rFonts w:ascii="Times New Roman" w:hAnsi="Times New Roman" w:eastAsia="宋体"/>
                <w:b/>
                <w:color w:val="auto"/>
                <w:szCs w:val="21"/>
              </w:rPr>
            </w:pPr>
            <w:r>
              <w:rPr>
                <w:rFonts w:hint="eastAsia" w:ascii="Times New Roman" w:hAnsi="Times New Roman" w:eastAsia="宋体"/>
                <w:b/>
                <w:color w:val="auto"/>
                <w:szCs w:val="21"/>
              </w:rPr>
              <w:t>表</w:t>
            </w:r>
            <w:r>
              <w:rPr>
                <w:rFonts w:hint="eastAsia" w:ascii="Times New Roman" w:hAnsi="Times New Roman"/>
                <w:b/>
                <w:color w:val="auto"/>
                <w:szCs w:val="21"/>
                <w:lang w:val="en-US" w:eastAsia="zh-CN"/>
              </w:rPr>
              <w:t>4</w:t>
            </w:r>
            <w:r>
              <w:rPr>
                <w:rFonts w:hint="eastAsia" w:ascii="Times New Roman" w:hAnsi="Times New Roman" w:eastAsia="宋体"/>
                <w:b/>
                <w:color w:val="auto"/>
                <w:szCs w:val="21"/>
              </w:rPr>
              <w:t>-</w:t>
            </w:r>
            <w:r>
              <w:rPr>
                <w:rFonts w:hint="eastAsia" w:ascii="Times New Roman" w:hAnsi="Times New Roman"/>
                <w:b/>
                <w:color w:val="auto"/>
                <w:szCs w:val="21"/>
                <w:lang w:val="en-US" w:eastAsia="zh-CN"/>
              </w:rPr>
              <w:t xml:space="preserve">14 </w:t>
            </w:r>
            <w:r>
              <w:rPr>
                <w:rFonts w:ascii="Times New Roman" w:hAnsi="Times New Roman"/>
                <w:b/>
                <w:bCs/>
                <w:color w:val="auto"/>
                <w:szCs w:val="21"/>
                <w:highlight w:val="none"/>
              </w:rPr>
              <w:t>工业企业噪声源强调查清单（室内声源）</w:t>
            </w:r>
          </w:p>
          <w:tbl>
            <w:tblPr>
              <w:tblStyle w:val="28"/>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716"/>
              <w:gridCol w:w="1221"/>
              <w:gridCol w:w="687"/>
              <w:gridCol w:w="394"/>
              <w:gridCol w:w="530"/>
              <w:gridCol w:w="549"/>
              <w:gridCol w:w="689"/>
              <w:gridCol w:w="913"/>
              <w:gridCol w:w="904"/>
              <w:gridCol w:w="674"/>
              <w:gridCol w:w="443"/>
            </w:tblGrid>
            <w:tr w14:paraId="4315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jc w:val="center"/>
              </w:trPr>
              <w:tc>
                <w:tcPr>
                  <w:tcW w:w="439" w:type="dxa"/>
                  <w:vMerge w:val="restart"/>
                  <w:tcBorders>
                    <w:top w:val="single" w:color="auto" w:sz="4" w:space="0"/>
                    <w:bottom w:val="single" w:color="auto" w:sz="4" w:space="0"/>
                  </w:tcBorders>
                  <w:vAlign w:val="center"/>
                </w:tcPr>
                <w:p w14:paraId="6EFAC5F4">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序号</w:t>
                  </w:r>
                </w:p>
              </w:tc>
              <w:tc>
                <w:tcPr>
                  <w:tcW w:w="716" w:type="dxa"/>
                  <w:vMerge w:val="restart"/>
                  <w:tcBorders>
                    <w:top w:val="single" w:color="auto" w:sz="4" w:space="0"/>
                    <w:bottom w:val="single" w:color="auto" w:sz="4" w:space="0"/>
                  </w:tcBorders>
                  <w:vAlign w:val="center"/>
                </w:tcPr>
                <w:p w14:paraId="6AB023FF">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建筑物名称</w:t>
                  </w:r>
                </w:p>
              </w:tc>
              <w:tc>
                <w:tcPr>
                  <w:tcW w:w="1221" w:type="dxa"/>
                  <w:vMerge w:val="restart"/>
                  <w:tcBorders>
                    <w:top w:val="single" w:color="auto" w:sz="4" w:space="0"/>
                    <w:bottom w:val="single" w:color="auto" w:sz="4" w:space="0"/>
                  </w:tcBorders>
                  <w:vAlign w:val="center"/>
                </w:tcPr>
                <w:p w14:paraId="341DDFCD">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声源名称</w:t>
                  </w:r>
                </w:p>
              </w:tc>
              <w:tc>
                <w:tcPr>
                  <w:tcW w:w="687" w:type="dxa"/>
                  <w:tcBorders>
                    <w:top w:val="single" w:color="auto" w:sz="4" w:space="0"/>
                    <w:bottom w:val="single" w:color="auto" w:sz="4" w:space="0"/>
                  </w:tcBorders>
                  <w:vAlign w:val="center"/>
                </w:tcPr>
                <w:p w14:paraId="77F4641B">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声源源强</w:t>
                  </w:r>
                </w:p>
              </w:tc>
              <w:tc>
                <w:tcPr>
                  <w:tcW w:w="1473" w:type="dxa"/>
                  <w:gridSpan w:val="3"/>
                  <w:tcBorders>
                    <w:top w:val="single" w:color="auto" w:sz="4" w:space="0"/>
                    <w:bottom w:val="single" w:color="auto" w:sz="4" w:space="0"/>
                  </w:tcBorders>
                  <w:vAlign w:val="center"/>
                </w:tcPr>
                <w:p w14:paraId="695CC5AB">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空间相对位置/m</w:t>
                  </w:r>
                </w:p>
              </w:tc>
              <w:tc>
                <w:tcPr>
                  <w:tcW w:w="689" w:type="dxa"/>
                  <w:vMerge w:val="restart"/>
                  <w:tcBorders>
                    <w:top w:val="single" w:color="auto" w:sz="4" w:space="0"/>
                  </w:tcBorders>
                  <w:vAlign w:val="center"/>
                </w:tcPr>
                <w:p w14:paraId="3D8E019B">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距室内边界距离/m</w:t>
                  </w:r>
                </w:p>
              </w:tc>
              <w:tc>
                <w:tcPr>
                  <w:tcW w:w="913" w:type="dxa"/>
                  <w:vMerge w:val="restart"/>
                  <w:tcBorders>
                    <w:top w:val="single" w:color="auto" w:sz="4" w:space="0"/>
                  </w:tcBorders>
                  <w:vAlign w:val="center"/>
                </w:tcPr>
                <w:p w14:paraId="0D18B113">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室内边界声级/dB(A)</w:t>
                  </w:r>
                </w:p>
              </w:tc>
              <w:tc>
                <w:tcPr>
                  <w:tcW w:w="904" w:type="dxa"/>
                  <w:vMerge w:val="restart"/>
                  <w:tcBorders>
                    <w:top w:val="single" w:color="auto" w:sz="4" w:space="0"/>
                  </w:tcBorders>
                  <w:vAlign w:val="center"/>
                </w:tcPr>
                <w:p w14:paraId="7658C01E">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建筑物插入损失/dB(A)</w:t>
                  </w:r>
                </w:p>
                <w:p w14:paraId="0164A233">
                  <w:pPr>
                    <w:jc w:val="center"/>
                    <w:rPr>
                      <w:rFonts w:ascii="Times New Roman" w:hAnsi="Times New Roman" w:eastAsiaTheme="minorEastAsia"/>
                      <w:color w:val="auto"/>
                      <w:sz w:val="21"/>
                      <w:szCs w:val="21"/>
                    </w:rPr>
                  </w:pPr>
                </w:p>
              </w:tc>
              <w:tc>
                <w:tcPr>
                  <w:tcW w:w="1117" w:type="dxa"/>
                  <w:gridSpan w:val="2"/>
                  <w:tcBorders>
                    <w:top w:val="single" w:color="auto" w:sz="4" w:space="0"/>
                    <w:bottom w:val="single" w:color="auto" w:sz="4" w:space="0"/>
                  </w:tcBorders>
                  <w:vAlign w:val="center"/>
                </w:tcPr>
                <w:p w14:paraId="5D1AD955">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建筑物外噪声</w:t>
                  </w:r>
                </w:p>
              </w:tc>
            </w:tr>
            <w:tr w14:paraId="57A7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20" w:hRule="atLeast"/>
                <w:jc w:val="center"/>
              </w:trPr>
              <w:tc>
                <w:tcPr>
                  <w:tcW w:w="439" w:type="dxa"/>
                  <w:vMerge w:val="continue"/>
                  <w:tcBorders>
                    <w:top w:val="single" w:color="auto" w:sz="4" w:space="0"/>
                  </w:tcBorders>
                  <w:shd w:val="clear" w:color="auto" w:fill="FFFFFF"/>
                  <w:tcMar>
                    <w:top w:w="0" w:type="dxa"/>
                    <w:left w:w="0" w:type="dxa"/>
                    <w:bottom w:w="0" w:type="dxa"/>
                    <w:right w:w="0" w:type="dxa"/>
                  </w:tcMar>
                  <w:vAlign w:val="center"/>
                </w:tcPr>
                <w:p w14:paraId="7039CFB4">
                  <w:pPr>
                    <w:jc w:val="center"/>
                    <w:rPr>
                      <w:rFonts w:ascii="Times New Roman" w:hAnsi="Times New Roman" w:eastAsiaTheme="minorEastAsia"/>
                      <w:color w:val="auto"/>
                      <w:sz w:val="21"/>
                      <w:szCs w:val="21"/>
                    </w:rPr>
                  </w:pPr>
                </w:p>
              </w:tc>
              <w:tc>
                <w:tcPr>
                  <w:tcW w:w="716" w:type="dxa"/>
                  <w:vMerge w:val="continue"/>
                  <w:tcBorders>
                    <w:top w:val="single" w:color="auto" w:sz="4" w:space="0"/>
                  </w:tcBorders>
                  <w:shd w:val="clear" w:color="auto" w:fill="FFFFFF"/>
                  <w:tcMar>
                    <w:top w:w="0" w:type="dxa"/>
                    <w:left w:w="0" w:type="dxa"/>
                    <w:bottom w:w="0" w:type="dxa"/>
                    <w:right w:w="0" w:type="dxa"/>
                  </w:tcMar>
                  <w:vAlign w:val="center"/>
                </w:tcPr>
                <w:p w14:paraId="20720908">
                  <w:pPr>
                    <w:jc w:val="center"/>
                    <w:rPr>
                      <w:rFonts w:ascii="Times New Roman" w:hAnsi="Times New Roman" w:eastAsiaTheme="minorEastAsia"/>
                      <w:color w:val="auto"/>
                      <w:sz w:val="21"/>
                      <w:szCs w:val="21"/>
                    </w:rPr>
                  </w:pPr>
                </w:p>
              </w:tc>
              <w:tc>
                <w:tcPr>
                  <w:tcW w:w="1221" w:type="dxa"/>
                  <w:vMerge w:val="continue"/>
                  <w:tcBorders>
                    <w:top w:val="single" w:color="auto" w:sz="4" w:space="0"/>
                  </w:tcBorders>
                  <w:shd w:val="clear" w:color="auto" w:fill="FFFFFF"/>
                  <w:tcMar>
                    <w:top w:w="0" w:type="dxa"/>
                    <w:left w:w="0" w:type="dxa"/>
                    <w:bottom w:w="0" w:type="dxa"/>
                    <w:right w:w="0" w:type="dxa"/>
                  </w:tcMar>
                  <w:vAlign w:val="center"/>
                </w:tcPr>
                <w:p w14:paraId="3A77B21E">
                  <w:pPr>
                    <w:jc w:val="center"/>
                    <w:rPr>
                      <w:rFonts w:ascii="Times New Roman" w:hAnsi="Times New Roman" w:eastAsiaTheme="minorEastAsia"/>
                      <w:color w:val="auto"/>
                      <w:sz w:val="21"/>
                      <w:szCs w:val="21"/>
                    </w:rPr>
                  </w:pPr>
                </w:p>
              </w:tc>
              <w:tc>
                <w:tcPr>
                  <w:tcW w:w="687" w:type="dxa"/>
                  <w:tcBorders>
                    <w:top w:val="single" w:color="auto" w:sz="4" w:space="0"/>
                  </w:tcBorders>
                  <w:shd w:val="clear" w:color="auto" w:fill="FFFFFF"/>
                  <w:tcMar>
                    <w:top w:w="0" w:type="dxa"/>
                    <w:left w:w="0" w:type="dxa"/>
                    <w:bottom w:w="0" w:type="dxa"/>
                    <w:right w:w="0" w:type="dxa"/>
                  </w:tcMar>
                  <w:vAlign w:val="center"/>
                </w:tcPr>
                <w:p w14:paraId="6FC5D600">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声功率级/dB(A)</w:t>
                  </w:r>
                </w:p>
              </w:tc>
              <w:tc>
                <w:tcPr>
                  <w:tcW w:w="394" w:type="dxa"/>
                  <w:tcBorders>
                    <w:top w:val="single" w:color="auto" w:sz="4" w:space="0"/>
                  </w:tcBorders>
                  <w:shd w:val="clear" w:color="auto" w:fill="FFFFFF"/>
                  <w:tcMar>
                    <w:top w:w="0" w:type="dxa"/>
                    <w:left w:w="0" w:type="dxa"/>
                    <w:bottom w:w="0" w:type="dxa"/>
                    <w:right w:w="0" w:type="dxa"/>
                  </w:tcMar>
                  <w:vAlign w:val="center"/>
                </w:tcPr>
                <w:p w14:paraId="6970042F">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X</w:t>
                  </w:r>
                </w:p>
              </w:tc>
              <w:tc>
                <w:tcPr>
                  <w:tcW w:w="530" w:type="dxa"/>
                  <w:tcBorders>
                    <w:top w:val="single" w:color="auto" w:sz="4" w:space="0"/>
                  </w:tcBorders>
                  <w:shd w:val="clear" w:color="auto" w:fill="FFFFFF"/>
                  <w:tcMar>
                    <w:top w:w="0" w:type="dxa"/>
                    <w:left w:w="0" w:type="dxa"/>
                    <w:bottom w:w="0" w:type="dxa"/>
                    <w:right w:w="0" w:type="dxa"/>
                  </w:tcMar>
                  <w:vAlign w:val="center"/>
                </w:tcPr>
                <w:p w14:paraId="76CBDF17">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Y</w:t>
                  </w:r>
                </w:p>
              </w:tc>
              <w:tc>
                <w:tcPr>
                  <w:tcW w:w="549" w:type="dxa"/>
                  <w:tcBorders>
                    <w:top w:val="single" w:color="auto" w:sz="4" w:space="0"/>
                  </w:tcBorders>
                  <w:shd w:val="clear" w:color="auto" w:fill="FFFFFF"/>
                  <w:tcMar>
                    <w:top w:w="0" w:type="dxa"/>
                    <w:left w:w="0" w:type="dxa"/>
                    <w:bottom w:w="0" w:type="dxa"/>
                    <w:right w:w="0" w:type="dxa"/>
                  </w:tcMar>
                  <w:vAlign w:val="center"/>
                </w:tcPr>
                <w:p w14:paraId="1E157BBB">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Z</w:t>
                  </w:r>
                </w:p>
              </w:tc>
              <w:tc>
                <w:tcPr>
                  <w:tcW w:w="689" w:type="dxa"/>
                  <w:vMerge w:val="continue"/>
                  <w:shd w:val="clear" w:color="auto" w:fill="FFFFFF"/>
                  <w:tcMar>
                    <w:top w:w="0" w:type="dxa"/>
                    <w:left w:w="0" w:type="dxa"/>
                    <w:bottom w:w="0" w:type="dxa"/>
                    <w:right w:w="0" w:type="dxa"/>
                  </w:tcMar>
                  <w:vAlign w:val="center"/>
                </w:tcPr>
                <w:p w14:paraId="6DC9CA13">
                  <w:pPr>
                    <w:jc w:val="center"/>
                    <w:rPr>
                      <w:rFonts w:ascii="Times New Roman" w:hAnsi="Times New Roman"/>
                      <w:color w:val="auto"/>
                      <w:sz w:val="21"/>
                      <w:szCs w:val="21"/>
                    </w:rPr>
                  </w:pPr>
                </w:p>
              </w:tc>
              <w:tc>
                <w:tcPr>
                  <w:tcW w:w="913" w:type="dxa"/>
                  <w:vMerge w:val="continue"/>
                  <w:shd w:val="clear" w:color="auto" w:fill="FFFFFF"/>
                  <w:tcMar>
                    <w:top w:w="0" w:type="dxa"/>
                    <w:left w:w="0" w:type="dxa"/>
                    <w:bottom w:w="0" w:type="dxa"/>
                    <w:right w:w="0" w:type="dxa"/>
                  </w:tcMar>
                  <w:vAlign w:val="center"/>
                </w:tcPr>
                <w:p w14:paraId="55AAF5DA">
                  <w:pPr>
                    <w:jc w:val="center"/>
                    <w:rPr>
                      <w:rFonts w:ascii="Times New Roman" w:hAnsi="Times New Roman" w:eastAsiaTheme="minorEastAsia"/>
                      <w:color w:val="auto"/>
                      <w:sz w:val="21"/>
                      <w:szCs w:val="21"/>
                    </w:rPr>
                  </w:pPr>
                </w:p>
              </w:tc>
              <w:tc>
                <w:tcPr>
                  <w:tcW w:w="904" w:type="dxa"/>
                  <w:vMerge w:val="continue"/>
                  <w:shd w:val="clear" w:color="auto" w:fill="FFFFFF"/>
                  <w:tcMar>
                    <w:top w:w="0" w:type="dxa"/>
                    <w:left w:w="0" w:type="dxa"/>
                    <w:bottom w:w="0" w:type="dxa"/>
                    <w:right w:w="0" w:type="dxa"/>
                  </w:tcMar>
                  <w:vAlign w:val="center"/>
                </w:tcPr>
                <w:p w14:paraId="7FE37481">
                  <w:pPr>
                    <w:jc w:val="center"/>
                    <w:rPr>
                      <w:rFonts w:ascii="Times New Roman" w:hAnsi="Times New Roman" w:eastAsiaTheme="minorEastAsia"/>
                      <w:color w:val="auto"/>
                      <w:sz w:val="21"/>
                      <w:szCs w:val="21"/>
                    </w:rPr>
                  </w:pPr>
                </w:p>
              </w:tc>
              <w:tc>
                <w:tcPr>
                  <w:tcW w:w="674" w:type="dxa"/>
                  <w:tcBorders>
                    <w:top w:val="single" w:color="auto" w:sz="4" w:space="0"/>
                  </w:tcBorders>
                  <w:shd w:val="clear" w:color="auto" w:fill="FFFFFF"/>
                  <w:tcMar>
                    <w:top w:w="0" w:type="dxa"/>
                    <w:left w:w="0" w:type="dxa"/>
                    <w:bottom w:w="0" w:type="dxa"/>
                    <w:right w:w="0" w:type="dxa"/>
                  </w:tcMar>
                  <w:vAlign w:val="center"/>
                </w:tcPr>
                <w:p w14:paraId="5CB56F74">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声压级/dB(A)</w:t>
                  </w:r>
                </w:p>
              </w:tc>
              <w:tc>
                <w:tcPr>
                  <w:tcW w:w="443" w:type="dxa"/>
                  <w:tcBorders>
                    <w:top w:val="single" w:color="auto" w:sz="4" w:space="0"/>
                  </w:tcBorders>
                  <w:shd w:val="clear" w:color="auto" w:fill="FFFFFF"/>
                  <w:tcMar>
                    <w:top w:w="0" w:type="dxa"/>
                    <w:left w:w="0" w:type="dxa"/>
                    <w:bottom w:w="0" w:type="dxa"/>
                    <w:right w:w="0" w:type="dxa"/>
                  </w:tcMar>
                  <w:vAlign w:val="center"/>
                </w:tcPr>
                <w:p w14:paraId="49489976">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建筑物外距离</w:t>
                  </w:r>
                </w:p>
              </w:tc>
            </w:tr>
            <w:tr w14:paraId="2371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6E31742F">
                  <w:pPr>
                    <w:jc w:val="center"/>
                    <w:rPr>
                      <w:rFonts w:ascii="Times New Roman" w:hAnsi="Times New Roman"/>
                      <w:color w:val="auto"/>
                      <w:sz w:val="21"/>
                      <w:szCs w:val="21"/>
                    </w:rPr>
                  </w:pPr>
                  <w:r>
                    <w:rPr>
                      <w:rFonts w:ascii="Times New Roman" w:hAnsi="Times New Roman" w:eastAsia="Arial"/>
                      <w:color w:val="auto"/>
                      <w:sz w:val="21"/>
                      <w:szCs w:val="21"/>
                    </w:rPr>
                    <w:t>1</w:t>
                  </w:r>
                </w:p>
              </w:tc>
              <w:tc>
                <w:tcPr>
                  <w:tcW w:w="716" w:type="dxa"/>
                  <w:shd w:val="clear" w:color="auto" w:fill="FFFFFF"/>
                  <w:tcMar>
                    <w:top w:w="0" w:type="dxa"/>
                    <w:left w:w="0" w:type="dxa"/>
                    <w:bottom w:w="0" w:type="dxa"/>
                    <w:right w:w="0" w:type="dxa"/>
                  </w:tcMar>
                  <w:vAlign w:val="top"/>
                </w:tcPr>
                <w:p w14:paraId="58F7734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43E50134">
                  <w:pPr>
                    <w:jc w:val="center"/>
                    <w:rPr>
                      <w:rFonts w:hint="default" w:ascii="Times New Roman" w:hAnsi="Times New Roman" w:eastAsia="Arial" w:cs="Times New Roman"/>
                      <w:color w:val="auto"/>
                      <w:sz w:val="21"/>
                      <w:szCs w:val="21"/>
                      <w:lang w:val="en-US"/>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1</w:t>
                  </w:r>
                </w:p>
              </w:tc>
              <w:tc>
                <w:tcPr>
                  <w:tcW w:w="687" w:type="dxa"/>
                  <w:shd w:val="clear" w:color="auto" w:fill="FFFFFF"/>
                  <w:tcMar>
                    <w:top w:w="0" w:type="dxa"/>
                    <w:left w:w="0" w:type="dxa"/>
                    <w:bottom w:w="0" w:type="dxa"/>
                    <w:right w:w="0" w:type="dxa"/>
                  </w:tcMar>
                  <w:vAlign w:val="center"/>
                </w:tcPr>
                <w:p w14:paraId="7C0BA9B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2BF3DE1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14:paraId="2886C88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14:paraId="78C353A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55EED5A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4DF667D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693E12F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3B156DC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4A59579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76DC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041E1B7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16" w:type="dxa"/>
                  <w:shd w:val="clear" w:color="auto" w:fill="FFFFFF"/>
                  <w:tcMar>
                    <w:top w:w="0" w:type="dxa"/>
                    <w:left w:w="0" w:type="dxa"/>
                    <w:bottom w:w="0" w:type="dxa"/>
                    <w:right w:w="0" w:type="dxa"/>
                  </w:tcMar>
                  <w:vAlign w:val="top"/>
                </w:tcPr>
                <w:p w14:paraId="238EF63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2A0BD67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2</w:t>
                  </w:r>
                </w:p>
              </w:tc>
              <w:tc>
                <w:tcPr>
                  <w:tcW w:w="687" w:type="dxa"/>
                  <w:shd w:val="clear" w:color="auto" w:fill="FFFFFF"/>
                  <w:tcMar>
                    <w:top w:w="0" w:type="dxa"/>
                    <w:left w:w="0" w:type="dxa"/>
                    <w:bottom w:w="0" w:type="dxa"/>
                    <w:right w:w="0" w:type="dxa"/>
                  </w:tcMar>
                  <w:vAlign w:val="center"/>
                </w:tcPr>
                <w:p w14:paraId="6DD9647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36F4120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4E5A984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49" w:type="dxa"/>
                  <w:shd w:val="clear" w:color="auto" w:fill="FFFFFF"/>
                  <w:tcMar>
                    <w:top w:w="0" w:type="dxa"/>
                    <w:left w:w="0" w:type="dxa"/>
                    <w:bottom w:w="0" w:type="dxa"/>
                    <w:right w:w="0" w:type="dxa"/>
                  </w:tcMar>
                  <w:vAlign w:val="center"/>
                </w:tcPr>
                <w:p w14:paraId="6BA1056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6935FB2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1C98184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19980C9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262CACB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307908A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6057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31B8B51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16" w:type="dxa"/>
                  <w:shd w:val="clear" w:color="auto" w:fill="FFFFFF"/>
                  <w:tcMar>
                    <w:top w:w="0" w:type="dxa"/>
                    <w:left w:w="0" w:type="dxa"/>
                    <w:bottom w:w="0" w:type="dxa"/>
                    <w:right w:w="0" w:type="dxa"/>
                  </w:tcMar>
                  <w:vAlign w:val="top"/>
                </w:tcPr>
                <w:p w14:paraId="24BA41F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15CBBBF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3</w:t>
                  </w:r>
                </w:p>
              </w:tc>
              <w:tc>
                <w:tcPr>
                  <w:tcW w:w="687" w:type="dxa"/>
                  <w:shd w:val="clear" w:color="auto" w:fill="FFFFFF"/>
                  <w:tcMar>
                    <w:top w:w="0" w:type="dxa"/>
                    <w:left w:w="0" w:type="dxa"/>
                    <w:bottom w:w="0" w:type="dxa"/>
                    <w:right w:w="0" w:type="dxa"/>
                  </w:tcMar>
                  <w:vAlign w:val="center"/>
                </w:tcPr>
                <w:p w14:paraId="5C940EB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3C93A09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14:paraId="03E5B9D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549" w:type="dxa"/>
                  <w:shd w:val="clear" w:color="auto" w:fill="FFFFFF"/>
                  <w:tcMar>
                    <w:top w:w="0" w:type="dxa"/>
                    <w:left w:w="0" w:type="dxa"/>
                    <w:bottom w:w="0" w:type="dxa"/>
                    <w:right w:w="0" w:type="dxa"/>
                  </w:tcMar>
                  <w:vAlign w:val="center"/>
                </w:tcPr>
                <w:p w14:paraId="3CF165E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5335752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469A087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61F0A9F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324F483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4A4EC90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153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B1B387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16" w:type="dxa"/>
                  <w:shd w:val="clear" w:color="auto" w:fill="FFFFFF"/>
                  <w:tcMar>
                    <w:top w:w="0" w:type="dxa"/>
                    <w:left w:w="0" w:type="dxa"/>
                    <w:bottom w:w="0" w:type="dxa"/>
                    <w:right w:w="0" w:type="dxa"/>
                  </w:tcMar>
                  <w:vAlign w:val="top"/>
                </w:tcPr>
                <w:p w14:paraId="5A84ECB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0B068F3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4</w:t>
                  </w:r>
                </w:p>
              </w:tc>
              <w:tc>
                <w:tcPr>
                  <w:tcW w:w="687" w:type="dxa"/>
                  <w:shd w:val="clear" w:color="auto" w:fill="FFFFFF"/>
                  <w:tcMar>
                    <w:top w:w="0" w:type="dxa"/>
                    <w:left w:w="0" w:type="dxa"/>
                    <w:bottom w:w="0" w:type="dxa"/>
                    <w:right w:w="0" w:type="dxa"/>
                  </w:tcMar>
                  <w:vAlign w:val="center"/>
                </w:tcPr>
                <w:p w14:paraId="031B2F8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002CBC9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6C8BFC7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14:paraId="11E00F2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5634CDC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5EC4B6E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3F30AA0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53AD574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35DF371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1AB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7B65CB9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16" w:type="dxa"/>
                  <w:shd w:val="clear" w:color="auto" w:fill="FFFFFF"/>
                  <w:tcMar>
                    <w:top w:w="0" w:type="dxa"/>
                    <w:left w:w="0" w:type="dxa"/>
                    <w:bottom w:w="0" w:type="dxa"/>
                    <w:right w:w="0" w:type="dxa"/>
                  </w:tcMar>
                  <w:vAlign w:val="top"/>
                </w:tcPr>
                <w:p w14:paraId="0E1529D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10A8790A">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5</w:t>
                  </w:r>
                </w:p>
              </w:tc>
              <w:tc>
                <w:tcPr>
                  <w:tcW w:w="687" w:type="dxa"/>
                  <w:shd w:val="clear" w:color="auto" w:fill="FFFFFF"/>
                  <w:tcMar>
                    <w:top w:w="0" w:type="dxa"/>
                    <w:left w:w="0" w:type="dxa"/>
                    <w:bottom w:w="0" w:type="dxa"/>
                    <w:right w:w="0" w:type="dxa"/>
                  </w:tcMar>
                  <w:vAlign w:val="center"/>
                </w:tcPr>
                <w:p w14:paraId="2B39874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4C077B9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610CEF8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549" w:type="dxa"/>
                  <w:shd w:val="clear" w:color="auto" w:fill="FFFFFF"/>
                  <w:tcMar>
                    <w:top w:w="0" w:type="dxa"/>
                    <w:left w:w="0" w:type="dxa"/>
                    <w:bottom w:w="0" w:type="dxa"/>
                    <w:right w:w="0" w:type="dxa"/>
                  </w:tcMar>
                  <w:vAlign w:val="center"/>
                </w:tcPr>
                <w:p w14:paraId="3D9775C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06060DA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4623CA1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14:paraId="6567EFC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5864A0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14:paraId="1979A5F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4EE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439A1B0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16" w:type="dxa"/>
                  <w:shd w:val="clear" w:color="auto" w:fill="FFFFFF"/>
                  <w:tcMar>
                    <w:top w:w="0" w:type="dxa"/>
                    <w:left w:w="0" w:type="dxa"/>
                    <w:bottom w:w="0" w:type="dxa"/>
                    <w:right w:w="0" w:type="dxa"/>
                  </w:tcMar>
                  <w:vAlign w:val="top"/>
                </w:tcPr>
                <w:p w14:paraId="2FB7A5D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3</w:t>
                  </w:r>
                </w:p>
              </w:tc>
              <w:tc>
                <w:tcPr>
                  <w:tcW w:w="1221" w:type="dxa"/>
                  <w:shd w:val="clear" w:color="auto" w:fill="FFFFFF"/>
                  <w:tcMar>
                    <w:top w:w="0" w:type="dxa"/>
                    <w:left w:w="0" w:type="dxa"/>
                    <w:bottom w:w="0" w:type="dxa"/>
                    <w:right w:w="0" w:type="dxa"/>
                  </w:tcMar>
                  <w:vAlign w:val="center"/>
                </w:tcPr>
                <w:p w14:paraId="46E29250">
                  <w:pPr>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洗脱机</w:t>
                  </w:r>
                  <w:r>
                    <w:rPr>
                      <w:rFonts w:hint="eastAsia" w:ascii="Times New Roman" w:hAnsi="Times New Roman" w:cs="宋体"/>
                      <w:color w:val="auto"/>
                      <w:sz w:val="21"/>
                      <w:szCs w:val="21"/>
                      <w:lang w:val="en-US" w:eastAsia="zh-CN"/>
                    </w:rPr>
                    <w:t>6</w:t>
                  </w:r>
                </w:p>
              </w:tc>
              <w:tc>
                <w:tcPr>
                  <w:tcW w:w="687" w:type="dxa"/>
                  <w:shd w:val="clear" w:color="auto" w:fill="FFFFFF"/>
                  <w:tcMar>
                    <w:top w:w="0" w:type="dxa"/>
                    <w:left w:w="0" w:type="dxa"/>
                    <w:bottom w:w="0" w:type="dxa"/>
                    <w:right w:w="0" w:type="dxa"/>
                  </w:tcMar>
                  <w:vAlign w:val="center"/>
                </w:tcPr>
                <w:p w14:paraId="18A67FE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7E7EE74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63366E4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49" w:type="dxa"/>
                  <w:shd w:val="clear" w:color="auto" w:fill="FFFFFF"/>
                  <w:tcMar>
                    <w:top w:w="0" w:type="dxa"/>
                    <w:left w:w="0" w:type="dxa"/>
                    <w:bottom w:w="0" w:type="dxa"/>
                    <w:right w:w="0" w:type="dxa"/>
                  </w:tcMar>
                  <w:vAlign w:val="center"/>
                </w:tcPr>
                <w:p w14:paraId="09A8BF7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067C1CD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67C8E65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14:paraId="4B70BDB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2DE8BEB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14:paraId="798DD09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2F8A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D7EB45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716" w:type="dxa"/>
                  <w:shd w:val="clear" w:color="auto" w:fill="FFFFFF"/>
                  <w:tcMar>
                    <w:top w:w="0" w:type="dxa"/>
                    <w:left w:w="0" w:type="dxa"/>
                    <w:bottom w:w="0" w:type="dxa"/>
                    <w:right w:w="0" w:type="dxa"/>
                  </w:tcMar>
                  <w:vAlign w:val="top"/>
                </w:tcPr>
                <w:p w14:paraId="00091C7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6678491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烘干机1</w:t>
                  </w:r>
                </w:p>
              </w:tc>
              <w:tc>
                <w:tcPr>
                  <w:tcW w:w="687" w:type="dxa"/>
                  <w:shd w:val="clear" w:color="auto" w:fill="FFFFFF"/>
                  <w:tcMar>
                    <w:top w:w="0" w:type="dxa"/>
                    <w:left w:w="0" w:type="dxa"/>
                    <w:bottom w:w="0" w:type="dxa"/>
                    <w:right w:w="0" w:type="dxa"/>
                  </w:tcMar>
                  <w:vAlign w:val="center"/>
                </w:tcPr>
                <w:p w14:paraId="404DAC4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6179CD8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14:paraId="0FD90AD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49" w:type="dxa"/>
                  <w:shd w:val="clear" w:color="auto" w:fill="FFFFFF"/>
                  <w:tcMar>
                    <w:top w:w="0" w:type="dxa"/>
                    <w:left w:w="0" w:type="dxa"/>
                    <w:bottom w:w="0" w:type="dxa"/>
                    <w:right w:w="0" w:type="dxa"/>
                  </w:tcMar>
                  <w:vAlign w:val="center"/>
                </w:tcPr>
                <w:p w14:paraId="3D2B88F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0A29AD8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7650E30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2CF246B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5068AED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257F3D0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198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69757F8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16" w:type="dxa"/>
                  <w:shd w:val="clear" w:color="auto" w:fill="FFFFFF"/>
                  <w:tcMar>
                    <w:top w:w="0" w:type="dxa"/>
                    <w:left w:w="0" w:type="dxa"/>
                    <w:bottom w:w="0" w:type="dxa"/>
                    <w:right w:w="0" w:type="dxa"/>
                  </w:tcMar>
                  <w:vAlign w:val="top"/>
                </w:tcPr>
                <w:p w14:paraId="3E7253B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5F1333D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烘干机2</w:t>
                  </w:r>
                </w:p>
              </w:tc>
              <w:tc>
                <w:tcPr>
                  <w:tcW w:w="687" w:type="dxa"/>
                  <w:shd w:val="clear" w:color="auto" w:fill="FFFFFF"/>
                  <w:tcMar>
                    <w:top w:w="0" w:type="dxa"/>
                    <w:left w:w="0" w:type="dxa"/>
                    <w:bottom w:w="0" w:type="dxa"/>
                    <w:right w:w="0" w:type="dxa"/>
                  </w:tcMar>
                  <w:vAlign w:val="center"/>
                </w:tcPr>
                <w:p w14:paraId="3A35814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275220C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14:paraId="6272671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49" w:type="dxa"/>
                  <w:shd w:val="clear" w:color="auto" w:fill="FFFFFF"/>
                  <w:tcMar>
                    <w:top w:w="0" w:type="dxa"/>
                    <w:left w:w="0" w:type="dxa"/>
                    <w:bottom w:w="0" w:type="dxa"/>
                    <w:right w:w="0" w:type="dxa"/>
                  </w:tcMar>
                  <w:vAlign w:val="center"/>
                </w:tcPr>
                <w:p w14:paraId="7FF5745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6131AEA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3CEE250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3BF4AFA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5887D5F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1E26C13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75F9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7337CDE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716" w:type="dxa"/>
                  <w:shd w:val="clear" w:color="auto" w:fill="FFFFFF"/>
                  <w:tcMar>
                    <w:top w:w="0" w:type="dxa"/>
                    <w:left w:w="0" w:type="dxa"/>
                    <w:bottom w:w="0" w:type="dxa"/>
                    <w:right w:w="0" w:type="dxa"/>
                  </w:tcMar>
                  <w:vAlign w:val="top"/>
                </w:tcPr>
                <w:p w14:paraId="3255CD8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35AE327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烘干机3</w:t>
                  </w:r>
                </w:p>
              </w:tc>
              <w:tc>
                <w:tcPr>
                  <w:tcW w:w="687" w:type="dxa"/>
                  <w:shd w:val="clear" w:color="auto" w:fill="FFFFFF"/>
                  <w:tcMar>
                    <w:top w:w="0" w:type="dxa"/>
                    <w:left w:w="0" w:type="dxa"/>
                    <w:bottom w:w="0" w:type="dxa"/>
                    <w:right w:w="0" w:type="dxa"/>
                  </w:tcMar>
                  <w:vAlign w:val="center"/>
                </w:tcPr>
                <w:p w14:paraId="7E48998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3E0C486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14:paraId="5530F96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14:paraId="3C7E1CF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35AE34F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108C2C9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14:paraId="7BAF4D1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065B90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14:paraId="3F5958F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D1E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C0E91C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716" w:type="dxa"/>
                  <w:shd w:val="clear" w:color="auto" w:fill="FFFFFF"/>
                  <w:tcMar>
                    <w:top w:w="0" w:type="dxa"/>
                    <w:left w:w="0" w:type="dxa"/>
                    <w:bottom w:w="0" w:type="dxa"/>
                    <w:right w:w="0" w:type="dxa"/>
                  </w:tcMar>
                  <w:vAlign w:val="top"/>
                </w:tcPr>
                <w:p w14:paraId="5575331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39B920A6">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烘干机4</w:t>
                  </w:r>
                </w:p>
              </w:tc>
              <w:tc>
                <w:tcPr>
                  <w:tcW w:w="687" w:type="dxa"/>
                  <w:shd w:val="clear" w:color="auto" w:fill="FFFFFF"/>
                  <w:tcMar>
                    <w:top w:w="0" w:type="dxa"/>
                    <w:left w:w="0" w:type="dxa"/>
                    <w:bottom w:w="0" w:type="dxa"/>
                    <w:right w:w="0" w:type="dxa"/>
                  </w:tcMar>
                  <w:vAlign w:val="center"/>
                </w:tcPr>
                <w:p w14:paraId="72FBC59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14:paraId="4B28E8C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1F37D81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14:paraId="4C87619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013B2B4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52681A9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14:paraId="6A477D2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60ED49C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14:paraId="0C5D63E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949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2112A82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716" w:type="dxa"/>
                  <w:shd w:val="clear" w:color="auto" w:fill="FFFFFF"/>
                  <w:tcMar>
                    <w:top w:w="0" w:type="dxa"/>
                    <w:left w:w="0" w:type="dxa"/>
                    <w:bottom w:w="0" w:type="dxa"/>
                    <w:right w:w="0" w:type="dxa"/>
                  </w:tcMar>
                  <w:vAlign w:val="top"/>
                </w:tcPr>
                <w:p w14:paraId="5E1900C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115FB61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烫平机1</w:t>
                  </w:r>
                </w:p>
              </w:tc>
              <w:tc>
                <w:tcPr>
                  <w:tcW w:w="687" w:type="dxa"/>
                  <w:shd w:val="clear" w:color="auto" w:fill="FFFFFF"/>
                  <w:tcMar>
                    <w:top w:w="0" w:type="dxa"/>
                    <w:left w:w="0" w:type="dxa"/>
                    <w:bottom w:w="0" w:type="dxa"/>
                    <w:right w:w="0" w:type="dxa"/>
                  </w:tcMar>
                  <w:vAlign w:val="center"/>
                </w:tcPr>
                <w:p w14:paraId="4C358B6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00CC3D2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21AE2EB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49" w:type="dxa"/>
                  <w:shd w:val="clear" w:color="auto" w:fill="FFFFFF"/>
                  <w:tcMar>
                    <w:top w:w="0" w:type="dxa"/>
                    <w:left w:w="0" w:type="dxa"/>
                    <w:bottom w:w="0" w:type="dxa"/>
                    <w:right w:w="0" w:type="dxa"/>
                  </w:tcMar>
                  <w:vAlign w:val="center"/>
                </w:tcPr>
                <w:p w14:paraId="6887395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2E0DDFA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3962525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14:paraId="17AD55E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19F606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14:paraId="08E5A70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F05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5C54F58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716" w:type="dxa"/>
                  <w:shd w:val="clear" w:color="auto" w:fill="FFFFFF"/>
                  <w:tcMar>
                    <w:top w:w="0" w:type="dxa"/>
                    <w:left w:w="0" w:type="dxa"/>
                    <w:bottom w:w="0" w:type="dxa"/>
                    <w:right w:w="0" w:type="dxa"/>
                  </w:tcMar>
                  <w:vAlign w:val="top"/>
                </w:tcPr>
                <w:p w14:paraId="1791BE5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439D5AE8">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烫平机2</w:t>
                  </w:r>
                </w:p>
              </w:tc>
              <w:tc>
                <w:tcPr>
                  <w:tcW w:w="687" w:type="dxa"/>
                  <w:shd w:val="clear" w:color="auto" w:fill="FFFFFF"/>
                  <w:tcMar>
                    <w:top w:w="0" w:type="dxa"/>
                    <w:left w:w="0" w:type="dxa"/>
                    <w:bottom w:w="0" w:type="dxa"/>
                    <w:right w:w="0" w:type="dxa"/>
                  </w:tcMar>
                  <w:vAlign w:val="center"/>
                </w:tcPr>
                <w:p w14:paraId="3DD1D9E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1713DD8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36A1C6C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549" w:type="dxa"/>
                  <w:shd w:val="clear" w:color="auto" w:fill="FFFFFF"/>
                  <w:tcMar>
                    <w:top w:w="0" w:type="dxa"/>
                    <w:left w:w="0" w:type="dxa"/>
                    <w:bottom w:w="0" w:type="dxa"/>
                    <w:right w:w="0" w:type="dxa"/>
                  </w:tcMar>
                  <w:vAlign w:val="center"/>
                </w:tcPr>
                <w:p w14:paraId="149571D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343F62C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3C67D1C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14:paraId="380B337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157896E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14:paraId="1087D27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924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42826D9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716" w:type="dxa"/>
                  <w:shd w:val="clear" w:color="auto" w:fill="FFFFFF"/>
                  <w:tcMar>
                    <w:top w:w="0" w:type="dxa"/>
                    <w:left w:w="0" w:type="dxa"/>
                    <w:bottom w:w="0" w:type="dxa"/>
                    <w:right w:w="0" w:type="dxa"/>
                  </w:tcMar>
                  <w:vAlign w:val="top"/>
                </w:tcPr>
                <w:p w14:paraId="43206EA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31BE194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折叠机1</w:t>
                  </w:r>
                </w:p>
              </w:tc>
              <w:tc>
                <w:tcPr>
                  <w:tcW w:w="687" w:type="dxa"/>
                  <w:shd w:val="clear" w:color="auto" w:fill="FFFFFF"/>
                  <w:tcMar>
                    <w:top w:w="0" w:type="dxa"/>
                    <w:left w:w="0" w:type="dxa"/>
                    <w:bottom w:w="0" w:type="dxa"/>
                    <w:right w:w="0" w:type="dxa"/>
                  </w:tcMar>
                  <w:vAlign w:val="center"/>
                </w:tcPr>
                <w:p w14:paraId="4FCD955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4CBCED2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09A1B3E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49" w:type="dxa"/>
                  <w:shd w:val="clear" w:color="auto" w:fill="FFFFFF"/>
                  <w:tcMar>
                    <w:top w:w="0" w:type="dxa"/>
                    <w:left w:w="0" w:type="dxa"/>
                    <w:bottom w:w="0" w:type="dxa"/>
                    <w:right w:w="0" w:type="dxa"/>
                  </w:tcMar>
                  <w:vAlign w:val="center"/>
                </w:tcPr>
                <w:p w14:paraId="417395E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2275272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4B8EE7A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14:paraId="75CEC19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44090BA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14:paraId="43EEC73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461E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554633C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716" w:type="dxa"/>
                  <w:shd w:val="clear" w:color="auto" w:fill="FFFFFF"/>
                  <w:tcMar>
                    <w:top w:w="0" w:type="dxa"/>
                    <w:left w:w="0" w:type="dxa"/>
                    <w:bottom w:w="0" w:type="dxa"/>
                    <w:right w:w="0" w:type="dxa"/>
                  </w:tcMar>
                  <w:vAlign w:val="top"/>
                </w:tcPr>
                <w:p w14:paraId="41D838A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27CF4230">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折叠机2</w:t>
                  </w:r>
                </w:p>
              </w:tc>
              <w:tc>
                <w:tcPr>
                  <w:tcW w:w="687" w:type="dxa"/>
                  <w:shd w:val="clear" w:color="auto" w:fill="FFFFFF"/>
                  <w:tcMar>
                    <w:top w:w="0" w:type="dxa"/>
                    <w:left w:w="0" w:type="dxa"/>
                    <w:bottom w:w="0" w:type="dxa"/>
                    <w:right w:w="0" w:type="dxa"/>
                  </w:tcMar>
                  <w:vAlign w:val="center"/>
                </w:tcPr>
                <w:p w14:paraId="3120575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6ACB5A0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14:paraId="0A505CA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14:paraId="007FF03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41C9A57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2B872D4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14:paraId="187DCFD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190D507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14:paraId="7F48DCF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13A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8A7CA6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p>
              </w:tc>
              <w:tc>
                <w:tcPr>
                  <w:tcW w:w="716" w:type="dxa"/>
                  <w:shd w:val="clear" w:color="auto" w:fill="FFFFFF"/>
                  <w:tcMar>
                    <w:top w:w="0" w:type="dxa"/>
                    <w:left w:w="0" w:type="dxa"/>
                    <w:bottom w:w="0" w:type="dxa"/>
                    <w:right w:w="0" w:type="dxa"/>
                  </w:tcMar>
                  <w:vAlign w:val="top"/>
                </w:tcPr>
                <w:p w14:paraId="2A555B2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3F5A109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rPr>
                    <w:t>送布机</w:t>
                  </w:r>
                  <w:r>
                    <w:rPr>
                      <w:rFonts w:hint="eastAsia" w:ascii="Times New Roman" w:hAnsi="Times New Roman" w:cs="宋体"/>
                      <w:color w:val="auto"/>
                      <w:sz w:val="21"/>
                      <w:szCs w:val="21"/>
                      <w:lang w:val="en-US" w:eastAsia="zh-CN"/>
                    </w:rPr>
                    <w:t>1</w:t>
                  </w:r>
                </w:p>
              </w:tc>
              <w:tc>
                <w:tcPr>
                  <w:tcW w:w="687" w:type="dxa"/>
                  <w:shd w:val="clear" w:color="auto" w:fill="FFFFFF"/>
                  <w:tcMar>
                    <w:top w:w="0" w:type="dxa"/>
                    <w:left w:w="0" w:type="dxa"/>
                    <w:bottom w:w="0" w:type="dxa"/>
                    <w:right w:w="0" w:type="dxa"/>
                  </w:tcMar>
                  <w:vAlign w:val="center"/>
                </w:tcPr>
                <w:p w14:paraId="3CCABDE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73C13A5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30" w:type="dxa"/>
                  <w:shd w:val="clear" w:color="auto" w:fill="FFFFFF"/>
                  <w:tcMar>
                    <w:top w:w="0" w:type="dxa"/>
                    <w:left w:w="0" w:type="dxa"/>
                    <w:bottom w:w="0" w:type="dxa"/>
                    <w:right w:w="0" w:type="dxa"/>
                  </w:tcMar>
                  <w:vAlign w:val="center"/>
                </w:tcPr>
                <w:p w14:paraId="5FD42CB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49" w:type="dxa"/>
                  <w:shd w:val="clear" w:color="auto" w:fill="FFFFFF"/>
                  <w:tcMar>
                    <w:top w:w="0" w:type="dxa"/>
                    <w:left w:w="0" w:type="dxa"/>
                    <w:bottom w:w="0" w:type="dxa"/>
                    <w:right w:w="0" w:type="dxa"/>
                  </w:tcMar>
                  <w:vAlign w:val="center"/>
                </w:tcPr>
                <w:p w14:paraId="2058CF1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2213960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486C611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14:paraId="0331E9F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6580CFC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14:paraId="5D31B35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F25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3C7269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716" w:type="dxa"/>
                  <w:shd w:val="clear" w:color="auto" w:fill="FFFFFF"/>
                  <w:tcMar>
                    <w:top w:w="0" w:type="dxa"/>
                    <w:left w:w="0" w:type="dxa"/>
                    <w:bottom w:w="0" w:type="dxa"/>
                    <w:right w:w="0" w:type="dxa"/>
                  </w:tcMar>
                  <w:vAlign w:val="top"/>
                </w:tcPr>
                <w:p w14:paraId="0574B58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14:paraId="62A8664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sz w:val="21"/>
                      <w:szCs w:val="21"/>
                    </w:rPr>
                    <w:t>送布机</w:t>
                  </w:r>
                  <w:r>
                    <w:rPr>
                      <w:rFonts w:hint="eastAsia" w:ascii="Times New Roman" w:hAnsi="Times New Roman" w:cs="宋体"/>
                      <w:color w:val="auto"/>
                      <w:sz w:val="21"/>
                      <w:szCs w:val="21"/>
                      <w:lang w:val="en-US" w:eastAsia="zh-CN"/>
                    </w:rPr>
                    <w:t>2</w:t>
                  </w:r>
                </w:p>
              </w:tc>
              <w:tc>
                <w:tcPr>
                  <w:tcW w:w="687" w:type="dxa"/>
                  <w:shd w:val="clear" w:color="auto" w:fill="FFFFFF"/>
                  <w:tcMar>
                    <w:top w:w="0" w:type="dxa"/>
                    <w:left w:w="0" w:type="dxa"/>
                    <w:bottom w:w="0" w:type="dxa"/>
                    <w:right w:w="0" w:type="dxa"/>
                  </w:tcMar>
                  <w:vAlign w:val="center"/>
                </w:tcPr>
                <w:p w14:paraId="755BE1E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14:paraId="661DC27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14:paraId="2D6A760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14:paraId="3271170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6DEF191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14:paraId="7E29D74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14:paraId="75BEB02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0E82C21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14:paraId="3E763F5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5BBA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14:paraId="1110C9D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716" w:type="dxa"/>
                  <w:shd w:val="clear" w:color="auto" w:fill="FFFFFF"/>
                  <w:tcMar>
                    <w:top w:w="0" w:type="dxa"/>
                    <w:left w:w="0" w:type="dxa"/>
                    <w:bottom w:w="0" w:type="dxa"/>
                    <w:right w:w="0" w:type="dxa"/>
                  </w:tcMar>
                  <w:vAlign w:val="top"/>
                </w:tcPr>
                <w:p w14:paraId="174EE59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14:paraId="04736ADA">
                  <w:pPr>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空压机</w:t>
                  </w:r>
                </w:p>
              </w:tc>
              <w:tc>
                <w:tcPr>
                  <w:tcW w:w="687" w:type="dxa"/>
                  <w:shd w:val="clear" w:color="auto" w:fill="FFFFFF"/>
                  <w:tcMar>
                    <w:top w:w="0" w:type="dxa"/>
                    <w:left w:w="0" w:type="dxa"/>
                    <w:bottom w:w="0" w:type="dxa"/>
                    <w:right w:w="0" w:type="dxa"/>
                  </w:tcMar>
                  <w:vAlign w:val="center"/>
                </w:tcPr>
                <w:p w14:paraId="40094DA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394" w:type="dxa"/>
                  <w:shd w:val="clear" w:color="auto" w:fill="FFFFFF"/>
                  <w:tcMar>
                    <w:top w:w="0" w:type="dxa"/>
                    <w:left w:w="0" w:type="dxa"/>
                    <w:bottom w:w="0" w:type="dxa"/>
                    <w:right w:w="0" w:type="dxa"/>
                  </w:tcMar>
                  <w:vAlign w:val="center"/>
                </w:tcPr>
                <w:p w14:paraId="72A4189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14:paraId="38E6473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549" w:type="dxa"/>
                  <w:shd w:val="clear" w:color="auto" w:fill="FFFFFF"/>
                  <w:tcMar>
                    <w:top w:w="0" w:type="dxa"/>
                    <w:left w:w="0" w:type="dxa"/>
                    <w:bottom w:w="0" w:type="dxa"/>
                    <w:right w:w="0" w:type="dxa"/>
                  </w:tcMar>
                  <w:vAlign w:val="center"/>
                </w:tcPr>
                <w:p w14:paraId="0640E3F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14:paraId="245AF1A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14:paraId="296D0DF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65.00 </w:t>
                  </w:r>
                </w:p>
              </w:tc>
              <w:tc>
                <w:tcPr>
                  <w:tcW w:w="904" w:type="dxa"/>
                  <w:shd w:val="clear" w:color="auto" w:fill="FFFFFF"/>
                  <w:tcMar>
                    <w:top w:w="0" w:type="dxa"/>
                    <w:left w:w="0" w:type="dxa"/>
                    <w:bottom w:w="0" w:type="dxa"/>
                    <w:right w:w="0" w:type="dxa"/>
                  </w:tcMar>
                  <w:vAlign w:val="center"/>
                </w:tcPr>
                <w:p w14:paraId="3CD45F7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14:paraId="08DE28E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43.60 </w:t>
                  </w:r>
                </w:p>
              </w:tc>
              <w:tc>
                <w:tcPr>
                  <w:tcW w:w="443" w:type="dxa"/>
                  <w:shd w:val="clear" w:color="auto" w:fill="FFFFFF"/>
                  <w:tcMar>
                    <w:top w:w="0" w:type="dxa"/>
                    <w:left w:w="0" w:type="dxa"/>
                    <w:bottom w:w="0" w:type="dxa"/>
                    <w:right w:w="0" w:type="dxa"/>
                  </w:tcMar>
                  <w:vAlign w:val="center"/>
                </w:tcPr>
                <w:p w14:paraId="5046821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bl>
          <w:p w14:paraId="6045665B">
            <w:pPr>
              <w:adjustRightInd w:val="0"/>
              <w:snapToGrid w:val="0"/>
              <w:spacing w:line="360" w:lineRule="auto"/>
              <w:ind w:firstLine="482" w:firstLineChars="200"/>
              <w:rPr>
                <w:rFonts w:ascii="Times New Roman" w:hAnsi="Times New Roman"/>
                <w:b/>
                <w:bCs w:val="0"/>
                <w:color w:val="auto"/>
                <w:kern w:val="0"/>
                <w:sz w:val="24"/>
              </w:rPr>
            </w:pPr>
            <w:r>
              <w:rPr>
                <w:rFonts w:hint="eastAsia" w:ascii="Times New Roman" w:hAnsi="Times New Roman"/>
                <w:b/>
                <w:bCs w:val="0"/>
                <w:color w:val="auto"/>
                <w:kern w:val="0"/>
                <w:sz w:val="24"/>
                <w:lang w:val="en-US" w:eastAsia="zh-CN"/>
              </w:rPr>
              <w:t>2</w:t>
            </w:r>
            <w:r>
              <w:rPr>
                <w:rFonts w:hint="eastAsia" w:ascii="Times New Roman" w:hAnsi="Times New Roman"/>
                <w:b/>
                <w:bCs w:val="0"/>
                <w:color w:val="auto"/>
                <w:kern w:val="0"/>
                <w:sz w:val="24"/>
              </w:rPr>
              <w:t>、</w:t>
            </w:r>
            <w:r>
              <w:rPr>
                <w:rFonts w:ascii="Times New Roman" w:hAnsi="Times New Roman"/>
                <w:b/>
                <w:bCs w:val="0"/>
                <w:color w:val="auto"/>
                <w:kern w:val="0"/>
                <w:sz w:val="24"/>
              </w:rPr>
              <w:t>噪声污染防治措施</w:t>
            </w:r>
          </w:p>
          <w:p w14:paraId="14BBF2AF">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14:paraId="2DDE7426">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14:paraId="5BF003F3">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14:paraId="5750EB57">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14:paraId="2A34CB97">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14:paraId="694B305C">
            <w:pPr>
              <w:keepLines/>
              <w:spacing w:line="360" w:lineRule="auto"/>
              <w:ind w:firstLine="482"/>
              <w:rPr>
                <w:rFonts w:ascii="Times New Roman" w:hAnsi="Times New Roman"/>
                <w:b/>
                <w:color w:val="auto"/>
                <w:sz w:val="24"/>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14:paraId="57C5B400">
            <w:pPr>
              <w:keepLines/>
              <w:spacing w:line="360" w:lineRule="auto"/>
              <w:ind w:firstLine="482"/>
              <w:rPr>
                <w:rFonts w:ascii="Times New Roman" w:hAnsi="Times New Roman"/>
                <w:b/>
                <w:color w:val="auto"/>
                <w:sz w:val="24"/>
              </w:rPr>
            </w:pPr>
            <w:r>
              <w:rPr>
                <w:rFonts w:hint="eastAsia" w:ascii="Times New Roman" w:hAnsi="Times New Roman"/>
                <w:b/>
                <w:color w:val="auto"/>
                <w:sz w:val="24"/>
                <w:lang w:val="en-US" w:eastAsia="zh-CN"/>
              </w:rPr>
              <w:t>3</w:t>
            </w:r>
            <w:r>
              <w:rPr>
                <w:rFonts w:ascii="Times New Roman" w:hAnsi="Times New Roman"/>
                <w:b/>
                <w:color w:val="auto"/>
                <w:sz w:val="24"/>
              </w:rPr>
              <w:t>、噪声预测</w:t>
            </w:r>
          </w:p>
          <w:p w14:paraId="161DAD4A">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A、预测模式</w:t>
            </w:r>
          </w:p>
          <w:p w14:paraId="623E03D2">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根据《环境影响评价技术导则声环境》（HJ2.4-2021）的要求，项目声环境预测采用的模型为《环境影响评价技术导则声环境》（HJ2.4-2021）附录B（规范性附录）中“B.1工业噪声预测计算模型”。</w:t>
            </w:r>
          </w:p>
          <w:p w14:paraId="1A791182">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B、声源数据</w:t>
            </w:r>
          </w:p>
          <w:p w14:paraId="53B07E0B">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根据《环境影响评价技术导则-声环境》</w:t>
            </w:r>
            <w:r>
              <w:rPr>
                <w:rFonts w:hint="eastAsia" w:ascii="Times New Roman" w:hAnsi="Times New Roman"/>
                <w:bCs/>
                <w:color w:val="auto"/>
                <w:kern w:val="0"/>
                <w:sz w:val="24"/>
                <w:highlight w:val="none"/>
              </w:rPr>
              <w:t>（</w:t>
            </w:r>
            <w:r>
              <w:rPr>
                <w:rFonts w:ascii="Times New Roman" w:hAnsi="Times New Roman"/>
                <w:bCs/>
                <w:color w:val="auto"/>
                <w:kern w:val="0"/>
                <w:sz w:val="24"/>
                <w:highlight w:val="none"/>
              </w:rPr>
              <w:t>HJ2.4-2021</w:t>
            </w:r>
            <w:r>
              <w:rPr>
                <w:rFonts w:hint="eastAsia" w:ascii="Times New Roman" w:hAnsi="Times New Roman"/>
                <w:bCs/>
                <w:color w:val="auto"/>
                <w:kern w:val="0"/>
                <w:sz w:val="24"/>
                <w:highlight w:val="none"/>
              </w:rPr>
              <w:t>）</w:t>
            </w:r>
            <w:r>
              <w:rPr>
                <w:rFonts w:ascii="Times New Roman" w:hAnsi="Times New Roman"/>
                <w:bCs/>
                <w:color w:val="auto"/>
                <w:kern w:val="0"/>
                <w:sz w:val="24"/>
                <w:highlight w:val="none"/>
              </w:rPr>
              <w:t>对室内声源进行预测。声源位于室内，室内声源可采用等效室外声源声功率级法进行计算。</w:t>
            </w:r>
          </w:p>
          <w:p w14:paraId="23415095">
            <w:pPr>
              <w:adjustRightInd w:val="0"/>
              <w:snapToGrid w:val="0"/>
              <w:spacing w:line="360" w:lineRule="auto"/>
              <w:ind w:firstLine="480" w:firstLineChars="200"/>
              <w:rPr>
                <w:rFonts w:ascii="Times New Roman" w:hAnsi="Times New Roman"/>
                <w:bCs/>
                <w:color w:val="auto"/>
                <w:kern w:val="0"/>
                <w:szCs w:val="21"/>
                <w:highlight w:val="none"/>
              </w:rPr>
            </w:pPr>
            <w:r>
              <w:rPr>
                <w:rFonts w:ascii="Times New Roman" w:hAnsi="Times New Roman"/>
                <w:bCs/>
                <w:color w:val="auto"/>
                <w:kern w:val="0"/>
                <w:sz w:val="24"/>
                <w:highlight w:val="none"/>
              </w:rPr>
              <w:t>①在室内近似为扩散声场地，按下式计算出靠近室外围护结构处的声压级：</w:t>
            </w:r>
          </w:p>
          <w:p w14:paraId="7EE9A143">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highlight w:val="none"/>
              </w:rPr>
              <w:drawing>
                <wp:inline distT="0" distB="0" distL="114300" distR="114300">
                  <wp:extent cx="2378075" cy="365760"/>
                  <wp:effectExtent l="0" t="0" r="3175" b="15240"/>
                  <wp:docPr id="81" name="IM 76"/>
                  <wp:cNvGraphicFramePr/>
                  <a:graphic xmlns:a="http://schemas.openxmlformats.org/drawingml/2006/main">
                    <a:graphicData uri="http://schemas.openxmlformats.org/drawingml/2006/picture">
                      <pic:pic xmlns:pic="http://schemas.openxmlformats.org/drawingml/2006/picture">
                        <pic:nvPicPr>
                          <pic:cNvPr id="81" name="IM 76"/>
                          <pic:cNvPicPr/>
                        </pic:nvPicPr>
                        <pic:blipFill>
                          <a:blip r:embed="rId18"/>
                          <a:stretch>
                            <a:fillRect/>
                          </a:stretch>
                        </pic:blipFill>
                        <pic:spPr>
                          <a:xfrm>
                            <a:off x="0" y="0"/>
                            <a:ext cx="2378075" cy="365760"/>
                          </a:xfrm>
                          <a:prstGeom prst="rect">
                            <a:avLst/>
                          </a:prstGeom>
                          <a:noFill/>
                          <a:ln>
                            <a:noFill/>
                          </a:ln>
                        </pic:spPr>
                      </pic:pic>
                    </a:graphicData>
                  </a:graphic>
                </wp:inline>
              </w:drawing>
            </w:r>
          </w:p>
          <w:p w14:paraId="32931CF4">
            <w:pPr>
              <w:adjustRightInd w:val="0"/>
              <w:snapToGrid w:val="0"/>
              <w:spacing w:line="360" w:lineRule="auto"/>
              <w:ind w:firstLine="400" w:firstLineChars="2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式中：Lp</w:t>
            </w:r>
            <w:r>
              <w:rPr>
                <w:rFonts w:ascii="Times New Roman" w:hAnsi="Times New Roman"/>
                <w:bCs/>
                <w:color w:val="auto"/>
                <w:spacing w:val="-20"/>
                <w:kern w:val="0"/>
                <w:sz w:val="24"/>
                <w:highlight w:val="none"/>
                <w:vertAlign w:val="subscript"/>
              </w:rPr>
              <w:t>2i</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T</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—靠近围护结构处室外N个声源i倍频带的叠加声压级，dB；</w:t>
            </w:r>
          </w:p>
          <w:p w14:paraId="2BED1790">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TLi—围护结构i倍频带的隔声量，dB；</w:t>
            </w:r>
          </w:p>
          <w:p w14:paraId="46330A56">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②计算出所有室内声源在围护结构处产生的i倍频带叠加声压级：</w:t>
            </w:r>
          </w:p>
          <w:p w14:paraId="38ABC2C7">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position w:val="-17"/>
                <w:highlight w:val="none"/>
              </w:rPr>
              <w:drawing>
                <wp:inline distT="0" distB="0" distL="114300" distR="114300">
                  <wp:extent cx="1995170" cy="486410"/>
                  <wp:effectExtent l="0" t="0" r="5080" b="8890"/>
                  <wp:docPr id="82" name="IM 77"/>
                  <wp:cNvGraphicFramePr/>
                  <a:graphic xmlns:a="http://schemas.openxmlformats.org/drawingml/2006/main">
                    <a:graphicData uri="http://schemas.openxmlformats.org/drawingml/2006/picture">
                      <pic:pic xmlns:pic="http://schemas.openxmlformats.org/drawingml/2006/picture">
                        <pic:nvPicPr>
                          <pic:cNvPr id="82" name="IM 77"/>
                          <pic:cNvPicPr/>
                        </pic:nvPicPr>
                        <pic:blipFill>
                          <a:blip r:embed="rId19"/>
                          <a:stretch>
                            <a:fillRect/>
                          </a:stretch>
                        </pic:blipFill>
                        <pic:spPr>
                          <a:xfrm>
                            <a:off x="0" y="0"/>
                            <a:ext cx="1995170" cy="486410"/>
                          </a:xfrm>
                          <a:prstGeom prst="rect">
                            <a:avLst/>
                          </a:prstGeom>
                          <a:noFill/>
                          <a:ln>
                            <a:noFill/>
                          </a:ln>
                        </pic:spPr>
                      </pic:pic>
                    </a:graphicData>
                  </a:graphic>
                </wp:inline>
              </w:drawing>
            </w:r>
          </w:p>
          <w:p w14:paraId="3A547CB4">
            <w:pPr>
              <w:adjustRightInd w:val="0"/>
              <w:snapToGrid w:val="0"/>
              <w:spacing w:line="360" w:lineRule="auto"/>
              <w:ind w:firstLine="400" w:firstLineChars="2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式中：L</w:t>
            </w:r>
            <w:r>
              <w:rPr>
                <w:rFonts w:ascii="Times New Roman" w:hAnsi="Times New Roman"/>
                <w:bCs/>
                <w:color w:val="auto"/>
                <w:spacing w:val="-20"/>
                <w:kern w:val="0"/>
                <w:sz w:val="24"/>
                <w:highlight w:val="none"/>
                <w:vertAlign w:val="subscript"/>
              </w:rPr>
              <w:t>p1</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T</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—靠近围护结构处室内N个声源i倍频带的叠加声压级，dB；</w:t>
            </w:r>
          </w:p>
          <w:p w14:paraId="47EBC8F1">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L</w:t>
            </w:r>
            <w:r>
              <w:rPr>
                <w:rFonts w:ascii="Times New Roman" w:hAnsi="Times New Roman"/>
                <w:bCs/>
                <w:color w:val="auto"/>
                <w:kern w:val="0"/>
                <w:sz w:val="24"/>
                <w:highlight w:val="none"/>
                <w:vertAlign w:val="subscript"/>
              </w:rPr>
              <w:t>p1ij</w:t>
            </w:r>
            <w:r>
              <w:rPr>
                <w:rFonts w:ascii="Times New Roman" w:hAnsi="Times New Roman"/>
                <w:bCs/>
                <w:color w:val="auto"/>
                <w:kern w:val="0"/>
                <w:sz w:val="24"/>
                <w:highlight w:val="none"/>
              </w:rPr>
              <w:t>—室内j声源i倍频带的声压级，dB；</w:t>
            </w:r>
          </w:p>
          <w:p w14:paraId="010000B6">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③对室外噪声声源主要考虑噪声的几何发散衰减及环境因素衰减：</w:t>
            </w:r>
          </w:p>
          <w:p w14:paraId="0776C7F9">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position w:val="-20"/>
                <w:highlight w:val="none"/>
              </w:rPr>
              <w:drawing>
                <wp:inline distT="0" distB="0" distL="114300" distR="114300">
                  <wp:extent cx="1917065" cy="537210"/>
                  <wp:effectExtent l="0" t="0" r="6985" b="15240"/>
                  <wp:docPr id="83" name="IM 78"/>
                  <wp:cNvGraphicFramePr/>
                  <a:graphic xmlns:a="http://schemas.openxmlformats.org/drawingml/2006/main">
                    <a:graphicData uri="http://schemas.openxmlformats.org/drawingml/2006/picture">
                      <pic:pic xmlns:pic="http://schemas.openxmlformats.org/drawingml/2006/picture">
                        <pic:nvPicPr>
                          <pic:cNvPr id="83" name="IM 78"/>
                          <pic:cNvPicPr/>
                        </pic:nvPicPr>
                        <pic:blipFill>
                          <a:blip r:embed="rId20"/>
                          <a:stretch>
                            <a:fillRect/>
                          </a:stretch>
                        </pic:blipFill>
                        <pic:spPr>
                          <a:xfrm>
                            <a:off x="0" y="0"/>
                            <a:ext cx="1917065" cy="537210"/>
                          </a:xfrm>
                          <a:prstGeom prst="rect">
                            <a:avLst/>
                          </a:prstGeom>
                          <a:noFill/>
                          <a:ln>
                            <a:noFill/>
                          </a:ln>
                        </pic:spPr>
                      </pic:pic>
                    </a:graphicData>
                  </a:graphic>
                </wp:inline>
              </w:drawing>
            </w:r>
          </w:p>
          <w:p w14:paraId="289C0DA7">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式中：L2——点声源在预测点产生的声压级，dB</w:t>
            </w:r>
            <w:r>
              <w:rPr>
                <w:rFonts w:hint="eastAsia" w:ascii="Times New Roman" w:hAnsi="Times New Roman"/>
                <w:bCs/>
                <w:color w:val="auto"/>
                <w:kern w:val="0"/>
                <w:sz w:val="24"/>
                <w:highlight w:val="none"/>
              </w:rPr>
              <w:t>（A）</w:t>
            </w:r>
            <w:r>
              <w:rPr>
                <w:rFonts w:ascii="Times New Roman" w:hAnsi="Times New Roman"/>
                <w:bCs/>
                <w:color w:val="auto"/>
                <w:kern w:val="0"/>
                <w:sz w:val="24"/>
                <w:highlight w:val="none"/>
              </w:rPr>
              <w:t>；</w:t>
            </w:r>
          </w:p>
          <w:p w14:paraId="258E0532">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L1—点声源在参考点产生的声压级，dB</w:t>
            </w:r>
            <w:r>
              <w:rPr>
                <w:rFonts w:hint="eastAsia" w:ascii="Times New Roman" w:hAnsi="Times New Roman"/>
                <w:bCs/>
                <w:color w:val="auto"/>
                <w:kern w:val="0"/>
                <w:sz w:val="24"/>
                <w:highlight w:val="none"/>
              </w:rPr>
              <w:t>（A）</w:t>
            </w:r>
            <w:r>
              <w:rPr>
                <w:rFonts w:ascii="Times New Roman" w:hAnsi="Times New Roman"/>
                <w:bCs/>
                <w:color w:val="auto"/>
                <w:kern w:val="0"/>
                <w:sz w:val="24"/>
                <w:highlight w:val="none"/>
              </w:rPr>
              <w:t>；</w:t>
            </w:r>
          </w:p>
          <w:p w14:paraId="19C2021F">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r2—预测点距声源的距离，</w:t>
            </w:r>
            <w:r>
              <w:rPr>
                <w:rFonts w:hint="eastAsia" w:ascii="Times New Roman" w:hAnsi="Times New Roman"/>
                <w:bCs/>
                <w:color w:val="auto"/>
                <w:kern w:val="0"/>
                <w:sz w:val="24"/>
                <w:highlight w:val="none"/>
              </w:rPr>
              <w:t>（m）</w:t>
            </w:r>
            <w:r>
              <w:rPr>
                <w:rFonts w:ascii="Times New Roman" w:hAnsi="Times New Roman"/>
                <w:bCs/>
                <w:color w:val="auto"/>
                <w:kern w:val="0"/>
                <w:sz w:val="24"/>
                <w:highlight w:val="none"/>
              </w:rPr>
              <w:t>；</w:t>
            </w:r>
          </w:p>
          <w:p w14:paraId="1975C378">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r1—参考点距声源的距离，</w:t>
            </w:r>
            <w:r>
              <w:rPr>
                <w:rFonts w:hint="eastAsia" w:ascii="Times New Roman" w:hAnsi="Times New Roman"/>
                <w:bCs/>
                <w:color w:val="auto"/>
                <w:kern w:val="0"/>
                <w:sz w:val="24"/>
                <w:highlight w:val="none"/>
              </w:rPr>
              <w:t>（m）</w:t>
            </w:r>
            <w:r>
              <w:rPr>
                <w:rFonts w:ascii="Times New Roman" w:hAnsi="Times New Roman"/>
                <w:bCs/>
                <w:color w:val="auto"/>
                <w:kern w:val="0"/>
                <w:sz w:val="24"/>
                <w:highlight w:val="none"/>
              </w:rPr>
              <w:t>；</w:t>
            </w:r>
          </w:p>
          <w:p w14:paraId="34EC67D8">
            <w:pPr>
              <w:adjustRightInd w:val="0"/>
              <w:snapToGrid w:val="0"/>
              <w:spacing w:line="360" w:lineRule="auto"/>
              <w:ind w:firstLine="1000" w:firstLineChars="5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△L—各种因素引起的衰减量(包括声屏障、空气吸收等引起的衰减量)。</w:t>
            </w:r>
          </w:p>
          <w:p w14:paraId="4C59A442">
            <w:pPr>
              <w:keepLines/>
              <w:adjustRightInd w:val="0"/>
              <w:snapToGrid w:val="0"/>
              <w:spacing w:line="360" w:lineRule="auto"/>
              <w:ind w:firstLine="480" w:firstLineChars="200"/>
              <w:rPr>
                <w:rFonts w:ascii="Times New Roman" w:hAnsi="Times New Roman"/>
                <w:bCs/>
                <w:color w:val="auto"/>
                <w:kern w:val="0"/>
                <w:sz w:val="24"/>
                <w:highlight w:val="none"/>
              </w:rPr>
            </w:pPr>
            <w:r>
              <w:rPr>
                <w:rFonts w:hint="eastAsia" w:ascii="Times New Roman" w:hAnsi="Times New Roman"/>
                <w:bCs/>
                <w:color w:val="auto"/>
                <w:kern w:val="0"/>
                <w:sz w:val="24"/>
                <w:highlight w:val="none"/>
              </w:rPr>
              <w:t>本次评价采用EIAProN2021软件进行噪声预测，</w:t>
            </w:r>
            <w:r>
              <w:rPr>
                <w:rFonts w:ascii="Times New Roman" w:hAnsi="Times New Roman"/>
                <w:color w:val="auto"/>
                <w:sz w:val="24"/>
                <w:highlight w:val="none"/>
                <w:lang w:val="zh-CN" w:bidi="ar"/>
              </w:rPr>
              <w:t>以厂界中心（</w:t>
            </w:r>
            <w:r>
              <w:rPr>
                <w:rFonts w:ascii="Times New Roman" w:hAnsi="Times New Roman"/>
                <w:color w:val="auto"/>
                <w:spacing w:val="7"/>
                <w:sz w:val="24"/>
                <w:szCs w:val="24"/>
              </w:rPr>
              <w:t>103°</w:t>
            </w:r>
            <w:r>
              <w:rPr>
                <w:rFonts w:hint="eastAsia" w:ascii="Times New Roman" w:hAnsi="Times New Roman"/>
                <w:color w:val="auto"/>
                <w:spacing w:val="7"/>
                <w:sz w:val="24"/>
                <w:szCs w:val="24"/>
                <w:lang w:val="en-US" w:eastAsia="zh-CN"/>
              </w:rPr>
              <w:t>14</w:t>
            </w:r>
            <w:r>
              <w:rPr>
                <w:rFonts w:ascii="Times New Roman" w:hAnsi="Times New Roman"/>
                <w:color w:val="auto"/>
                <w:spacing w:val="7"/>
                <w:sz w:val="24"/>
                <w:szCs w:val="24"/>
              </w:rPr>
              <w:t>′</w:t>
            </w:r>
            <w:r>
              <w:rPr>
                <w:rFonts w:hint="eastAsia" w:ascii="Times New Roman" w:hAnsi="Times New Roman"/>
                <w:color w:val="auto"/>
                <w:spacing w:val="7"/>
                <w:sz w:val="24"/>
                <w:szCs w:val="24"/>
              </w:rPr>
              <w:t>59.56</w:t>
            </w:r>
            <w:r>
              <w:rPr>
                <w:rFonts w:hint="eastAsia" w:ascii="Times New Roman" w:hAnsi="Times New Roman"/>
                <w:color w:val="auto"/>
                <w:spacing w:val="7"/>
                <w:sz w:val="24"/>
                <w:szCs w:val="24"/>
                <w:lang w:val="en-US" w:eastAsia="zh-CN"/>
              </w:rPr>
              <w:t>4</w:t>
            </w:r>
            <w:r>
              <w:rPr>
                <w:rFonts w:ascii="Times New Roman" w:hAnsi="Times New Roman"/>
                <w:color w:val="auto"/>
                <w:spacing w:val="7"/>
                <w:sz w:val="24"/>
                <w:szCs w:val="24"/>
              </w:rPr>
              <w:t>”</w:t>
            </w:r>
            <w:r>
              <w:rPr>
                <w:rFonts w:hint="eastAsia" w:ascii="Times New Roman" w:hAnsi="Times New Roman"/>
                <w:color w:val="auto"/>
                <w:spacing w:val="7"/>
                <w:sz w:val="24"/>
                <w:szCs w:val="24"/>
                <w:lang w:eastAsia="zh-CN"/>
              </w:rPr>
              <w:t>，</w:t>
            </w:r>
            <w:r>
              <w:rPr>
                <w:rFonts w:ascii="Times New Roman" w:hAnsi="Times New Roman"/>
                <w:color w:val="auto"/>
                <w:spacing w:val="7"/>
                <w:sz w:val="24"/>
                <w:szCs w:val="24"/>
              </w:rPr>
              <w:t>25°</w:t>
            </w:r>
            <w:r>
              <w:rPr>
                <w:rFonts w:hint="eastAsia" w:ascii="Times New Roman" w:hAnsi="Times New Roman"/>
                <w:color w:val="auto"/>
                <w:spacing w:val="7"/>
                <w:sz w:val="24"/>
                <w:szCs w:val="24"/>
                <w:lang w:val="en-US" w:eastAsia="zh-CN"/>
              </w:rPr>
              <w:t>35</w:t>
            </w:r>
            <w:r>
              <w:rPr>
                <w:rFonts w:ascii="Times New Roman" w:hAnsi="Times New Roman"/>
                <w:color w:val="auto"/>
                <w:spacing w:val="7"/>
                <w:sz w:val="24"/>
                <w:szCs w:val="24"/>
              </w:rPr>
              <w:t>′</w:t>
            </w:r>
            <w:r>
              <w:rPr>
                <w:rFonts w:hint="eastAsia" w:ascii="Times New Roman" w:hAnsi="Times New Roman"/>
                <w:color w:val="auto"/>
                <w:spacing w:val="7"/>
                <w:sz w:val="24"/>
                <w:szCs w:val="24"/>
              </w:rPr>
              <w:t>11.72</w:t>
            </w:r>
            <w:r>
              <w:rPr>
                <w:rFonts w:hint="eastAsia" w:ascii="Times New Roman" w:hAnsi="Times New Roman"/>
                <w:color w:val="auto"/>
                <w:spacing w:val="7"/>
                <w:sz w:val="24"/>
                <w:szCs w:val="24"/>
                <w:lang w:val="en-US" w:eastAsia="zh-CN"/>
              </w:rPr>
              <w:t>2</w:t>
            </w:r>
            <w:r>
              <w:rPr>
                <w:rFonts w:ascii="Times New Roman" w:hAnsi="Times New Roman"/>
                <w:color w:val="auto"/>
                <w:spacing w:val="7"/>
                <w:sz w:val="24"/>
                <w:szCs w:val="24"/>
              </w:rPr>
              <w:t>”</w:t>
            </w:r>
            <w:r>
              <w:rPr>
                <w:rFonts w:ascii="Times New Roman" w:hAnsi="Times New Roman"/>
                <w:color w:val="auto"/>
                <w:sz w:val="24"/>
                <w:highlight w:val="none"/>
                <w:lang w:val="zh-CN" w:bidi="ar"/>
              </w:rPr>
              <w:t>）为坐标原点，以原点以东方向为X轴正方向，原点以北方向为Y轴正方向</w:t>
            </w:r>
            <w:r>
              <w:rPr>
                <w:rFonts w:hint="eastAsia" w:ascii="Times New Roman" w:hAnsi="Times New Roman"/>
                <w:bCs/>
                <w:color w:val="auto"/>
                <w:kern w:val="0"/>
                <w:sz w:val="24"/>
                <w:highlight w:val="none"/>
              </w:rPr>
              <w:t>建立坐标系，设置（x，y）为（-</w:t>
            </w:r>
            <w:r>
              <w:rPr>
                <w:rFonts w:hint="eastAsia" w:ascii="Times New Roman" w:hAnsi="Times New Roman"/>
                <w:bCs/>
                <w:color w:val="auto"/>
                <w:kern w:val="0"/>
                <w:sz w:val="24"/>
                <w:highlight w:val="none"/>
                <w:lang w:val="en-US" w:eastAsia="zh-CN"/>
              </w:rPr>
              <w:t>300</w:t>
            </w:r>
            <w:r>
              <w:rPr>
                <w:rFonts w:hint="eastAsia" w:ascii="Times New Roman" w:hAnsi="Times New Roman"/>
                <w:bCs/>
                <w:color w:val="auto"/>
                <w:kern w:val="0"/>
                <w:sz w:val="24"/>
                <w:highlight w:val="none"/>
              </w:rPr>
              <w:t>,-</w:t>
            </w:r>
            <w:r>
              <w:rPr>
                <w:rFonts w:hint="eastAsia" w:ascii="Times New Roman" w:hAnsi="Times New Roman"/>
                <w:bCs/>
                <w:color w:val="auto"/>
                <w:kern w:val="0"/>
                <w:sz w:val="24"/>
                <w:highlight w:val="none"/>
                <w:lang w:val="en-US" w:eastAsia="zh-CN"/>
              </w:rPr>
              <w:t>300</w:t>
            </w:r>
            <w:r>
              <w:rPr>
                <w:rFonts w:hint="eastAsia" w:ascii="Times New Roman" w:hAnsi="Times New Roman"/>
                <w:bCs/>
                <w:color w:val="auto"/>
                <w:kern w:val="0"/>
                <w:sz w:val="24"/>
                <w:highlight w:val="none"/>
              </w:rPr>
              <w:t>）至（</w:t>
            </w:r>
            <w:r>
              <w:rPr>
                <w:rFonts w:hint="eastAsia" w:ascii="Times New Roman" w:hAnsi="Times New Roman"/>
                <w:bCs/>
                <w:color w:val="auto"/>
                <w:kern w:val="0"/>
                <w:sz w:val="24"/>
                <w:highlight w:val="none"/>
                <w:lang w:val="en-US" w:eastAsia="zh-CN"/>
              </w:rPr>
              <w:t>300</w:t>
            </w:r>
            <w:r>
              <w:rPr>
                <w:rFonts w:hint="eastAsia" w:ascii="Times New Roman" w:hAnsi="Times New Roman"/>
                <w:bCs/>
                <w:color w:val="auto"/>
                <w:kern w:val="0"/>
                <w:sz w:val="24"/>
                <w:highlight w:val="none"/>
              </w:rPr>
              <w:t>,</w:t>
            </w:r>
            <w:r>
              <w:rPr>
                <w:rFonts w:hint="eastAsia" w:ascii="Times New Roman" w:hAnsi="Times New Roman"/>
                <w:bCs/>
                <w:color w:val="auto"/>
                <w:kern w:val="0"/>
                <w:sz w:val="24"/>
                <w:highlight w:val="none"/>
                <w:lang w:val="en-US" w:eastAsia="zh-CN"/>
              </w:rPr>
              <w:t>300</w:t>
            </w:r>
            <w:r>
              <w:rPr>
                <w:rFonts w:hint="eastAsia" w:ascii="Times New Roman" w:hAnsi="Times New Roman"/>
                <w:bCs/>
                <w:color w:val="auto"/>
                <w:kern w:val="0"/>
                <w:sz w:val="24"/>
                <w:highlight w:val="none"/>
              </w:rPr>
              <w:t>）的计算网格及以厂界线为曲线、10m的曲线点进行项目厂界贡献值</w:t>
            </w:r>
            <w:r>
              <w:rPr>
                <w:rFonts w:hint="eastAsia" w:ascii="Times New Roman" w:hAnsi="Times New Roman"/>
                <w:bCs/>
                <w:color w:val="auto"/>
                <w:kern w:val="0"/>
                <w:sz w:val="24"/>
                <w:highlight w:val="none"/>
                <w:lang w:val="en-US" w:eastAsia="zh-CN"/>
              </w:rPr>
              <w:t>预测</w:t>
            </w:r>
            <w:r>
              <w:rPr>
                <w:rFonts w:hint="eastAsia" w:ascii="Times New Roman" w:hAnsi="Times New Roman"/>
                <w:bCs/>
                <w:color w:val="auto"/>
                <w:kern w:val="0"/>
                <w:sz w:val="24"/>
                <w:highlight w:val="none"/>
              </w:rPr>
              <w:t>。EIAProN2021软件内嵌《环境影响评价技术导则 声环境》（HJ2.4-2021）推荐计算模型，计算结果可靠</w:t>
            </w:r>
            <w:r>
              <w:rPr>
                <w:rFonts w:hint="eastAsia" w:ascii="Times New Roman" w:hAnsi="Times New Roman"/>
                <w:bCs/>
                <w:color w:val="auto"/>
                <w:kern w:val="0"/>
                <w:sz w:val="24"/>
                <w:highlight w:val="none"/>
                <w:lang w:eastAsia="zh-CN"/>
              </w:rPr>
              <w:t>。</w:t>
            </w:r>
            <w:r>
              <w:rPr>
                <w:rFonts w:ascii="Times New Roman" w:hAnsi="Times New Roman"/>
                <w:bCs/>
                <w:color w:val="auto"/>
                <w:kern w:val="0"/>
                <w:sz w:val="24"/>
              </w:rPr>
              <w:t>本项目周边无噪声敏感点，故本次仅对项目边界作预测。项目厂界各噪声受声点的噪声预测结果详见下表：</w:t>
            </w:r>
          </w:p>
          <w:p w14:paraId="45BCF22E">
            <w:pPr>
              <w:adjustRightInd w:val="0"/>
              <w:snapToGrid w:val="0"/>
              <w:spacing w:line="360" w:lineRule="auto"/>
              <w:jc w:val="center"/>
              <w:rPr>
                <w:rFonts w:ascii="Times New Roman" w:hAnsi="Times New Roman" w:eastAsia="宋体" w:cs="Times New Roman"/>
                <w:b/>
                <w:bCs/>
                <w:color w:val="auto"/>
                <w:spacing w:val="-3"/>
                <w:szCs w:val="21"/>
              </w:rPr>
            </w:pPr>
            <w:r>
              <w:rPr>
                <w:rFonts w:ascii="Times New Roman" w:hAnsi="Times New Roman"/>
                <w:b/>
                <w:bCs/>
                <w:color w:val="auto"/>
                <w:spacing w:val="-6"/>
                <w:szCs w:val="21"/>
              </w:rPr>
              <w:t>表</w:t>
            </w:r>
            <w:r>
              <w:rPr>
                <w:rFonts w:ascii="Times New Roman" w:hAnsi="Times New Roman" w:eastAsia="Times New Roman"/>
                <w:b/>
                <w:bCs/>
                <w:color w:val="auto"/>
                <w:spacing w:val="-6"/>
                <w:szCs w:val="21"/>
              </w:rPr>
              <w:t>4-</w:t>
            </w:r>
            <w:r>
              <w:rPr>
                <w:rFonts w:hint="eastAsia" w:ascii="Times New Roman" w:hAnsi="Times New Roman" w:eastAsia="宋体"/>
                <w:b/>
                <w:bCs/>
                <w:color w:val="auto"/>
                <w:spacing w:val="-6"/>
                <w:szCs w:val="21"/>
                <w:lang w:val="en-US" w:eastAsia="zh-CN"/>
              </w:rPr>
              <w:t>1</w:t>
            </w:r>
            <w:r>
              <w:rPr>
                <w:rFonts w:hint="eastAsia" w:ascii="Times New Roman" w:hAnsi="Times New Roman"/>
                <w:b/>
                <w:bCs/>
                <w:color w:val="auto"/>
                <w:spacing w:val="-6"/>
                <w:szCs w:val="21"/>
                <w:lang w:val="en-US" w:eastAsia="zh-CN"/>
              </w:rPr>
              <w:t>5</w:t>
            </w:r>
            <w:r>
              <w:rPr>
                <w:rFonts w:hint="eastAsia" w:ascii="Times New Roman" w:hAnsi="Times New Roman" w:eastAsia="宋体"/>
                <w:b/>
                <w:bCs/>
                <w:color w:val="auto"/>
                <w:spacing w:val="-6"/>
                <w:szCs w:val="21"/>
                <w:lang w:val="en-US" w:eastAsia="zh-CN"/>
              </w:rPr>
              <w:t xml:space="preserve"> </w:t>
            </w:r>
            <w:r>
              <w:rPr>
                <w:rFonts w:hint="eastAsia" w:ascii="Times New Roman" w:hAnsi="Times New Roman"/>
                <w:b/>
                <w:bCs/>
                <w:color w:val="auto"/>
                <w:spacing w:val="-3"/>
                <w:szCs w:val="21"/>
                <w:lang w:val="en-US" w:eastAsia="zh-CN"/>
              </w:rPr>
              <w:t>厂界</w:t>
            </w:r>
            <w:r>
              <w:rPr>
                <w:rFonts w:ascii="Times New Roman" w:hAnsi="Times New Roman"/>
                <w:b/>
                <w:bCs/>
                <w:color w:val="auto"/>
                <w:spacing w:val="-3"/>
                <w:szCs w:val="21"/>
              </w:rPr>
              <w:t>噪声预测结果</w:t>
            </w:r>
            <w:r>
              <w:rPr>
                <w:rFonts w:hint="eastAsia" w:ascii="Times New Roman" w:hAnsi="Times New Roman"/>
                <w:b/>
                <w:bCs/>
                <w:color w:val="auto"/>
                <w:spacing w:val="-3"/>
                <w:szCs w:val="21"/>
                <w:lang w:val="en-US" w:eastAsia="zh-CN"/>
              </w:rPr>
              <w:t xml:space="preserve">  </w:t>
            </w:r>
            <w:r>
              <w:rPr>
                <w:rFonts w:ascii="Times New Roman" w:hAnsi="Times New Roman" w:eastAsia="宋体" w:cs="Times New Roman"/>
                <w:b/>
                <w:bCs/>
                <w:color w:val="auto"/>
                <w:spacing w:val="-3"/>
                <w:szCs w:val="21"/>
              </w:rPr>
              <w:t>单位：dB(A)</w:t>
            </w:r>
          </w:p>
          <w:tbl>
            <w:tblPr>
              <w:tblStyle w:val="28"/>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787"/>
              <w:gridCol w:w="786"/>
              <w:gridCol w:w="965"/>
              <w:gridCol w:w="775"/>
              <w:gridCol w:w="1388"/>
              <w:gridCol w:w="1205"/>
              <w:gridCol w:w="1108"/>
            </w:tblGrid>
            <w:tr w14:paraId="1032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1062" w:type="dxa"/>
                  <w:vMerge w:val="restart"/>
                  <w:vAlign w:val="center"/>
                </w:tcPr>
                <w:p w14:paraId="27BE854E">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预测方位</w:t>
                  </w:r>
                </w:p>
              </w:tc>
              <w:tc>
                <w:tcPr>
                  <w:tcW w:w="2538" w:type="dxa"/>
                  <w:gridSpan w:val="3"/>
                  <w:vAlign w:val="center"/>
                </w:tcPr>
                <w:p w14:paraId="7BE67B85">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最大值点空间相对位置/m</w:t>
                  </w:r>
                </w:p>
              </w:tc>
              <w:tc>
                <w:tcPr>
                  <w:tcW w:w="775" w:type="dxa"/>
                  <w:vMerge w:val="restart"/>
                  <w:vAlign w:val="center"/>
                </w:tcPr>
                <w:p w14:paraId="38E1F392">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时段</w:t>
                  </w:r>
                </w:p>
              </w:tc>
              <w:tc>
                <w:tcPr>
                  <w:tcW w:w="1388" w:type="dxa"/>
                  <w:vMerge w:val="restart"/>
                  <w:vAlign w:val="center"/>
                </w:tcPr>
                <w:p w14:paraId="08C34771">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贡献值（dB(A)）</w:t>
                  </w:r>
                </w:p>
              </w:tc>
              <w:tc>
                <w:tcPr>
                  <w:tcW w:w="1205" w:type="dxa"/>
                  <w:vMerge w:val="restart"/>
                  <w:vAlign w:val="center"/>
                </w:tcPr>
                <w:p w14:paraId="2D9855C2">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标准限值（dB(A)）</w:t>
                  </w:r>
                </w:p>
              </w:tc>
              <w:tc>
                <w:tcPr>
                  <w:tcW w:w="1108" w:type="dxa"/>
                  <w:vMerge w:val="restart"/>
                  <w:vAlign w:val="center"/>
                </w:tcPr>
                <w:p w14:paraId="69317008">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达标情况</w:t>
                  </w:r>
                </w:p>
              </w:tc>
            </w:tr>
            <w:tr w14:paraId="2782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62" w:type="dxa"/>
                  <w:vMerge w:val="continue"/>
                  <w:shd w:val="clear" w:color="auto" w:fill="FFFFFF"/>
                  <w:vAlign w:val="center"/>
                </w:tcPr>
                <w:p w14:paraId="6AB059A8">
                  <w:pPr>
                    <w:jc w:val="center"/>
                    <w:rPr>
                      <w:rFonts w:hint="default" w:ascii="Times New Roman" w:hAnsi="Times New Roman" w:cs="Times New Roman" w:eastAsiaTheme="minorEastAsia"/>
                      <w:color w:val="auto"/>
                      <w:szCs w:val="21"/>
                    </w:rPr>
                  </w:pPr>
                </w:p>
              </w:tc>
              <w:tc>
                <w:tcPr>
                  <w:tcW w:w="787" w:type="dxa"/>
                  <w:shd w:val="clear" w:color="auto" w:fill="FFFFFF"/>
                  <w:vAlign w:val="center"/>
                </w:tcPr>
                <w:p w14:paraId="2B918B4B">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X</w:t>
                  </w:r>
                </w:p>
              </w:tc>
              <w:tc>
                <w:tcPr>
                  <w:tcW w:w="786" w:type="dxa"/>
                  <w:shd w:val="clear" w:color="auto" w:fill="FFFFFF"/>
                  <w:vAlign w:val="center"/>
                </w:tcPr>
                <w:p w14:paraId="3E3000FB">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Y</w:t>
                  </w:r>
                </w:p>
              </w:tc>
              <w:tc>
                <w:tcPr>
                  <w:tcW w:w="965" w:type="dxa"/>
                  <w:shd w:val="clear" w:color="auto" w:fill="FFFFFF"/>
                  <w:vAlign w:val="center"/>
                </w:tcPr>
                <w:p w14:paraId="67A8EDFF">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Z</w:t>
                  </w:r>
                </w:p>
              </w:tc>
              <w:tc>
                <w:tcPr>
                  <w:tcW w:w="775" w:type="dxa"/>
                  <w:vMerge w:val="continue"/>
                  <w:shd w:val="clear" w:color="auto" w:fill="FFFFFF"/>
                  <w:vAlign w:val="center"/>
                </w:tcPr>
                <w:p w14:paraId="289D149C">
                  <w:pPr>
                    <w:jc w:val="center"/>
                    <w:rPr>
                      <w:rFonts w:hint="default" w:ascii="Times New Roman" w:hAnsi="Times New Roman" w:cs="Times New Roman" w:eastAsiaTheme="minorEastAsia"/>
                      <w:color w:val="auto"/>
                      <w:szCs w:val="21"/>
                    </w:rPr>
                  </w:pPr>
                </w:p>
              </w:tc>
              <w:tc>
                <w:tcPr>
                  <w:tcW w:w="1388" w:type="dxa"/>
                  <w:vMerge w:val="continue"/>
                  <w:shd w:val="clear" w:color="auto" w:fill="FFFFFF"/>
                  <w:vAlign w:val="center"/>
                </w:tcPr>
                <w:p w14:paraId="37EE93A8">
                  <w:pPr>
                    <w:jc w:val="center"/>
                    <w:rPr>
                      <w:rFonts w:hint="default" w:ascii="Times New Roman" w:hAnsi="Times New Roman" w:cs="Times New Roman" w:eastAsiaTheme="minorEastAsia"/>
                      <w:color w:val="auto"/>
                      <w:szCs w:val="21"/>
                    </w:rPr>
                  </w:pPr>
                </w:p>
              </w:tc>
              <w:tc>
                <w:tcPr>
                  <w:tcW w:w="1205" w:type="dxa"/>
                  <w:vMerge w:val="continue"/>
                  <w:shd w:val="clear" w:color="auto" w:fill="FFFFFF"/>
                  <w:vAlign w:val="center"/>
                </w:tcPr>
                <w:p w14:paraId="64884163">
                  <w:pPr>
                    <w:jc w:val="center"/>
                    <w:rPr>
                      <w:rFonts w:hint="default" w:ascii="Times New Roman" w:hAnsi="Times New Roman" w:cs="Times New Roman" w:eastAsiaTheme="minorEastAsia"/>
                      <w:color w:val="auto"/>
                      <w:szCs w:val="21"/>
                    </w:rPr>
                  </w:pPr>
                </w:p>
              </w:tc>
              <w:tc>
                <w:tcPr>
                  <w:tcW w:w="1108" w:type="dxa"/>
                  <w:vMerge w:val="continue"/>
                  <w:shd w:val="clear" w:color="auto" w:fill="FFFFFF"/>
                  <w:vAlign w:val="center"/>
                </w:tcPr>
                <w:p w14:paraId="694F9A7F">
                  <w:pPr>
                    <w:jc w:val="center"/>
                    <w:rPr>
                      <w:rFonts w:hint="default" w:ascii="Times New Roman" w:hAnsi="Times New Roman" w:cs="Times New Roman" w:eastAsiaTheme="minorEastAsia"/>
                      <w:color w:val="auto"/>
                      <w:szCs w:val="21"/>
                    </w:rPr>
                  </w:pPr>
                </w:p>
              </w:tc>
            </w:tr>
            <w:tr w14:paraId="4B26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7D07E5D3">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东侧</w:t>
                  </w:r>
                </w:p>
              </w:tc>
              <w:tc>
                <w:tcPr>
                  <w:tcW w:w="787" w:type="dxa"/>
                  <w:shd w:val="clear" w:color="auto" w:fill="FFFFFF"/>
                  <w:vAlign w:val="center"/>
                </w:tcPr>
                <w:p w14:paraId="7DEDF8A8">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16</w:t>
                  </w:r>
                </w:p>
              </w:tc>
              <w:tc>
                <w:tcPr>
                  <w:tcW w:w="786" w:type="dxa"/>
                  <w:shd w:val="clear" w:color="auto" w:fill="FFFFFF"/>
                  <w:vAlign w:val="center"/>
                </w:tcPr>
                <w:p w14:paraId="3823C74A">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18</w:t>
                  </w:r>
                </w:p>
              </w:tc>
              <w:tc>
                <w:tcPr>
                  <w:tcW w:w="965" w:type="dxa"/>
                  <w:shd w:val="clear" w:color="auto" w:fill="FFFFFF"/>
                  <w:vAlign w:val="center"/>
                </w:tcPr>
                <w:p w14:paraId="0C478B5D">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4F53E4E3">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459CFF7A">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52.54</w:t>
                  </w:r>
                </w:p>
              </w:tc>
              <w:tc>
                <w:tcPr>
                  <w:tcW w:w="1205" w:type="dxa"/>
                  <w:shd w:val="clear" w:color="auto" w:fill="FFFFFF"/>
                  <w:vAlign w:val="center"/>
                </w:tcPr>
                <w:p w14:paraId="35696B5E">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4ED16074">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432B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1252D781">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南侧</w:t>
                  </w:r>
                </w:p>
              </w:tc>
              <w:tc>
                <w:tcPr>
                  <w:tcW w:w="787" w:type="dxa"/>
                  <w:shd w:val="clear" w:color="auto" w:fill="FFFFFF"/>
                  <w:vAlign w:val="center"/>
                </w:tcPr>
                <w:p w14:paraId="28F921CE">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12</w:t>
                  </w:r>
                </w:p>
              </w:tc>
              <w:tc>
                <w:tcPr>
                  <w:tcW w:w="786" w:type="dxa"/>
                  <w:shd w:val="clear" w:color="auto" w:fill="FFFFFF"/>
                  <w:vAlign w:val="center"/>
                </w:tcPr>
                <w:p w14:paraId="40C1183C">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-19</w:t>
                  </w:r>
                </w:p>
              </w:tc>
              <w:tc>
                <w:tcPr>
                  <w:tcW w:w="965" w:type="dxa"/>
                  <w:shd w:val="clear" w:color="auto" w:fill="FFFFFF"/>
                  <w:vAlign w:val="center"/>
                </w:tcPr>
                <w:p w14:paraId="5FB096F4">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39BE6676">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7E955E3A">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41.68</w:t>
                  </w:r>
                </w:p>
              </w:tc>
              <w:tc>
                <w:tcPr>
                  <w:tcW w:w="1205" w:type="dxa"/>
                  <w:shd w:val="clear" w:color="auto" w:fill="FFFFFF"/>
                  <w:vAlign w:val="center"/>
                </w:tcPr>
                <w:p w14:paraId="025BDE1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1108" w:type="dxa"/>
                  <w:shd w:val="clear" w:color="auto" w:fill="FFFFFF"/>
                  <w:vAlign w:val="center"/>
                </w:tcPr>
                <w:p w14:paraId="296EAEF9">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2F84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2AB5E35E">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西侧</w:t>
                  </w:r>
                </w:p>
              </w:tc>
              <w:tc>
                <w:tcPr>
                  <w:tcW w:w="787" w:type="dxa"/>
                  <w:shd w:val="clear" w:color="auto" w:fill="FFFFFF"/>
                  <w:vAlign w:val="center"/>
                </w:tcPr>
                <w:p w14:paraId="7B991A6A">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-2</w:t>
                  </w:r>
                </w:p>
              </w:tc>
              <w:tc>
                <w:tcPr>
                  <w:tcW w:w="786" w:type="dxa"/>
                  <w:shd w:val="clear" w:color="auto" w:fill="FFFFFF"/>
                  <w:vAlign w:val="center"/>
                </w:tcPr>
                <w:p w14:paraId="753AC0FF">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19</w:t>
                  </w:r>
                </w:p>
              </w:tc>
              <w:tc>
                <w:tcPr>
                  <w:tcW w:w="965" w:type="dxa"/>
                  <w:shd w:val="clear" w:color="auto" w:fill="FFFFFF"/>
                  <w:vAlign w:val="center"/>
                </w:tcPr>
                <w:p w14:paraId="1FF343D0">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1D078881">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1F399A36">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47.06</w:t>
                  </w:r>
                </w:p>
              </w:tc>
              <w:tc>
                <w:tcPr>
                  <w:tcW w:w="1205" w:type="dxa"/>
                  <w:shd w:val="clear" w:color="auto" w:fill="FFFFFF"/>
                  <w:vAlign w:val="center"/>
                </w:tcPr>
                <w:p w14:paraId="4D09195D">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5FAE32D9">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3197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417A1C45">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北侧</w:t>
                  </w:r>
                </w:p>
              </w:tc>
              <w:tc>
                <w:tcPr>
                  <w:tcW w:w="787" w:type="dxa"/>
                  <w:shd w:val="clear" w:color="auto" w:fill="FFFFFF"/>
                  <w:vAlign w:val="center"/>
                </w:tcPr>
                <w:p w14:paraId="126C9BB2">
                  <w:pPr>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7</w:t>
                  </w:r>
                </w:p>
              </w:tc>
              <w:tc>
                <w:tcPr>
                  <w:tcW w:w="786" w:type="dxa"/>
                  <w:shd w:val="clear" w:color="auto" w:fill="FFFFFF"/>
                  <w:vAlign w:val="center"/>
                </w:tcPr>
                <w:p w14:paraId="26F8B976">
                  <w:pPr>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24</w:t>
                  </w:r>
                </w:p>
              </w:tc>
              <w:tc>
                <w:tcPr>
                  <w:tcW w:w="965" w:type="dxa"/>
                  <w:shd w:val="clear" w:color="auto" w:fill="FFFFFF"/>
                  <w:vAlign w:val="center"/>
                </w:tcPr>
                <w:p w14:paraId="35AB3DD9">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742F6B75">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71D80B31">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48.48</w:t>
                  </w:r>
                </w:p>
              </w:tc>
              <w:tc>
                <w:tcPr>
                  <w:tcW w:w="1205" w:type="dxa"/>
                  <w:shd w:val="clear" w:color="auto" w:fill="FFFFFF"/>
                  <w:vAlign w:val="center"/>
                </w:tcPr>
                <w:p w14:paraId="3FEEB744">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54C3DB0B">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14:paraId="53B1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5" w:hRule="exact"/>
                <w:jc w:val="center"/>
              </w:trPr>
              <w:tc>
                <w:tcPr>
                  <w:tcW w:w="1062" w:type="dxa"/>
                  <w:shd w:val="clear" w:color="auto" w:fill="FFFFFF"/>
                  <w:vAlign w:val="center"/>
                </w:tcPr>
                <w:p w14:paraId="1B98BBF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厂界线最大点</w:t>
                  </w:r>
                </w:p>
              </w:tc>
              <w:tc>
                <w:tcPr>
                  <w:tcW w:w="787" w:type="dxa"/>
                  <w:shd w:val="clear" w:color="auto" w:fill="FFFFFF"/>
                  <w:vAlign w:val="center"/>
                </w:tcPr>
                <w:p w14:paraId="4320EB09">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16</w:t>
                  </w:r>
                </w:p>
              </w:tc>
              <w:tc>
                <w:tcPr>
                  <w:tcW w:w="786" w:type="dxa"/>
                  <w:shd w:val="clear" w:color="auto" w:fill="FFFFFF"/>
                  <w:vAlign w:val="center"/>
                </w:tcPr>
                <w:p w14:paraId="0D9F8FA9">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18</w:t>
                  </w:r>
                </w:p>
              </w:tc>
              <w:tc>
                <w:tcPr>
                  <w:tcW w:w="965" w:type="dxa"/>
                  <w:shd w:val="clear" w:color="auto" w:fill="FFFFFF"/>
                  <w:vAlign w:val="center"/>
                </w:tcPr>
                <w:p w14:paraId="76284A67">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1.2</w:t>
                  </w:r>
                </w:p>
              </w:tc>
              <w:tc>
                <w:tcPr>
                  <w:tcW w:w="775" w:type="dxa"/>
                  <w:shd w:val="clear" w:color="auto" w:fill="FFFFFF"/>
                  <w:vAlign w:val="center"/>
                </w:tcPr>
                <w:p w14:paraId="65559813">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14:paraId="5EB417EC">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52.54</w:t>
                  </w:r>
                </w:p>
              </w:tc>
              <w:tc>
                <w:tcPr>
                  <w:tcW w:w="1205" w:type="dxa"/>
                  <w:shd w:val="clear" w:color="auto" w:fill="FFFFFF"/>
                  <w:vAlign w:val="center"/>
                </w:tcPr>
                <w:p w14:paraId="6C6DF321">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rPr>
                    <w:t>60</w:t>
                  </w:r>
                </w:p>
              </w:tc>
              <w:tc>
                <w:tcPr>
                  <w:tcW w:w="1108" w:type="dxa"/>
                  <w:shd w:val="clear" w:color="auto" w:fill="FFFFFF"/>
                  <w:vAlign w:val="center"/>
                </w:tcPr>
                <w:p w14:paraId="19E36067">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rPr>
                    <w:t>达标</w:t>
                  </w:r>
                </w:p>
              </w:tc>
            </w:tr>
          </w:tbl>
          <w:p w14:paraId="0D514C59">
            <w:pPr>
              <w:adjustRightInd w:val="0"/>
              <w:snapToGrid w:val="0"/>
              <w:spacing w:line="360" w:lineRule="auto"/>
              <w:jc w:val="center"/>
              <w:rPr>
                <w:rFonts w:ascii="Times New Roman" w:hAnsi="Times New Roman"/>
                <w:color w:val="auto"/>
              </w:rPr>
            </w:pPr>
          </w:p>
          <w:p w14:paraId="4CF3A321">
            <w:pPr>
              <w:adjustRightInd w:val="0"/>
              <w:snapToGrid w:val="0"/>
              <w:spacing w:line="360" w:lineRule="auto"/>
              <w:jc w:val="center"/>
              <w:rPr>
                <w:rFonts w:hint="eastAsia" w:ascii="Times New Roman" w:hAnsi="Times New Roman"/>
                <w:b/>
                <w:bCs/>
                <w:color w:val="auto"/>
                <w:spacing w:val="-6"/>
                <w:szCs w:val="21"/>
              </w:rPr>
            </w:pPr>
            <w:r>
              <w:rPr>
                <w:rFonts w:ascii="Times New Roman" w:hAnsi="Times New Roman"/>
                <w:color w:val="auto"/>
              </w:rPr>
              <w:drawing>
                <wp:anchor distT="0" distB="0" distL="114300" distR="114300" simplePos="0" relativeHeight="251660288" behindDoc="0" locked="0" layoutInCell="1" allowOverlap="1">
                  <wp:simplePos x="0" y="0"/>
                  <wp:positionH relativeFrom="column">
                    <wp:posOffset>4041775</wp:posOffset>
                  </wp:positionH>
                  <wp:positionV relativeFrom="paragraph">
                    <wp:posOffset>1341755</wp:posOffset>
                  </wp:positionV>
                  <wp:extent cx="842645" cy="1788160"/>
                  <wp:effectExtent l="0" t="0" r="14605" b="254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1"/>
                          <a:srcRect t="1953"/>
                          <a:stretch>
                            <a:fillRect/>
                          </a:stretch>
                        </pic:blipFill>
                        <pic:spPr>
                          <a:xfrm>
                            <a:off x="0" y="0"/>
                            <a:ext cx="842645" cy="1788160"/>
                          </a:xfrm>
                          <a:prstGeom prst="rect">
                            <a:avLst/>
                          </a:prstGeom>
                          <a:noFill/>
                          <a:ln>
                            <a:noFill/>
                          </a:ln>
                        </pic:spPr>
                      </pic:pic>
                    </a:graphicData>
                  </a:graphic>
                </wp:anchor>
              </w:drawing>
            </w:r>
            <w:r>
              <w:rPr>
                <w:rFonts w:ascii="Times New Roman" w:hAnsi="Times New Roman"/>
                <w:color w:val="auto"/>
              </w:rPr>
              <w:drawing>
                <wp:anchor distT="0" distB="0" distL="114300" distR="114300" simplePos="0" relativeHeight="251659264" behindDoc="0" locked="0" layoutInCell="1" allowOverlap="1">
                  <wp:simplePos x="0" y="0"/>
                  <wp:positionH relativeFrom="column">
                    <wp:posOffset>3836670</wp:posOffset>
                  </wp:positionH>
                  <wp:positionV relativeFrom="paragraph">
                    <wp:posOffset>-635</wp:posOffset>
                  </wp:positionV>
                  <wp:extent cx="1367790" cy="1278255"/>
                  <wp:effectExtent l="0" t="0" r="3810" b="1714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2"/>
                          <a:stretch>
                            <a:fillRect/>
                          </a:stretch>
                        </pic:blipFill>
                        <pic:spPr>
                          <a:xfrm>
                            <a:off x="0" y="0"/>
                            <a:ext cx="1367790" cy="1278255"/>
                          </a:xfrm>
                          <a:prstGeom prst="rect">
                            <a:avLst/>
                          </a:prstGeom>
                          <a:noFill/>
                          <a:ln>
                            <a:noFill/>
                          </a:ln>
                        </pic:spPr>
                      </pic:pic>
                    </a:graphicData>
                  </a:graphic>
                </wp:anchor>
              </w:drawing>
            </w:r>
            <w:r>
              <w:rPr>
                <w:rFonts w:ascii="Times New Roman" w:hAnsi="Times New Roman"/>
                <w:color w:val="auto"/>
                <w:sz w:val="21"/>
              </w:rPr>
              <mc:AlternateContent>
                <mc:Choice Requires="wpg">
                  <w:drawing>
                    <wp:anchor distT="0" distB="0" distL="114300" distR="114300" simplePos="0" relativeHeight="251661312" behindDoc="0" locked="0" layoutInCell="1" allowOverlap="1">
                      <wp:simplePos x="0" y="0"/>
                      <wp:positionH relativeFrom="column">
                        <wp:posOffset>60325</wp:posOffset>
                      </wp:positionH>
                      <wp:positionV relativeFrom="paragraph">
                        <wp:posOffset>2915285</wp:posOffset>
                      </wp:positionV>
                      <wp:extent cx="719455" cy="217170"/>
                      <wp:effectExtent l="4445" t="4445" r="19050" b="6985"/>
                      <wp:wrapNone/>
                      <wp:docPr id="11" name="组合 11"/>
                      <wp:cNvGraphicFramePr/>
                      <a:graphic xmlns:a="http://schemas.openxmlformats.org/drawingml/2006/main">
                        <a:graphicData uri="http://schemas.microsoft.com/office/word/2010/wordprocessingGroup">
                          <wpg:wgp>
                            <wpg:cNvGrpSpPr/>
                            <wpg:grpSpPr>
                              <a:xfrm>
                                <a:off x="0" y="0"/>
                                <a:ext cx="719455" cy="217170"/>
                                <a:chOff x="8860" y="997202"/>
                                <a:chExt cx="1133" cy="342"/>
                              </a:xfrm>
                            </wpg:grpSpPr>
                            <wps:wsp>
                              <wps:cNvPr id="9" name="文本框 9"/>
                              <wps:cNvSpPr txBox="1"/>
                              <wps:spPr>
                                <a:xfrm>
                                  <a:off x="8860" y="997202"/>
                                  <a:ext cx="1133" cy="3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F04E17">
                                    <w:pPr>
                                      <w:ind w:firstLine="301" w:firstLineChars="200"/>
                                      <w:rPr>
                                        <w:rFonts w:hint="default" w:eastAsia="宋体"/>
                                        <w:lang w:val="en-US" w:eastAsia="zh-CN"/>
                                      </w:rPr>
                                    </w:pPr>
                                    <w:r>
                                      <w:rPr>
                                        <w:rFonts w:hint="eastAsia"/>
                                        <w:b/>
                                        <w:bCs/>
                                        <w:sz w:val="15"/>
                                        <w:szCs w:val="15"/>
                                        <w:lang w:val="en-US" w:eastAsia="zh-CN"/>
                                      </w:rPr>
                                      <w:t>:厂界线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连接符 10"/>
                              <wps:cNvCnPr/>
                              <wps:spPr>
                                <a:xfrm>
                                  <a:off x="8997" y="997380"/>
                                  <a:ext cx="218"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4.75pt;margin-top:229.55pt;height:17.1pt;width:56.65pt;z-index:251661312;mso-width-relative:page;mso-height-relative:page;" coordorigin="8860,997202" coordsize="1133,342" o:gfxdata="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VjjeHZAAAACQEAAA8AAAAAAAAAAQAgAAAAIgAA&#10;AGRycy9kb3ducmV2LnhtbFBLAQIUABQAAAAIAIdO4kA/C587XQMAAK4HAAAOAAAAAAAAAAEAIAAA&#10;ACgBAABkcnMvZTJvRG9jLnhtbFBLBQYAAAAABgAGAFkBAAD3BgAAAAA=&#10;">
                      <o:lock v:ext="edit" aspectratio="f"/>
                      <v:shape id="_x0000_s1026" o:spid="_x0000_s1026" o:spt="202" type="#_x0000_t202" style="position:absolute;left:8860;top:997202;height:342;width:1133;"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35F04E17">
                              <w:pPr>
                                <w:ind w:firstLine="301" w:firstLineChars="200"/>
                                <w:rPr>
                                  <w:rFonts w:hint="default" w:eastAsia="宋体"/>
                                  <w:lang w:val="en-US" w:eastAsia="zh-CN"/>
                                </w:rPr>
                              </w:pPr>
                              <w:r>
                                <w:rPr>
                                  <w:rFonts w:hint="eastAsia"/>
                                  <w:b/>
                                  <w:bCs/>
                                  <w:sz w:val="15"/>
                                  <w:szCs w:val="15"/>
                                  <w:lang w:val="en-US" w:eastAsia="zh-CN"/>
                                </w:rPr>
                                <w:t>:厂界线</w:t>
                              </w:r>
                            </w:p>
                          </w:txbxContent>
                        </v:textbox>
                      </v:shape>
                      <v:line id="_x0000_s1026" o:spid="_x0000_s1026" o:spt="20" style="position:absolute;left:8997;top:997380;height:0;width:218;" filled="f" stroked="t" coordsize="21600,21600" o:gfxdata="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cM1VvQAA&#10;ANsAAAAPAAAAAAAAAAEAIAAAACIAAABkcnMvZG93bnJldi54bWxQSwECFAAUAAAACACHTuJAMy8F&#10;njsAAAA5AAAAEAAAAAAAAAABACAAAAAMAQAAZHJzL3NoYXBleG1sLnhtbFBLBQYAAAAABgAGAFsB&#10;AAC2AwAAAAA=&#10;">
                        <v:fill on="f" focussize="0,0"/>
                        <v:stroke weight="2pt" color="#000000 [3213]" joinstyle="round"/>
                        <v:imagedata o:title=""/>
                        <o:lock v:ext="edit" aspectratio="f"/>
                      </v:line>
                    </v:group>
                  </w:pict>
                </mc:Fallback>
              </mc:AlternateContent>
            </w:r>
            <w:r>
              <w:rPr>
                <w:rFonts w:ascii="Times New Roman" w:hAnsi="Times New Roman"/>
                <w:color w:val="auto"/>
              </w:rPr>
              <w:drawing>
                <wp:inline distT="0" distB="0" distL="114300" distR="114300">
                  <wp:extent cx="5229860" cy="3234690"/>
                  <wp:effectExtent l="0" t="0" r="8890" b="381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3"/>
                          <a:stretch>
                            <a:fillRect/>
                          </a:stretch>
                        </pic:blipFill>
                        <pic:spPr>
                          <a:xfrm>
                            <a:off x="0" y="0"/>
                            <a:ext cx="5229860" cy="3234690"/>
                          </a:xfrm>
                          <a:prstGeom prst="rect">
                            <a:avLst/>
                          </a:prstGeom>
                          <a:noFill/>
                          <a:ln>
                            <a:noFill/>
                          </a:ln>
                        </pic:spPr>
                      </pic:pic>
                    </a:graphicData>
                  </a:graphic>
                </wp:inline>
              </w:drawing>
            </w:r>
          </w:p>
          <w:p w14:paraId="333FB946">
            <w:pPr>
              <w:adjustRightInd w:val="0"/>
              <w:snapToGrid w:val="0"/>
              <w:spacing w:line="360" w:lineRule="auto"/>
              <w:jc w:val="center"/>
              <w:rPr>
                <w:rFonts w:hint="eastAsia" w:ascii="Times New Roman" w:hAnsi="Times New Roman"/>
                <w:b/>
                <w:bCs/>
                <w:color w:val="auto"/>
                <w:spacing w:val="-6"/>
                <w:szCs w:val="21"/>
              </w:rPr>
            </w:pPr>
            <w:r>
              <w:rPr>
                <w:rFonts w:hint="eastAsia" w:ascii="Times New Roman" w:hAnsi="Times New Roman"/>
                <w:b/>
                <w:bCs/>
                <w:color w:val="auto"/>
                <w:spacing w:val="-6"/>
                <w:szCs w:val="21"/>
              </w:rPr>
              <w:t>图4-1项目噪声预测等声值线图</w:t>
            </w:r>
          </w:p>
          <w:p w14:paraId="4A27E469">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由</w:t>
            </w:r>
            <w:r>
              <w:rPr>
                <w:rFonts w:hint="eastAsia" w:ascii="Times New Roman" w:hAnsi="Times New Roman"/>
                <w:bCs/>
                <w:color w:val="auto"/>
                <w:kern w:val="0"/>
                <w:sz w:val="24"/>
              </w:rPr>
              <w:t>以上数据</w:t>
            </w:r>
            <w:r>
              <w:rPr>
                <w:rFonts w:ascii="Times New Roman" w:hAnsi="Times New Roman"/>
                <w:bCs/>
                <w:color w:val="auto"/>
                <w:kern w:val="0"/>
                <w:sz w:val="24"/>
              </w:rPr>
              <w:t>可知，项目</w:t>
            </w:r>
            <w:r>
              <w:rPr>
                <w:rFonts w:hint="eastAsia" w:ascii="Times New Roman" w:hAnsi="Times New Roman"/>
                <w:bCs/>
                <w:color w:val="auto"/>
                <w:kern w:val="0"/>
                <w:sz w:val="24"/>
                <w:lang w:val="en-US" w:eastAsia="zh-CN"/>
              </w:rPr>
              <w:t>运行</w:t>
            </w:r>
            <w:r>
              <w:rPr>
                <w:rFonts w:ascii="Times New Roman" w:hAnsi="Times New Roman"/>
                <w:bCs/>
                <w:color w:val="auto"/>
                <w:kern w:val="0"/>
                <w:sz w:val="24"/>
              </w:rPr>
              <w:t>过程中各个设备经采取降噪措施后，再经距离衰减后，本项目</w:t>
            </w:r>
            <w:r>
              <w:rPr>
                <w:rFonts w:hint="eastAsia" w:ascii="Times New Roman" w:hAnsi="Times New Roman"/>
                <w:snapToGrid w:val="0"/>
                <w:color w:val="auto"/>
                <w:kern w:val="0"/>
                <w:sz w:val="24"/>
                <w:lang w:val="en-US" w:eastAsia="zh-CN"/>
              </w:rPr>
              <w:t>北、西、东侧</w:t>
            </w:r>
            <w:r>
              <w:rPr>
                <w:rFonts w:ascii="Times New Roman" w:hAnsi="Times New Roman"/>
                <w:snapToGrid w:val="0"/>
                <w:color w:val="auto"/>
                <w:kern w:val="0"/>
                <w:sz w:val="24"/>
              </w:rPr>
              <w:t>厂界噪声</w:t>
            </w:r>
            <w:r>
              <w:rPr>
                <w:rFonts w:hint="eastAsia" w:ascii="Times New Roman" w:hAnsi="Times New Roman"/>
                <w:snapToGrid w:val="0"/>
                <w:color w:val="auto"/>
                <w:kern w:val="0"/>
                <w:sz w:val="24"/>
                <w:lang w:val="en-US" w:eastAsia="zh-CN"/>
              </w:rPr>
              <w:t>满足</w:t>
            </w:r>
            <w:r>
              <w:rPr>
                <w:rFonts w:ascii="Times New Roman" w:hAnsi="Times New Roman"/>
                <w:snapToGrid w:val="0"/>
                <w:color w:val="auto"/>
                <w:kern w:val="0"/>
                <w:sz w:val="24"/>
              </w:rPr>
              <w:t>《工业企业厂界环境噪声排放标准》（GB12348-2008）</w:t>
            </w:r>
            <w:r>
              <w:rPr>
                <w:rFonts w:hint="eastAsia" w:ascii="Times New Roman" w:hAnsi="Times New Roman"/>
                <w:snapToGrid w:val="0"/>
                <w:color w:val="auto"/>
                <w:kern w:val="0"/>
                <w:sz w:val="24"/>
              </w:rPr>
              <w:t>2</w:t>
            </w:r>
            <w:r>
              <w:rPr>
                <w:rFonts w:ascii="Times New Roman" w:hAnsi="Times New Roman"/>
                <w:snapToGrid w:val="0"/>
                <w:color w:val="auto"/>
                <w:kern w:val="0"/>
                <w:sz w:val="24"/>
              </w:rPr>
              <w:t>类标准</w:t>
            </w:r>
            <w:r>
              <w:rPr>
                <w:rFonts w:hint="eastAsia" w:ascii="Times New Roman" w:hAnsi="Times New Roman"/>
                <w:snapToGrid w:val="0"/>
                <w:color w:val="auto"/>
                <w:kern w:val="0"/>
                <w:sz w:val="24"/>
              </w:rPr>
              <w:t>，</w:t>
            </w:r>
            <w:r>
              <w:rPr>
                <w:rFonts w:hint="eastAsia" w:ascii="Times New Roman" w:hAnsi="Times New Roman"/>
                <w:snapToGrid w:val="0"/>
                <w:color w:val="auto"/>
                <w:kern w:val="0"/>
                <w:sz w:val="24"/>
                <w:lang w:val="en-US" w:eastAsia="zh-CN"/>
              </w:rPr>
              <w:t>南侧（临寻白线公路一侧）满足</w:t>
            </w:r>
            <w:r>
              <w:rPr>
                <w:rFonts w:ascii="Times New Roman" w:hAnsi="Times New Roman"/>
                <w:snapToGrid w:val="0"/>
                <w:color w:val="auto"/>
                <w:kern w:val="0"/>
                <w:sz w:val="24"/>
              </w:rPr>
              <w:t>《工业企业厂界环境噪声排放标准》（GB12348-2008）</w:t>
            </w:r>
            <w:r>
              <w:rPr>
                <w:rFonts w:hint="eastAsia" w:ascii="Times New Roman" w:hAnsi="Times New Roman"/>
                <w:snapToGrid w:val="0"/>
                <w:color w:val="auto"/>
                <w:kern w:val="0"/>
                <w:sz w:val="24"/>
                <w:lang w:val="en-US" w:eastAsia="zh-CN"/>
              </w:rPr>
              <w:t>4</w:t>
            </w:r>
            <w:r>
              <w:rPr>
                <w:rFonts w:ascii="Times New Roman" w:hAnsi="Times New Roman"/>
                <w:snapToGrid w:val="0"/>
                <w:color w:val="auto"/>
                <w:kern w:val="0"/>
                <w:sz w:val="24"/>
              </w:rPr>
              <w:t>类标准</w:t>
            </w:r>
            <w:r>
              <w:rPr>
                <w:rFonts w:ascii="Times New Roman" w:hAnsi="Times New Roman"/>
                <w:bCs/>
                <w:color w:val="auto"/>
                <w:kern w:val="0"/>
                <w:sz w:val="24"/>
              </w:rPr>
              <w:t>。项目对周边声环境影响较小。</w:t>
            </w:r>
          </w:p>
          <w:p w14:paraId="4B23AB13">
            <w:pPr>
              <w:adjustRightInd w:val="0"/>
              <w:snapToGrid w:val="0"/>
              <w:spacing w:line="360" w:lineRule="auto"/>
              <w:ind w:firstLine="482" w:firstLineChars="200"/>
              <w:rPr>
                <w:rFonts w:ascii="Times New Roman" w:hAnsi="Times New Roman"/>
                <w:b/>
                <w:color w:val="auto"/>
                <w:kern w:val="0"/>
                <w:sz w:val="24"/>
              </w:rPr>
            </w:pPr>
            <w:r>
              <w:rPr>
                <w:rFonts w:hint="eastAsia" w:ascii="Times New Roman" w:hAnsi="Times New Roman"/>
                <w:b/>
                <w:color w:val="auto"/>
                <w:kern w:val="0"/>
                <w:sz w:val="24"/>
                <w:lang w:val="en-US" w:eastAsia="zh-CN"/>
              </w:rPr>
              <w:t>4</w:t>
            </w:r>
            <w:r>
              <w:rPr>
                <w:rFonts w:ascii="Times New Roman" w:hAnsi="Times New Roman"/>
                <w:b/>
                <w:color w:val="auto"/>
                <w:kern w:val="0"/>
                <w:sz w:val="24"/>
              </w:rPr>
              <w:t>、噪声环境影响分析</w:t>
            </w:r>
          </w:p>
          <w:p w14:paraId="4DF3E422">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项目运营期采取的噪声防治措施主要是声源上控制措施及噪声隔声措施。在经过厂房隔声、距离衰减后，项目噪声排放可满足</w:t>
            </w:r>
            <w:r>
              <w:rPr>
                <w:rFonts w:ascii="Times New Roman" w:hAnsi="Times New Roman"/>
                <w:color w:val="auto"/>
                <w:kern w:val="0"/>
                <w:sz w:val="24"/>
              </w:rPr>
              <w:t>《工业企业厂界环境噪声排放标准》（GB12348-2008）中2类</w:t>
            </w:r>
            <w:r>
              <w:rPr>
                <w:rFonts w:hint="eastAsia" w:ascii="Times New Roman" w:hAnsi="Times New Roman"/>
                <w:color w:val="auto"/>
                <w:kern w:val="0"/>
                <w:sz w:val="24"/>
                <w:lang w:eastAsia="zh-CN"/>
              </w:rPr>
              <w:t>、</w:t>
            </w:r>
            <w:r>
              <w:rPr>
                <w:rFonts w:hint="eastAsia" w:ascii="Times New Roman" w:hAnsi="Times New Roman"/>
                <w:color w:val="auto"/>
                <w:kern w:val="0"/>
                <w:sz w:val="24"/>
                <w:lang w:val="en-US" w:eastAsia="zh-CN"/>
              </w:rPr>
              <w:t>4类</w:t>
            </w:r>
            <w:r>
              <w:rPr>
                <w:rFonts w:hint="eastAsia" w:ascii="Times New Roman" w:hAnsi="Times New Roman"/>
                <w:color w:val="auto"/>
                <w:kern w:val="0"/>
                <w:sz w:val="24"/>
              </w:rPr>
              <w:t>标准</w:t>
            </w:r>
            <w:r>
              <w:rPr>
                <w:rFonts w:ascii="Times New Roman" w:hAnsi="Times New Roman"/>
                <w:color w:val="auto"/>
                <w:kern w:val="0"/>
                <w:sz w:val="24"/>
              </w:rPr>
              <w:t>要求，可达标排放。</w:t>
            </w:r>
          </w:p>
          <w:p w14:paraId="0C449877">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项目周边50m范围内无声环境敏感目标，因此，在采取本次评价提出措施后，项目厂界噪声达标排放，对周围环境影响是可以接受的。</w:t>
            </w:r>
          </w:p>
          <w:p w14:paraId="7F5F8B48">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val="en-US" w:eastAsia="zh-CN"/>
              </w:rPr>
              <w:t>5</w:t>
            </w:r>
            <w:r>
              <w:rPr>
                <w:rFonts w:ascii="Times New Roman" w:hAnsi="Times New Roman"/>
                <w:b/>
                <w:bCs/>
                <w:color w:val="auto"/>
                <w:kern w:val="0"/>
                <w:sz w:val="24"/>
              </w:rPr>
              <w:t>、运营期噪声监测计划</w:t>
            </w:r>
          </w:p>
          <w:p w14:paraId="28B991DD">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项目运营期噪声排污监测计划根据《排污单位自行监测技术指南总则》（HJ819-2017）</w:t>
            </w:r>
            <w:r>
              <w:rPr>
                <w:rFonts w:hint="eastAsia" w:ascii="Times New Roman" w:hAnsi="Times New Roman"/>
                <w:color w:val="auto"/>
                <w:sz w:val="24"/>
                <w:lang w:eastAsia="zh-CN"/>
              </w:rPr>
              <w:t>，</w:t>
            </w:r>
            <w:r>
              <w:rPr>
                <w:rFonts w:ascii="Times New Roman" w:hAnsi="Times New Roman"/>
                <w:bCs/>
                <w:color w:val="auto"/>
                <w:kern w:val="0"/>
                <w:sz w:val="24"/>
              </w:rPr>
              <w:t>项目运营期环境监测计划见表4-</w:t>
            </w:r>
            <w:r>
              <w:rPr>
                <w:rFonts w:hint="eastAsia" w:ascii="Times New Roman" w:hAnsi="Times New Roman"/>
                <w:bCs/>
                <w:color w:val="auto"/>
                <w:kern w:val="0"/>
                <w:sz w:val="24"/>
                <w:lang w:val="en-US" w:eastAsia="zh-CN"/>
              </w:rPr>
              <w:t>16</w:t>
            </w:r>
            <w:r>
              <w:rPr>
                <w:rFonts w:ascii="Times New Roman" w:hAnsi="Times New Roman"/>
                <w:bCs/>
                <w:color w:val="auto"/>
                <w:kern w:val="0"/>
                <w:sz w:val="24"/>
              </w:rPr>
              <w:t>所示。</w:t>
            </w:r>
          </w:p>
          <w:p w14:paraId="7CACA385">
            <w:pPr>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16</w:t>
            </w:r>
            <w:r>
              <w:rPr>
                <w:rFonts w:ascii="Times New Roman" w:hAnsi="Times New Roman"/>
                <w:b/>
                <w:color w:val="auto"/>
                <w:kern w:val="0"/>
                <w:szCs w:val="21"/>
              </w:rPr>
              <w:t>项目运营期</w:t>
            </w:r>
            <w:r>
              <w:rPr>
                <w:rFonts w:hint="eastAsia" w:ascii="Times New Roman" w:hAnsi="Times New Roman"/>
                <w:b/>
                <w:color w:val="auto"/>
                <w:kern w:val="0"/>
                <w:szCs w:val="21"/>
                <w:lang w:val="en-US" w:eastAsia="zh-CN"/>
              </w:rPr>
              <w:t>噪声</w:t>
            </w:r>
            <w:r>
              <w:rPr>
                <w:rFonts w:ascii="Times New Roman" w:hAnsi="Times New Roman"/>
                <w:b/>
                <w:color w:val="auto"/>
                <w:kern w:val="0"/>
                <w:szCs w:val="21"/>
              </w:rPr>
              <w:t>监测计划一览表</w:t>
            </w:r>
          </w:p>
          <w:tbl>
            <w:tblPr>
              <w:tblStyle w:val="28"/>
              <w:tblW w:w="8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58"/>
              <w:gridCol w:w="1626"/>
              <w:gridCol w:w="1126"/>
              <w:gridCol w:w="1963"/>
              <w:gridCol w:w="2195"/>
            </w:tblGrid>
            <w:tr w14:paraId="4542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49" w:type="dxa"/>
                  <w:vAlign w:val="center"/>
                </w:tcPr>
                <w:p w14:paraId="14CDE6D2">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监测时段</w:t>
                  </w:r>
                </w:p>
              </w:tc>
              <w:tc>
                <w:tcPr>
                  <w:tcW w:w="758" w:type="dxa"/>
                  <w:vAlign w:val="center"/>
                </w:tcPr>
                <w:p w14:paraId="0785525B">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因素</w:t>
                  </w:r>
                </w:p>
              </w:tc>
              <w:tc>
                <w:tcPr>
                  <w:tcW w:w="1626" w:type="dxa"/>
                  <w:vAlign w:val="center"/>
                </w:tcPr>
                <w:p w14:paraId="67F94FF4">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监测点位</w:t>
                  </w:r>
                </w:p>
              </w:tc>
              <w:tc>
                <w:tcPr>
                  <w:tcW w:w="1126" w:type="dxa"/>
                  <w:vAlign w:val="center"/>
                </w:tcPr>
                <w:p w14:paraId="409E09F6">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监测项目</w:t>
                  </w:r>
                </w:p>
              </w:tc>
              <w:tc>
                <w:tcPr>
                  <w:tcW w:w="1963" w:type="dxa"/>
                  <w:vAlign w:val="center"/>
                </w:tcPr>
                <w:p w14:paraId="5A2B0CC8">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监测方法及频率</w:t>
                  </w:r>
                </w:p>
              </w:tc>
              <w:tc>
                <w:tcPr>
                  <w:tcW w:w="2195" w:type="dxa"/>
                  <w:vAlign w:val="center"/>
                </w:tcPr>
                <w:p w14:paraId="53323490">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执行排放标准</w:t>
                  </w:r>
                </w:p>
              </w:tc>
            </w:tr>
            <w:tr w14:paraId="4AC3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49" w:type="dxa"/>
                  <w:vAlign w:val="center"/>
                </w:tcPr>
                <w:p w14:paraId="25C48E0E">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运营期</w:t>
                  </w:r>
                </w:p>
              </w:tc>
              <w:tc>
                <w:tcPr>
                  <w:tcW w:w="758" w:type="dxa"/>
                  <w:vAlign w:val="center"/>
                </w:tcPr>
                <w:p w14:paraId="7CA630DF">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噪声</w:t>
                  </w:r>
                </w:p>
              </w:tc>
              <w:tc>
                <w:tcPr>
                  <w:tcW w:w="1626" w:type="dxa"/>
                  <w:vAlign w:val="center"/>
                </w:tcPr>
                <w:p w14:paraId="6B1014B2">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项目东、南、</w:t>
                  </w:r>
                  <w:r>
                    <w:rPr>
                      <w:rFonts w:hint="eastAsia" w:ascii="Times New Roman" w:hAnsi="Times New Roman"/>
                      <w:bCs/>
                      <w:color w:val="auto"/>
                      <w:kern w:val="0"/>
                      <w:szCs w:val="21"/>
                    </w:rPr>
                    <w:t>西、</w:t>
                  </w:r>
                  <w:r>
                    <w:rPr>
                      <w:rFonts w:ascii="Times New Roman" w:hAnsi="Times New Roman"/>
                      <w:bCs/>
                      <w:color w:val="auto"/>
                      <w:kern w:val="0"/>
                      <w:szCs w:val="21"/>
                    </w:rPr>
                    <w:t>北四个厂界外1m处</w:t>
                  </w:r>
                </w:p>
              </w:tc>
              <w:tc>
                <w:tcPr>
                  <w:tcW w:w="1126" w:type="dxa"/>
                  <w:vAlign w:val="center"/>
                </w:tcPr>
                <w:p w14:paraId="27187752">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等效连续A声级</w:t>
                  </w:r>
                </w:p>
              </w:tc>
              <w:tc>
                <w:tcPr>
                  <w:tcW w:w="1963" w:type="dxa"/>
                  <w:vAlign w:val="center"/>
                </w:tcPr>
                <w:p w14:paraId="5C6290FD">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1次/季度，按照国家相关噪声监测技术方法进行监测</w:t>
                  </w:r>
                </w:p>
              </w:tc>
              <w:tc>
                <w:tcPr>
                  <w:tcW w:w="2195" w:type="dxa"/>
                  <w:vAlign w:val="center"/>
                </w:tcPr>
                <w:p w14:paraId="4C0E3324">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《工业企业厂界环境噪声排放标准》（GB12348-2008）中2类</w:t>
                  </w:r>
                  <w:r>
                    <w:rPr>
                      <w:rFonts w:hint="eastAsia" w:ascii="Times New Roman" w:hAnsi="Times New Roman"/>
                      <w:bCs/>
                      <w:color w:val="auto"/>
                      <w:kern w:val="0"/>
                      <w:szCs w:val="21"/>
                      <w:lang w:eastAsia="zh-CN"/>
                    </w:rPr>
                    <w:t>、</w:t>
                  </w:r>
                  <w:r>
                    <w:rPr>
                      <w:rFonts w:hint="eastAsia" w:ascii="Times New Roman" w:hAnsi="Times New Roman"/>
                      <w:bCs/>
                      <w:color w:val="auto"/>
                      <w:kern w:val="0"/>
                      <w:szCs w:val="21"/>
                      <w:lang w:val="en-US" w:eastAsia="zh-CN"/>
                    </w:rPr>
                    <w:t>4类</w:t>
                  </w:r>
                  <w:r>
                    <w:rPr>
                      <w:rFonts w:ascii="Times New Roman" w:hAnsi="Times New Roman"/>
                      <w:bCs/>
                      <w:color w:val="auto"/>
                      <w:kern w:val="0"/>
                      <w:szCs w:val="21"/>
                    </w:rPr>
                    <w:t>标准</w:t>
                  </w:r>
                </w:p>
              </w:tc>
            </w:tr>
          </w:tbl>
          <w:p w14:paraId="46B8CF20">
            <w:pPr>
              <w:adjustRightInd w:val="0"/>
              <w:snapToGrid w:val="0"/>
              <w:spacing w:line="360" w:lineRule="auto"/>
              <w:jc w:val="center"/>
              <w:rPr>
                <w:rFonts w:hint="eastAsia" w:ascii="Times New Roman" w:hAnsi="Times New Roman"/>
                <w:b/>
                <w:bCs/>
                <w:color w:val="auto"/>
                <w:spacing w:val="-6"/>
                <w:szCs w:val="21"/>
                <w:lang w:val="zh-CN"/>
              </w:rPr>
            </w:pPr>
          </w:p>
        </w:tc>
      </w:tr>
    </w:tbl>
    <w:tbl>
      <w:tblPr>
        <w:tblStyle w:val="29"/>
        <w:tblW w:w="9063" w:type="dxa"/>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475"/>
      </w:tblGrid>
      <w:tr w14:paraId="0EF0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1E07E0B3">
            <w:pPr>
              <w:adjustRightInd w:val="0"/>
              <w:snapToGrid w:val="0"/>
              <w:spacing w:line="360" w:lineRule="auto"/>
              <w:rPr>
                <w:rFonts w:ascii="Times New Roman" w:hAnsi="Times New Roman"/>
                <w:b/>
                <w:color w:val="auto"/>
                <w:kern w:val="0"/>
                <w:szCs w:val="21"/>
              </w:rPr>
            </w:pPr>
          </w:p>
        </w:tc>
        <w:tc>
          <w:tcPr>
            <w:tcW w:w="8475" w:type="dxa"/>
          </w:tcPr>
          <w:p w14:paraId="34062EAD">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四、固废环境影响及防治措施</w:t>
            </w:r>
          </w:p>
          <w:p w14:paraId="3836DBAC">
            <w:pPr>
              <w:adjustRightInd w:val="0"/>
              <w:snapToGrid w:val="0"/>
              <w:spacing w:line="360" w:lineRule="auto"/>
              <w:ind w:firstLine="482" w:firstLineChars="200"/>
              <w:rPr>
                <w:rFonts w:ascii="Times New Roman" w:hAnsi="Times New Roman"/>
                <w:color w:val="auto"/>
                <w:kern w:val="0"/>
                <w:sz w:val="24"/>
              </w:rPr>
            </w:pPr>
            <w:r>
              <w:rPr>
                <w:rFonts w:ascii="Times New Roman" w:hAnsi="Times New Roman"/>
                <w:b/>
                <w:bCs/>
                <w:color w:val="auto"/>
                <w:kern w:val="0"/>
                <w:sz w:val="24"/>
              </w:rPr>
              <w:t>1、固废产生情况</w:t>
            </w:r>
          </w:p>
          <w:p w14:paraId="68DA13C7">
            <w:p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本项目产生的固体废物主要为废包装袋、生物质燃烧灰渣、布袋除尘器收尘灰、软水制备废离子交换树脂、污水处理设施污泥、废机油、生活垃圾。</w:t>
            </w:r>
          </w:p>
          <w:p w14:paraId="68A30E35">
            <w:pPr>
              <w:pStyle w:val="73"/>
              <w:spacing w:line="360" w:lineRule="auto"/>
              <w:ind w:firstLine="480"/>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rPr>
              <w:t>（</w:t>
            </w:r>
            <w:r>
              <w:rPr>
                <w:rFonts w:ascii="Times New Roman" w:hAnsi="Times New Roman" w:eastAsia="宋体"/>
                <w:b/>
                <w:bCs/>
                <w:color w:val="auto"/>
                <w:sz w:val="24"/>
                <w:szCs w:val="24"/>
              </w:rPr>
              <w:t>1）</w:t>
            </w:r>
            <w:r>
              <w:rPr>
                <w:rFonts w:hint="eastAsia" w:ascii="Times New Roman" w:hAnsi="Times New Roman" w:eastAsia="宋体"/>
                <w:b/>
                <w:bCs/>
                <w:color w:val="auto"/>
                <w:sz w:val="24"/>
                <w:szCs w:val="24"/>
                <w:lang w:val="en-US" w:eastAsia="zh-CN"/>
              </w:rPr>
              <w:t>一般固废</w:t>
            </w:r>
          </w:p>
          <w:p w14:paraId="55C23070">
            <w:pPr>
              <w:pStyle w:val="98"/>
              <w:spacing w:before="180" w:line="360" w:lineRule="auto"/>
              <w:ind w:left="6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①废包装袋</w:t>
            </w:r>
          </w:p>
          <w:p w14:paraId="49130E80">
            <w:pPr>
              <w:pStyle w:val="73"/>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项目运营期间洗涤剂使用完后会产生规格不等的洗涤剂包装袋，此类包装 袋为固体塑料，产生量约为原料用量的0.5% ，则废包装袋产生量约为0.09t/a， 废包装袋集中收集后出售废品收购站。</w:t>
            </w:r>
          </w:p>
          <w:p w14:paraId="7B201246">
            <w:pPr>
              <w:pStyle w:val="73"/>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②生物质燃烧灰渣</w:t>
            </w:r>
          </w:p>
          <w:p w14:paraId="54BD6CF7">
            <w:pPr>
              <w:spacing w:line="360" w:lineRule="auto"/>
              <w:ind w:firstLine="480" w:firstLineChars="200"/>
              <w:rPr>
                <w:rFonts w:ascii="Times New Roman" w:hAnsi="Times New Roman"/>
                <w:snapToGrid w:val="0"/>
                <w:color w:val="auto"/>
                <w:kern w:val="0"/>
                <w:sz w:val="24"/>
              </w:rPr>
            </w:pPr>
            <w:r>
              <w:rPr>
                <w:rFonts w:hint="eastAsia" w:ascii="Times New Roman" w:hAnsi="Times New Roman"/>
                <w:snapToGrid w:val="0"/>
                <w:color w:val="auto"/>
                <w:kern w:val="0"/>
                <w:sz w:val="24"/>
              </w:rPr>
              <w:t>根据《污染源源强核算技术指南 锅炉》（HJ991-2018）中生物质锅炉灰渣产生量计算公式：</w:t>
            </w:r>
          </w:p>
          <w:p w14:paraId="497C4191">
            <w:pPr>
              <w:spacing w:line="360" w:lineRule="auto"/>
              <w:ind w:firstLine="480" w:firstLineChars="200"/>
              <w:rPr>
                <w:rFonts w:hint="eastAsia" w:ascii="Times New Roman" w:hAnsi="Times New Roman"/>
                <w:snapToGrid w:val="0"/>
                <w:color w:val="auto"/>
                <w:kern w:val="0"/>
                <w:sz w:val="24"/>
              </w:rPr>
            </w:pPr>
            <m:oMathPara>
              <m:oMath>
                <m:sSub>
                  <m:sSubPr>
                    <m:ctrlPr>
                      <w:rPr>
                        <w:rFonts w:ascii="Cambria Math" w:hAnsi="Cambria Math"/>
                        <w:i/>
                        <w:snapToGrid w:val="0"/>
                        <w:color w:val="auto"/>
                        <w:kern w:val="0"/>
                        <w:sz w:val="24"/>
                      </w:rPr>
                    </m:ctrlPr>
                  </m:sSubPr>
                  <m:e>
                    <m:r>
                      <m:rPr/>
                      <w:rPr>
                        <w:rFonts w:ascii="Cambria Math" w:hAnsi="Cambria Math"/>
                        <w:snapToGrid w:val="0"/>
                        <w:color w:val="auto"/>
                        <w:kern w:val="0"/>
                        <w:sz w:val="24"/>
                      </w:rPr>
                      <m:t>E</m:t>
                    </m:r>
                    <m:ctrlPr>
                      <w:rPr>
                        <w:rFonts w:ascii="Cambria Math" w:hAnsi="Cambria Math"/>
                        <w:i/>
                        <w:snapToGrid w:val="0"/>
                        <w:color w:val="auto"/>
                        <w:kern w:val="0"/>
                        <w:sz w:val="24"/>
                      </w:rPr>
                    </m:ctrlPr>
                  </m:e>
                  <m:sub>
                    <m:r>
                      <m:rPr/>
                      <w:rPr>
                        <w:rFonts w:ascii="Cambria Math" w:hAnsi="Cambria Math"/>
                        <w:snapToGrid w:val="0"/>
                        <w:color w:val="auto"/>
                        <w:kern w:val="0"/>
                        <w:sz w:val="24"/>
                      </w:rPr>
                      <m:t>ℎz</m:t>
                    </m:r>
                    <m:ctrlPr>
                      <w:rPr>
                        <w:rFonts w:ascii="Cambria Math" w:hAnsi="Cambria Math"/>
                        <w:i/>
                        <w:snapToGrid w:val="0"/>
                        <w:color w:val="auto"/>
                        <w:kern w:val="0"/>
                        <w:sz w:val="24"/>
                      </w:rPr>
                    </m:ctrlPr>
                  </m:sub>
                </m:sSub>
                <m:r>
                  <m:rPr/>
                  <w:rPr>
                    <w:rFonts w:ascii="Cambria Math" w:hAnsi="Cambria Math"/>
                    <w:snapToGrid w:val="0"/>
                    <w:color w:val="auto"/>
                    <w:kern w:val="0"/>
                    <w:sz w:val="24"/>
                  </w:rPr>
                  <m:t>=R×（</m:t>
                </m:r>
                <m:f>
                  <m:fPr>
                    <m:ctrlPr>
                      <w:rPr>
                        <w:rFonts w:ascii="Cambria Math" w:hAnsi="Cambria Math"/>
                        <w:i/>
                        <w:snapToGrid w:val="0"/>
                        <w:color w:val="auto"/>
                        <w:kern w:val="0"/>
                        <w:sz w:val="24"/>
                      </w:rPr>
                    </m:ctrlPr>
                  </m:fPr>
                  <m:num>
                    <m:sSub>
                      <m:sSubPr>
                        <m:ctrlPr>
                          <w:rPr>
                            <w:rFonts w:ascii="Cambria Math" w:hAnsi="Cambria Math"/>
                            <w:i/>
                            <w:snapToGrid w:val="0"/>
                            <w:color w:val="auto"/>
                            <w:kern w:val="0"/>
                            <w:sz w:val="24"/>
                          </w:rPr>
                        </m:ctrlPr>
                      </m:sSubPr>
                      <m:e>
                        <m:r>
                          <m:rPr/>
                          <w:rPr>
                            <w:rFonts w:ascii="Cambria Math" w:hAnsi="Cambria Math"/>
                            <w:snapToGrid w:val="0"/>
                            <w:color w:val="auto"/>
                            <w:kern w:val="0"/>
                            <w:sz w:val="24"/>
                          </w:rPr>
                          <m:t>A</m:t>
                        </m:r>
                        <m:ctrlPr>
                          <w:rPr>
                            <w:rFonts w:ascii="Cambria Math" w:hAnsi="Cambria Math"/>
                            <w:i/>
                            <w:snapToGrid w:val="0"/>
                            <w:color w:val="auto"/>
                            <w:kern w:val="0"/>
                            <w:sz w:val="24"/>
                          </w:rPr>
                        </m:ctrlPr>
                      </m:e>
                      <m:sub>
                        <m:r>
                          <m:rPr/>
                          <w:rPr>
                            <w:rFonts w:ascii="Cambria Math" w:hAnsi="Cambria Math"/>
                            <w:snapToGrid w:val="0"/>
                            <w:color w:val="auto"/>
                            <w:kern w:val="0"/>
                            <w:sz w:val="24"/>
                          </w:rPr>
                          <m:t>ar</m:t>
                        </m:r>
                        <m:ctrlPr>
                          <w:rPr>
                            <w:rFonts w:ascii="Cambria Math" w:hAnsi="Cambria Math"/>
                            <w:i/>
                            <w:snapToGrid w:val="0"/>
                            <w:color w:val="auto"/>
                            <w:kern w:val="0"/>
                            <w:sz w:val="24"/>
                          </w:rPr>
                        </m:ctrlPr>
                      </m:sub>
                    </m:sSub>
                    <m:ctrlPr>
                      <w:rPr>
                        <w:rFonts w:ascii="Cambria Math" w:hAnsi="Cambria Math"/>
                        <w:i/>
                        <w:snapToGrid w:val="0"/>
                        <w:color w:val="auto"/>
                        <w:kern w:val="0"/>
                        <w:sz w:val="24"/>
                      </w:rPr>
                    </m:ctrlPr>
                  </m:num>
                  <m:den>
                    <m:r>
                      <m:rPr/>
                      <w:rPr>
                        <w:rFonts w:ascii="Cambria Math" w:hAnsi="Cambria Math"/>
                        <w:snapToGrid w:val="0"/>
                        <w:color w:val="auto"/>
                        <w:kern w:val="0"/>
                        <w:sz w:val="24"/>
                      </w:rPr>
                      <m:t>100</m:t>
                    </m:r>
                    <m:ctrlPr>
                      <w:rPr>
                        <w:rFonts w:ascii="Cambria Math" w:hAnsi="Cambria Math"/>
                        <w:i/>
                        <w:snapToGrid w:val="0"/>
                        <w:color w:val="auto"/>
                        <w:kern w:val="0"/>
                        <w:sz w:val="24"/>
                      </w:rPr>
                    </m:ctrlPr>
                  </m:den>
                </m:f>
                <m:r>
                  <m:rPr/>
                  <w:rPr>
                    <w:rFonts w:ascii="Cambria Math" w:hAnsi="Cambria Math"/>
                    <w:snapToGrid w:val="0"/>
                    <w:color w:val="auto"/>
                    <w:kern w:val="0"/>
                    <w:sz w:val="24"/>
                  </w:rPr>
                  <m:t>+</m:t>
                </m:r>
                <m:f>
                  <m:fPr>
                    <m:ctrlPr>
                      <w:rPr>
                        <w:rFonts w:ascii="Cambria Math" w:hAnsi="Cambria Math"/>
                        <w:i/>
                        <w:snapToGrid w:val="0"/>
                        <w:color w:val="auto"/>
                        <w:kern w:val="0"/>
                        <w:sz w:val="24"/>
                      </w:rPr>
                    </m:ctrlPr>
                  </m:fPr>
                  <m:num>
                    <m:sSub>
                      <m:sSubPr>
                        <m:ctrlPr>
                          <w:rPr>
                            <w:rFonts w:ascii="Cambria Math" w:hAnsi="Cambria Math"/>
                            <w:i/>
                            <w:snapToGrid w:val="0"/>
                            <w:color w:val="auto"/>
                            <w:kern w:val="0"/>
                            <w:sz w:val="24"/>
                          </w:rPr>
                        </m:ctrlPr>
                      </m:sSubPr>
                      <m:e>
                        <m:r>
                          <m:rPr/>
                          <w:rPr>
                            <w:rFonts w:ascii="Cambria Math" w:hAnsi="Cambria Math"/>
                            <w:snapToGrid w:val="0"/>
                            <w:color w:val="auto"/>
                            <w:kern w:val="0"/>
                            <w:sz w:val="24"/>
                          </w:rPr>
                          <m:t>q</m:t>
                        </m:r>
                        <m:ctrlPr>
                          <w:rPr>
                            <w:rFonts w:ascii="Cambria Math" w:hAnsi="Cambria Math"/>
                            <w:i/>
                            <w:snapToGrid w:val="0"/>
                            <w:color w:val="auto"/>
                            <w:kern w:val="0"/>
                            <w:sz w:val="24"/>
                          </w:rPr>
                        </m:ctrlPr>
                      </m:e>
                      <m:sub>
                        <m:r>
                          <m:rPr/>
                          <w:rPr>
                            <w:rFonts w:ascii="Cambria Math" w:hAnsi="Cambria Math"/>
                            <w:snapToGrid w:val="0"/>
                            <w:color w:val="auto"/>
                            <w:kern w:val="0"/>
                            <w:sz w:val="24"/>
                          </w:rPr>
                          <m:t>4</m:t>
                        </m:r>
                        <m:ctrlPr>
                          <w:rPr>
                            <w:rFonts w:ascii="Cambria Math" w:hAnsi="Cambria Math"/>
                            <w:i/>
                            <w:snapToGrid w:val="0"/>
                            <w:color w:val="auto"/>
                            <w:kern w:val="0"/>
                            <w:sz w:val="24"/>
                          </w:rPr>
                        </m:ctrlPr>
                      </m:sub>
                    </m:sSub>
                    <m:r>
                      <m:rPr/>
                      <w:rPr>
                        <w:rFonts w:ascii="Cambria Math" w:hAnsi="Cambria Math"/>
                        <w:snapToGrid w:val="0"/>
                        <w:color w:val="auto"/>
                        <w:kern w:val="0"/>
                        <w:sz w:val="24"/>
                      </w:rPr>
                      <m:t>×</m:t>
                    </m:r>
                    <m:sSub>
                      <m:sSubPr>
                        <m:ctrlPr>
                          <w:rPr>
                            <w:rFonts w:ascii="Cambria Math" w:hAnsi="Cambria Math"/>
                            <w:i/>
                            <w:snapToGrid w:val="0"/>
                            <w:color w:val="auto"/>
                            <w:kern w:val="0"/>
                            <w:sz w:val="24"/>
                          </w:rPr>
                        </m:ctrlPr>
                      </m:sSubPr>
                      <m:e>
                        <m:r>
                          <m:rPr/>
                          <w:rPr>
                            <w:rFonts w:ascii="Cambria Math" w:hAnsi="Cambria Math"/>
                            <w:snapToGrid w:val="0"/>
                            <w:color w:val="auto"/>
                            <w:kern w:val="0"/>
                            <w:sz w:val="24"/>
                          </w:rPr>
                          <m:t>Q</m:t>
                        </m:r>
                        <m:ctrlPr>
                          <w:rPr>
                            <w:rFonts w:ascii="Cambria Math" w:hAnsi="Cambria Math"/>
                            <w:i/>
                            <w:snapToGrid w:val="0"/>
                            <w:color w:val="auto"/>
                            <w:kern w:val="0"/>
                            <w:sz w:val="24"/>
                          </w:rPr>
                        </m:ctrlPr>
                      </m:e>
                      <m:sub>
                        <m:r>
                          <m:rPr/>
                          <w:rPr>
                            <w:rFonts w:ascii="Cambria Math" w:hAnsi="Cambria Math"/>
                            <w:snapToGrid w:val="0"/>
                            <w:color w:val="auto"/>
                            <w:kern w:val="0"/>
                            <w:sz w:val="24"/>
                          </w:rPr>
                          <m:t>net，ar</m:t>
                        </m:r>
                        <m:ctrlPr>
                          <w:rPr>
                            <w:rFonts w:ascii="Cambria Math" w:hAnsi="Cambria Math"/>
                            <w:i/>
                            <w:snapToGrid w:val="0"/>
                            <w:color w:val="auto"/>
                            <w:kern w:val="0"/>
                            <w:sz w:val="24"/>
                          </w:rPr>
                        </m:ctrlPr>
                      </m:sub>
                    </m:sSub>
                    <m:ctrlPr>
                      <w:rPr>
                        <w:rFonts w:ascii="Cambria Math" w:hAnsi="Cambria Math"/>
                        <w:i/>
                        <w:snapToGrid w:val="0"/>
                        <w:color w:val="auto"/>
                        <w:kern w:val="0"/>
                        <w:sz w:val="24"/>
                      </w:rPr>
                    </m:ctrlPr>
                  </m:num>
                  <m:den>
                    <m:r>
                      <m:rPr/>
                      <w:rPr>
                        <w:rFonts w:ascii="Cambria Math" w:hAnsi="Cambria Math"/>
                        <w:snapToGrid w:val="0"/>
                        <w:color w:val="auto"/>
                        <w:kern w:val="0"/>
                        <w:sz w:val="24"/>
                      </w:rPr>
                      <m:t>100×33870</m:t>
                    </m:r>
                    <m:ctrlPr>
                      <w:rPr>
                        <w:rFonts w:ascii="Cambria Math" w:hAnsi="Cambria Math"/>
                        <w:i/>
                        <w:snapToGrid w:val="0"/>
                        <w:color w:val="auto"/>
                        <w:kern w:val="0"/>
                        <w:sz w:val="24"/>
                      </w:rPr>
                    </m:ctrlPr>
                  </m:den>
                </m:f>
                <m:r>
                  <m:rPr/>
                  <w:rPr>
                    <w:rFonts w:ascii="Cambria Math" w:hAnsi="Cambria Math"/>
                    <w:snapToGrid w:val="0"/>
                    <w:color w:val="auto"/>
                    <w:kern w:val="0"/>
                    <w:sz w:val="24"/>
                  </w:rPr>
                  <m:t>）</m:t>
                </m:r>
              </m:oMath>
            </m:oMathPara>
          </w:p>
          <w:p w14:paraId="6861A343">
            <w:pPr>
              <w:spacing w:line="360" w:lineRule="auto"/>
              <w:ind w:firstLine="480" w:firstLineChars="200"/>
              <w:rPr>
                <w:rFonts w:hint="eastAsia" w:ascii="Times New Roman" w:hAnsi="Times New Roman"/>
                <w:snapToGrid w:val="0"/>
                <w:color w:val="auto"/>
                <w:kern w:val="0"/>
                <w:sz w:val="24"/>
              </w:rPr>
            </w:pPr>
            <w:r>
              <w:rPr>
                <w:rFonts w:hint="eastAsia" w:ascii="Times New Roman" w:hAnsi="Times New Roman"/>
                <w:snapToGrid w:val="0"/>
                <w:color w:val="auto"/>
                <w:kern w:val="0"/>
                <w:sz w:val="24"/>
              </w:rPr>
              <w:t>式中：E</w:t>
            </w:r>
            <w:r>
              <w:rPr>
                <w:rFonts w:hint="eastAsia" w:ascii="Times New Roman" w:hAnsi="Times New Roman"/>
                <w:snapToGrid w:val="0"/>
                <w:color w:val="auto"/>
                <w:kern w:val="0"/>
                <w:sz w:val="24"/>
                <w:vertAlign w:val="subscript"/>
              </w:rPr>
              <w:t>hz</w:t>
            </w:r>
            <w:r>
              <w:rPr>
                <w:rFonts w:hint="eastAsia" w:ascii="Times New Roman" w:hAnsi="Times New Roman"/>
                <w:snapToGrid w:val="0"/>
                <w:color w:val="auto"/>
                <w:kern w:val="0"/>
                <w:sz w:val="24"/>
              </w:rPr>
              <w:t>—核算时段内灰渣产生量，t；</w:t>
            </w:r>
          </w:p>
          <w:p w14:paraId="206505BA">
            <w:pPr>
              <w:spacing w:line="360" w:lineRule="auto"/>
              <w:ind w:firstLine="480" w:firstLineChars="200"/>
              <w:rPr>
                <w:rFonts w:hint="eastAsia" w:ascii="Times New Roman" w:hAnsi="Times New Roman"/>
                <w:snapToGrid w:val="0"/>
                <w:color w:val="auto"/>
                <w:kern w:val="0"/>
                <w:sz w:val="24"/>
              </w:rPr>
            </w:pPr>
            <w:r>
              <w:rPr>
                <w:rFonts w:hint="eastAsia" w:ascii="Times New Roman" w:hAnsi="Times New Roman"/>
                <w:snapToGrid w:val="0"/>
                <w:color w:val="auto"/>
                <w:kern w:val="0"/>
                <w:sz w:val="24"/>
              </w:rPr>
              <w:t>R—核算时段内锅炉燃料消耗量，</w:t>
            </w:r>
            <w:r>
              <w:rPr>
                <w:rFonts w:hint="eastAsia" w:ascii="Times New Roman" w:hAnsi="Times New Roman"/>
                <w:snapToGrid w:val="0"/>
                <w:color w:val="auto"/>
                <w:kern w:val="0"/>
                <w:sz w:val="24"/>
                <w:lang w:val="en-US" w:eastAsia="zh-CN"/>
              </w:rPr>
              <w:t>1107</w:t>
            </w:r>
            <w:r>
              <w:rPr>
                <w:rFonts w:hint="eastAsia" w:ascii="Times New Roman" w:hAnsi="Times New Roman"/>
                <w:snapToGrid w:val="0"/>
                <w:color w:val="auto"/>
                <w:kern w:val="0"/>
                <w:sz w:val="24"/>
              </w:rPr>
              <w:t>t；</w:t>
            </w:r>
          </w:p>
          <w:p w14:paraId="4A8A1E97">
            <w:pPr>
              <w:spacing w:line="360" w:lineRule="auto"/>
              <w:ind w:firstLine="480" w:firstLineChars="200"/>
              <w:rPr>
                <w:rFonts w:ascii="Times New Roman" w:hAnsi="Times New Roman"/>
                <w:color w:val="auto"/>
                <w:sz w:val="24"/>
              </w:rPr>
            </w:pPr>
            <w:r>
              <w:rPr>
                <w:rFonts w:hint="eastAsia" w:ascii="Times New Roman" w:hAnsi="Times New Roman"/>
                <w:snapToGrid w:val="0"/>
                <w:color w:val="auto"/>
                <w:kern w:val="0"/>
                <w:sz w:val="24"/>
              </w:rPr>
              <w:t>A</w:t>
            </w:r>
            <w:r>
              <w:rPr>
                <w:rFonts w:hint="eastAsia" w:ascii="Times New Roman" w:hAnsi="Times New Roman"/>
                <w:snapToGrid w:val="0"/>
                <w:color w:val="auto"/>
                <w:kern w:val="0"/>
                <w:sz w:val="24"/>
                <w:vertAlign w:val="subscript"/>
              </w:rPr>
              <w:t>ar</w:t>
            </w:r>
            <w:r>
              <w:rPr>
                <w:rFonts w:hint="eastAsia" w:ascii="Times New Roman" w:hAnsi="Times New Roman"/>
                <w:snapToGrid w:val="0"/>
                <w:color w:val="auto"/>
                <w:kern w:val="0"/>
                <w:sz w:val="24"/>
              </w:rPr>
              <w:t>—收到基灰分的质量分数，%，</w:t>
            </w:r>
            <w:r>
              <w:rPr>
                <w:rFonts w:hint="eastAsia" w:ascii="Times New Roman" w:hAnsi="Times New Roman"/>
                <w:color w:val="auto"/>
                <w:sz w:val="24"/>
              </w:rPr>
              <w:t>根据燃料检测报告取</w:t>
            </w:r>
            <w:r>
              <w:rPr>
                <w:rFonts w:hint="eastAsia" w:ascii="Times New Roman" w:hAnsi="Times New Roman"/>
                <w:color w:val="auto"/>
                <w:sz w:val="24"/>
                <w:lang w:val="en-US" w:eastAsia="zh-CN"/>
              </w:rPr>
              <w:t>3</w:t>
            </w:r>
            <w:r>
              <w:rPr>
                <w:rFonts w:hint="eastAsia" w:ascii="Times New Roman" w:hAnsi="Times New Roman"/>
                <w:color w:val="auto"/>
                <w:sz w:val="24"/>
              </w:rPr>
              <w:t>；</w:t>
            </w:r>
          </w:p>
          <w:p w14:paraId="5F8B12C3">
            <w:pPr>
              <w:spacing w:line="360" w:lineRule="auto"/>
              <w:ind w:firstLine="480" w:firstLineChars="200"/>
              <w:rPr>
                <w:rFonts w:ascii="Times New Roman" w:hAnsi="Times New Roman"/>
                <w:color w:val="auto"/>
                <w:sz w:val="24"/>
              </w:rPr>
            </w:pPr>
            <w:r>
              <w:rPr>
                <w:rFonts w:hint="eastAsia" w:ascii="Times New Roman" w:hAnsi="Times New Roman"/>
                <w:color w:val="auto"/>
                <w:sz w:val="24"/>
              </w:rPr>
              <w:t>q</w:t>
            </w:r>
            <w:r>
              <w:rPr>
                <w:rFonts w:hint="eastAsia" w:ascii="Times New Roman" w:hAnsi="Times New Roman"/>
                <w:color w:val="auto"/>
                <w:sz w:val="24"/>
                <w:vertAlign w:val="subscript"/>
              </w:rPr>
              <w:t>4</w:t>
            </w:r>
            <w:r>
              <w:rPr>
                <w:rFonts w:hint="eastAsia" w:ascii="Times New Roman" w:hAnsi="Times New Roman"/>
                <w:color w:val="auto"/>
                <w:sz w:val="24"/>
              </w:rPr>
              <w:t>—锅炉机械不完全燃烧热损失，%，</w:t>
            </w:r>
            <w:r>
              <w:rPr>
                <w:rFonts w:ascii="Times New Roman" w:hAnsi="Times New Roman"/>
                <w:color w:val="auto"/>
                <w:sz w:val="24"/>
              </w:rPr>
              <w:t>根据《污染源源强核算技术指南—锅炉》（HJ991-2018）附录B，锅炉机械不完全燃烧热损失取5</w:t>
            </w:r>
            <w:r>
              <w:rPr>
                <w:rFonts w:hint="eastAsia" w:ascii="Times New Roman" w:hAnsi="Times New Roman"/>
                <w:color w:val="auto"/>
                <w:sz w:val="24"/>
              </w:rPr>
              <w:t>；</w:t>
            </w:r>
          </w:p>
          <w:p w14:paraId="66FA48B0">
            <w:pPr>
              <w:spacing w:line="360" w:lineRule="auto"/>
              <w:ind w:firstLine="480" w:firstLineChars="200"/>
              <w:rPr>
                <w:rFonts w:ascii="Times New Roman" w:hAnsi="Times New Roman"/>
                <w:snapToGrid w:val="0"/>
                <w:color w:val="auto"/>
                <w:kern w:val="0"/>
                <w:sz w:val="24"/>
              </w:rPr>
            </w:pPr>
            <w:r>
              <w:rPr>
                <w:rFonts w:hint="eastAsia" w:ascii="Times New Roman" w:hAnsi="Times New Roman"/>
                <w:snapToGrid w:val="0"/>
                <w:color w:val="auto"/>
                <w:kern w:val="0"/>
                <w:sz w:val="24"/>
              </w:rPr>
              <w:t>Q</w:t>
            </w:r>
            <w:r>
              <w:rPr>
                <w:rFonts w:hint="eastAsia" w:ascii="Times New Roman" w:hAnsi="Times New Roman"/>
                <w:snapToGrid w:val="0"/>
                <w:color w:val="auto"/>
                <w:kern w:val="0"/>
                <w:sz w:val="24"/>
                <w:vertAlign w:val="subscript"/>
              </w:rPr>
              <w:t>net，ar</w:t>
            </w:r>
            <w:r>
              <w:rPr>
                <w:rFonts w:hint="eastAsia" w:ascii="Times New Roman" w:hAnsi="Times New Roman"/>
                <w:snapToGrid w:val="0"/>
                <w:color w:val="auto"/>
                <w:kern w:val="0"/>
                <w:sz w:val="24"/>
              </w:rPr>
              <w:t>—收到基低位发热量，kJ/kg，取</w:t>
            </w:r>
            <w:r>
              <w:rPr>
                <w:rFonts w:hint="eastAsia" w:ascii="Times New Roman" w:hAnsi="Times New Roman"/>
                <w:snapToGrid w:val="0"/>
                <w:color w:val="auto"/>
                <w:kern w:val="0"/>
                <w:sz w:val="24"/>
                <w:lang w:val="en-US" w:eastAsia="zh-CN"/>
              </w:rPr>
              <w:t>16430</w:t>
            </w:r>
            <w:r>
              <w:rPr>
                <w:rFonts w:hint="eastAsia" w:ascii="Times New Roman" w:hAnsi="Times New Roman"/>
                <w:snapToGrid w:val="0"/>
                <w:color w:val="auto"/>
                <w:kern w:val="0"/>
                <w:sz w:val="24"/>
              </w:rPr>
              <w:t>kJ/kg。</w:t>
            </w:r>
          </w:p>
          <w:p w14:paraId="0295FA37">
            <w:pPr>
              <w:pStyle w:val="73"/>
              <w:spacing w:line="360" w:lineRule="auto"/>
              <w:ind w:firstLine="480"/>
              <w:rPr>
                <w:rFonts w:hint="eastAsia" w:ascii="Times New Roman" w:hAnsi="Times New Roman" w:eastAsia="宋体" w:cs="宋体"/>
                <w:color w:val="auto"/>
                <w:spacing w:val="-1"/>
                <w:sz w:val="24"/>
                <w:szCs w:val="24"/>
                <w:lang w:val="en-US" w:eastAsia="zh-CN"/>
              </w:rPr>
            </w:pPr>
            <w:r>
              <w:rPr>
                <w:rFonts w:hint="eastAsia" w:ascii="Times New Roman" w:hAnsi="Times New Roman"/>
                <w:snapToGrid w:val="0"/>
                <w:color w:val="auto"/>
                <w:kern w:val="0"/>
                <w:sz w:val="24"/>
              </w:rPr>
              <w:t>经计算，本项目锅炉灰渣产生量为</w:t>
            </w:r>
            <w:r>
              <w:rPr>
                <w:rFonts w:hint="eastAsia" w:ascii="Times New Roman" w:hAnsi="Times New Roman"/>
                <w:snapToGrid w:val="0"/>
                <w:color w:val="auto"/>
                <w:kern w:val="0"/>
                <w:sz w:val="24"/>
                <w:lang w:val="en-US" w:eastAsia="zh-CN"/>
              </w:rPr>
              <w:t>60.06</w:t>
            </w:r>
            <w:r>
              <w:rPr>
                <w:rFonts w:hint="eastAsia" w:ascii="Times New Roman" w:hAnsi="Times New Roman"/>
                <w:snapToGrid w:val="0"/>
                <w:color w:val="auto"/>
                <w:kern w:val="0"/>
                <w:sz w:val="24"/>
              </w:rPr>
              <w:t>t/a</w:t>
            </w:r>
            <w:r>
              <w:rPr>
                <w:rFonts w:hint="eastAsia" w:ascii="Times New Roman" w:hAnsi="Times New Roman"/>
                <w:snapToGrid w:val="0"/>
                <w:color w:val="auto"/>
                <w:kern w:val="0"/>
                <w:sz w:val="24"/>
                <w:lang w:eastAsia="zh-CN"/>
              </w:rPr>
              <w:t>。</w:t>
            </w:r>
            <w:r>
              <w:rPr>
                <w:rFonts w:hint="eastAsia" w:ascii="Times New Roman" w:hAnsi="Times New Roman"/>
                <w:snapToGrid w:val="0"/>
                <w:color w:val="auto"/>
                <w:kern w:val="0"/>
                <w:sz w:val="24"/>
              </w:rPr>
              <w:t>锅炉</w:t>
            </w:r>
            <w:r>
              <w:rPr>
                <w:rFonts w:hint="eastAsia" w:ascii="Times New Roman" w:hAnsi="Times New Roman" w:eastAsia="宋体" w:cs="Times New Roman"/>
                <w:color w:val="auto"/>
                <w:kern w:val="2"/>
                <w:sz w:val="24"/>
                <w:szCs w:val="24"/>
                <w:lang w:val="en-US" w:eastAsia="zh-CN" w:bidi="ar-SA"/>
              </w:rPr>
              <w:t>灰渣主要成分为柴灰渣，采用编织袋</w:t>
            </w:r>
            <w:r>
              <w:rPr>
                <w:rFonts w:hint="default" w:ascii="Times New Roman" w:hAnsi="Times New Roman" w:eastAsia="宋体" w:cs="Times New Roman"/>
                <w:color w:val="auto"/>
                <w:kern w:val="2"/>
                <w:sz w:val="24"/>
                <w:szCs w:val="24"/>
                <w:lang w:val="en-US" w:eastAsia="zh-CN" w:bidi="ar-SA"/>
              </w:rPr>
              <w:t>统一收集后</w:t>
            </w:r>
            <w:r>
              <w:rPr>
                <w:rFonts w:hint="eastAsia" w:ascii="Times New Roman" w:hAnsi="Times New Roman" w:eastAsia="宋体" w:cs="Times New Roman"/>
                <w:color w:val="auto"/>
                <w:kern w:val="2"/>
                <w:sz w:val="24"/>
                <w:szCs w:val="24"/>
                <w:lang w:val="en-US" w:eastAsia="zh-CN" w:bidi="ar-SA"/>
              </w:rPr>
              <w:t>暂存于一般固废间，</w:t>
            </w:r>
            <w:r>
              <w:rPr>
                <w:rFonts w:hint="default" w:ascii="Times New Roman" w:hAnsi="Times New Roman" w:eastAsia="宋体" w:cs="Times New Roman"/>
                <w:color w:val="auto"/>
                <w:kern w:val="2"/>
                <w:sz w:val="24"/>
                <w:szCs w:val="24"/>
                <w:lang w:val="en-US" w:eastAsia="zh-CN" w:bidi="ar-SA"/>
              </w:rPr>
              <w:t>作为肥料给附近村民农田施用</w:t>
            </w:r>
            <w:r>
              <w:rPr>
                <w:rFonts w:hint="eastAsia" w:ascii="Times New Roman" w:hAnsi="Times New Roman" w:eastAsia="宋体" w:cs="宋体"/>
                <w:color w:val="auto"/>
                <w:spacing w:val="-1"/>
                <w:sz w:val="24"/>
                <w:szCs w:val="24"/>
                <w:lang w:val="en-US" w:eastAsia="zh-CN"/>
              </w:rPr>
              <w:t>。</w:t>
            </w:r>
          </w:p>
          <w:p w14:paraId="553DF365">
            <w:pPr>
              <w:pStyle w:val="98"/>
              <w:spacing w:before="32" w:line="219" w:lineRule="auto"/>
              <w:ind w:left="60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val="en-US" w:eastAsia="zh-CN"/>
              </w:rPr>
              <w:t>③</w:t>
            </w:r>
            <w:r>
              <w:rPr>
                <w:rFonts w:hint="eastAsia" w:ascii="Times New Roman" w:hAnsi="Times New Roman" w:eastAsia="宋体" w:cs="宋体"/>
                <w:color w:val="auto"/>
                <w:spacing w:val="-2"/>
                <w:sz w:val="24"/>
                <w:szCs w:val="24"/>
              </w:rPr>
              <w:t>布袋除尘器收尘灰</w:t>
            </w:r>
          </w:p>
          <w:p w14:paraId="70D799A8">
            <w:pPr>
              <w:pStyle w:val="98"/>
              <w:spacing w:before="183" w:line="350" w:lineRule="auto"/>
              <w:ind w:left="111" w:right="102" w:firstLine="480"/>
              <w:rPr>
                <w:rFonts w:hint="eastAsia" w:ascii="Times New Roman" w:hAnsi="Times New Roman" w:eastAsia="宋体" w:cs="宋体"/>
                <w:color w:val="auto"/>
                <w:spacing w:val="-1"/>
                <w:sz w:val="24"/>
                <w:szCs w:val="24"/>
              </w:rPr>
            </w:pPr>
            <w:r>
              <w:rPr>
                <w:rFonts w:hint="eastAsia" w:ascii="Times New Roman" w:hAnsi="Times New Roman" w:eastAsia="宋体" w:cs="宋体"/>
                <w:color w:val="auto"/>
                <w:spacing w:val="-1"/>
                <w:sz w:val="24"/>
                <w:szCs w:val="24"/>
              </w:rPr>
              <w:t>项目生物质蒸汽发生器采用布袋除尘器收集粉尘，根据核算，布袋除尘器 收尘灰量</w:t>
            </w:r>
            <w:r>
              <w:rPr>
                <w:rFonts w:hint="eastAsia" w:ascii="Times New Roman" w:hAnsi="Times New Roman" w:eastAsia="宋体" w:cs="宋体"/>
                <w:color w:val="auto"/>
                <w:spacing w:val="-1"/>
                <w:sz w:val="24"/>
                <w:szCs w:val="24"/>
                <w:lang w:val="en-US" w:eastAsia="zh-CN"/>
              </w:rPr>
              <w:t>约</w:t>
            </w:r>
            <w:r>
              <w:rPr>
                <w:rFonts w:hint="eastAsia" w:ascii="Times New Roman" w:hAnsi="Times New Roman" w:eastAsia="宋体" w:cs="宋体"/>
                <w:color w:val="auto"/>
                <w:spacing w:val="-1"/>
                <w:sz w:val="24"/>
                <w:szCs w:val="24"/>
              </w:rPr>
              <w:t>为</w:t>
            </w:r>
            <w:r>
              <w:rPr>
                <w:rFonts w:hint="eastAsia" w:ascii="Times New Roman" w:hAnsi="Times New Roman" w:eastAsia="宋体" w:cs="宋体"/>
                <w:color w:val="auto"/>
                <w:spacing w:val="-1"/>
                <w:sz w:val="24"/>
                <w:szCs w:val="24"/>
                <w:lang w:val="en-US" w:eastAsia="zh-CN"/>
              </w:rPr>
              <w:t>0.55</w:t>
            </w:r>
            <w:r>
              <w:rPr>
                <w:rFonts w:hint="eastAsia" w:ascii="Times New Roman" w:hAnsi="Times New Roman" w:eastAsia="宋体" w:cs="宋体"/>
                <w:color w:val="auto"/>
                <w:spacing w:val="-1"/>
                <w:sz w:val="24"/>
                <w:szCs w:val="24"/>
              </w:rPr>
              <w:t>t/a ，</w:t>
            </w:r>
            <w:r>
              <w:rPr>
                <w:rFonts w:hint="eastAsia" w:ascii="Times New Roman" w:hAnsi="Times New Roman" w:eastAsia="宋体" w:cs="宋体"/>
                <w:color w:val="auto"/>
                <w:spacing w:val="-1"/>
                <w:sz w:val="24"/>
                <w:szCs w:val="24"/>
                <w:lang w:val="en-US" w:eastAsia="zh-CN"/>
              </w:rPr>
              <w:t>采用编织袋</w:t>
            </w:r>
            <w:r>
              <w:rPr>
                <w:rFonts w:hint="default" w:ascii="Times New Roman" w:hAnsi="Times New Roman" w:eastAsia="宋体" w:cs="宋体"/>
                <w:color w:val="auto"/>
                <w:spacing w:val="-1"/>
                <w:sz w:val="24"/>
                <w:szCs w:val="24"/>
                <w:lang w:val="en-US" w:eastAsia="zh-CN"/>
              </w:rPr>
              <w:t>统一收集后</w:t>
            </w:r>
            <w:r>
              <w:rPr>
                <w:rFonts w:hint="eastAsia" w:ascii="Times New Roman" w:hAnsi="Times New Roman" w:eastAsia="宋体" w:cs="宋体"/>
                <w:color w:val="auto"/>
                <w:spacing w:val="-1"/>
                <w:sz w:val="24"/>
                <w:szCs w:val="24"/>
                <w:lang w:val="en-US" w:eastAsia="zh-CN"/>
              </w:rPr>
              <w:t>暂存于一般固废间，</w:t>
            </w:r>
            <w:r>
              <w:rPr>
                <w:rFonts w:hint="default" w:ascii="Times New Roman" w:hAnsi="Times New Roman" w:eastAsia="宋体" w:cs="宋体"/>
                <w:color w:val="auto"/>
                <w:spacing w:val="-1"/>
                <w:sz w:val="24"/>
                <w:szCs w:val="24"/>
                <w:lang w:val="en-US" w:eastAsia="zh-CN"/>
              </w:rPr>
              <w:t>作为肥料给附近村民农田施用</w:t>
            </w:r>
            <w:r>
              <w:rPr>
                <w:rFonts w:hint="eastAsia" w:ascii="Times New Roman" w:hAnsi="Times New Roman" w:eastAsia="宋体" w:cs="宋体"/>
                <w:color w:val="auto"/>
                <w:spacing w:val="-1"/>
                <w:sz w:val="24"/>
                <w:szCs w:val="24"/>
              </w:rPr>
              <w:t>。</w:t>
            </w:r>
          </w:p>
          <w:p w14:paraId="15BFB630">
            <w:pPr>
              <w:pStyle w:val="98"/>
              <w:spacing w:before="47" w:line="219" w:lineRule="auto"/>
              <w:ind w:left="60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val="en-US" w:eastAsia="zh-CN"/>
              </w:rPr>
              <w:t>④沉淀池</w:t>
            </w:r>
            <w:r>
              <w:rPr>
                <w:rFonts w:hint="eastAsia" w:ascii="Times New Roman" w:hAnsi="Times New Roman" w:eastAsia="宋体" w:cs="宋体"/>
                <w:color w:val="auto"/>
                <w:spacing w:val="-2"/>
                <w:sz w:val="24"/>
                <w:szCs w:val="24"/>
              </w:rPr>
              <w:t>污泥</w:t>
            </w:r>
          </w:p>
          <w:p w14:paraId="4359654E">
            <w:pPr>
              <w:pStyle w:val="98"/>
              <w:spacing w:before="183" w:line="350" w:lineRule="auto"/>
              <w:ind w:left="111" w:right="102" w:firstLine="480"/>
              <w:rPr>
                <w:rFonts w:hint="eastAsia" w:ascii="Times New Roman" w:hAnsi="Times New Roman" w:eastAsia="宋体" w:cs="宋体"/>
                <w:color w:val="auto"/>
                <w:spacing w:val="-1"/>
                <w:sz w:val="24"/>
                <w:szCs w:val="24"/>
              </w:rPr>
            </w:pPr>
            <w:r>
              <w:rPr>
                <w:rFonts w:hint="eastAsia" w:ascii="Times New Roman" w:hAnsi="Times New Roman" w:eastAsia="宋体" w:cs="宋体"/>
                <w:color w:val="auto"/>
                <w:spacing w:val="15"/>
                <w:sz w:val="24"/>
                <w:szCs w:val="24"/>
              </w:rPr>
              <w:t>项目区设置</w:t>
            </w:r>
            <w:r>
              <w:rPr>
                <w:rFonts w:hint="eastAsia" w:ascii="Times New Roman" w:hAnsi="Times New Roman" w:cs="宋体"/>
                <w:color w:val="auto"/>
                <w:spacing w:val="15"/>
                <w:sz w:val="24"/>
                <w:szCs w:val="24"/>
                <w:lang w:val="en-US" w:eastAsia="zh-CN"/>
              </w:rPr>
              <w:t>三级沉淀池</w:t>
            </w:r>
            <w:r>
              <w:rPr>
                <w:rFonts w:hint="eastAsia" w:ascii="Times New Roman" w:hAnsi="Times New Roman" w:eastAsia="宋体" w:cs="宋体"/>
                <w:color w:val="auto"/>
                <w:spacing w:val="15"/>
                <w:sz w:val="24"/>
                <w:szCs w:val="24"/>
              </w:rPr>
              <w:t>，污泥一般占</w:t>
            </w:r>
            <w:r>
              <w:rPr>
                <w:rFonts w:hint="eastAsia" w:ascii="Times New Roman" w:hAnsi="Times New Roman" w:eastAsia="宋体" w:cs="宋体"/>
                <w:color w:val="auto"/>
                <w:spacing w:val="14"/>
                <w:sz w:val="24"/>
                <w:szCs w:val="24"/>
              </w:rPr>
              <w:t>污水处理量的</w:t>
            </w:r>
            <w:r>
              <w:rPr>
                <w:rFonts w:hint="eastAsia" w:ascii="Times New Roman" w:hAnsi="Times New Roman" w:eastAsia="宋体" w:cs="宋体"/>
                <w:color w:val="auto"/>
                <w:sz w:val="24"/>
                <w:szCs w:val="24"/>
              </w:rPr>
              <w:t xml:space="preserve"> </w:t>
            </w:r>
            <w:r>
              <w:rPr>
                <w:rFonts w:hint="eastAsia" w:ascii="Times New Roman" w:hAnsi="Times New Roman" w:eastAsia="宋体" w:cs="宋体"/>
                <w:color w:val="auto"/>
                <w:spacing w:val="-2"/>
                <w:sz w:val="24"/>
                <w:szCs w:val="24"/>
              </w:rPr>
              <w:t>0.</w:t>
            </w:r>
            <w:r>
              <w:rPr>
                <w:rFonts w:hint="eastAsia" w:ascii="Times New Roman" w:hAnsi="Times New Roman" w:cs="宋体"/>
                <w:color w:val="auto"/>
                <w:spacing w:val="-2"/>
                <w:sz w:val="24"/>
                <w:szCs w:val="24"/>
                <w:lang w:val="en-US" w:eastAsia="zh-CN"/>
              </w:rPr>
              <w:t>1</w:t>
            </w:r>
            <w:r>
              <w:rPr>
                <w:rFonts w:hint="eastAsia" w:ascii="Times New Roman" w:hAnsi="Times New Roman" w:eastAsia="宋体" w:cs="宋体"/>
                <w:color w:val="auto"/>
                <w:spacing w:val="-2"/>
                <w:sz w:val="24"/>
                <w:szCs w:val="24"/>
              </w:rPr>
              <w:t>~0.5‰（按</w:t>
            </w:r>
            <w:r>
              <w:rPr>
                <w:rFonts w:hint="eastAsia" w:ascii="Times New Roman" w:hAnsi="Times New Roman" w:eastAsia="宋体" w:cs="宋体"/>
                <w:color w:val="auto"/>
                <w:spacing w:val="-51"/>
                <w:sz w:val="24"/>
                <w:szCs w:val="24"/>
              </w:rPr>
              <w:t xml:space="preserve"> </w:t>
            </w:r>
            <w:r>
              <w:rPr>
                <w:rFonts w:hint="eastAsia" w:ascii="Times New Roman" w:hAnsi="Times New Roman" w:eastAsia="宋体" w:cs="宋体"/>
                <w:color w:val="auto"/>
                <w:spacing w:val="-2"/>
                <w:sz w:val="24"/>
                <w:szCs w:val="24"/>
              </w:rPr>
              <w:t>0.</w:t>
            </w:r>
            <w:r>
              <w:rPr>
                <w:rFonts w:hint="eastAsia" w:ascii="Times New Roman" w:hAnsi="Times New Roman" w:cs="宋体"/>
                <w:color w:val="auto"/>
                <w:spacing w:val="-2"/>
                <w:sz w:val="24"/>
                <w:szCs w:val="24"/>
                <w:lang w:val="en-US" w:eastAsia="zh-CN"/>
              </w:rPr>
              <w:t>2</w:t>
            </w:r>
            <w:r>
              <w:rPr>
                <w:rFonts w:hint="eastAsia" w:ascii="Times New Roman" w:hAnsi="Times New Roman" w:eastAsia="宋体" w:cs="宋体"/>
                <w:color w:val="auto"/>
                <w:spacing w:val="-2"/>
                <w:sz w:val="24"/>
                <w:szCs w:val="24"/>
              </w:rPr>
              <w:t>‰计</w:t>
            </w:r>
            <w:r>
              <w:rPr>
                <w:rFonts w:hint="eastAsia" w:ascii="Times New Roman" w:hAnsi="Times New Roman" w:eastAsia="宋体" w:cs="宋体"/>
                <w:color w:val="auto"/>
                <w:spacing w:val="-20"/>
                <w:sz w:val="24"/>
                <w:szCs w:val="24"/>
              </w:rPr>
              <w:t>），</w:t>
            </w:r>
            <w:r>
              <w:rPr>
                <w:rFonts w:hint="eastAsia" w:ascii="Times New Roman" w:hAnsi="Times New Roman" w:eastAsia="宋体" w:cs="宋体"/>
                <w:color w:val="auto"/>
                <w:spacing w:val="-1"/>
                <w:sz w:val="24"/>
                <w:szCs w:val="24"/>
              </w:rPr>
              <w:t>项目</w:t>
            </w:r>
            <w:r>
              <w:rPr>
                <w:rFonts w:hint="eastAsia" w:ascii="Times New Roman" w:hAnsi="Times New Roman" w:eastAsia="宋体" w:cs="宋体"/>
                <w:color w:val="auto"/>
                <w:spacing w:val="-1"/>
                <w:sz w:val="24"/>
                <w:szCs w:val="24"/>
                <w:lang w:val="en-US" w:eastAsia="zh-CN"/>
              </w:rPr>
              <w:t>三级沉淀池</w:t>
            </w:r>
            <w:r>
              <w:rPr>
                <w:rFonts w:hint="eastAsia" w:ascii="Times New Roman" w:hAnsi="Times New Roman" w:eastAsia="宋体" w:cs="宋体"/>
                <w:color w:val="auto"/>
                <w:spacing w:val="-1"/>
                <w:sz w:val="24"/>
                <w:szCs w:val="24"/>
              </w:rPr>
              <w:t>处理污水量为</w:t>
            </w:r>
            <w:r>
              <w:rPr>
                <w:rFonts w:hint="eastAsia" w:ascii="Times New Roman" w:hAnsi="Times New Roman" w:eastAsia="宋体" w:cs="宋体"/>
                <w:color w:val="auto"/>
                <w:spacing w:val="-1"/>
                <w:sz w:val="24"/>
                <w:szCs w:val="24"/>
                <w:lang w:val="en-US" w:eastAsia="zh-CN"/>
              </w:rPr>
              <w:t>8254.8</w:t>
            </w:r>
            <w:r>
              <w:rPr>
                <w:rFonts w:hint="eastAsia" w:ascii="Times New Roman" w:hAnsi="Times New Roman" w:eastAsia="宋体" w:cs="宋体"/>
                <w:color w:val="auto"/>
                <w:spacing w:val="-1"/>
                <w:sz w:val="24"/>
                <w:szCs w:val="24"/>
              </w:rPr>
              <w:t xml:space="preserve">m³/a，则污泥产生量约为 </w:t>
            </w:r>
            <w:r>
              <w:rPr>
                <w:rFonts w:hint="eastAsia" w:ascii="Times New Roman" w:hAnsi="Times New Roman" w:eastAsia="宋体" w:cs="宋体"/>
                <w:color w:val="auto"/>
                <w:spacing w:val="-1"/>
                <w:sz w:val="24"/>
                <w:szCs w:val="24"/>
                <w:lang w:val="en-US" w:eastAsia="zh-CN"/>
              </w:rPr>
              <w:t>8.25</w:t>
            </w:r>
            <w:r>
              <w:rPr>
                <w:rFonts w:hint="eastAsia" w:ascii="Times New Roman" w:hAnsi="Times New Roman" w:eastAsia="宋体" w:cs="宋体"/>
                <w:color w:val="auto"/>
                <w:spacing w:val="-1"/>
                <w:sz w:val="24"/>
                <w:szCs w:val="24"/>
              </w:rPr>
              <w:t>t/a 。项目运营期间产生的生产废水性质与生活污水相似，不含有毒有害物质，污泥定期</w:t>
            </w:r>
            <w:r>
              <w:rPr>
                <w:rFonts w:hint="eastAsia" w:ascii="Times New Roman" w:hAnsi="Times New Roman" w:eastAsia="宋体" w:cs="宋体"/>
                <w:color w:val="auto"/>
                <w:spacing w:val="-1"/>
                <w:sz w:val="24"/>
                <w:szCs w:val="24"/>
                <w:lang w:val="en-US" w:eastAsia="zh-CN"/>
              </w:rPr>
              <w:t>委托</w:t>
            </w:r>
            <w:r>
              <w:rPr>
                <w:rFonts w:hint="eastAsia" w:ascii="Times New Roman" w:hAnsi="Times New Roman" w:eastAsia="宋体" w:cs="宋体"/>
                <w:color w:val="auto"/>
                <w:spacing w:val="-1"/>
                <w:sz w:val="24"/>
                <w:szCs w:val="24"/>
              </w:rPr>
              <w:t>当地环卫部门清运处置。</w:t>
            </w:r>
          </w:p>
          <w:p w14:paraId="1C01F8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rPr>
              <w:t>⑤</w:t>
            </w:r>
            <w:r>
              <w:rPr>
                <w:rFonts w:hint="eastAsia" w:ascii="Times New Roman" w:hAnsi="Times New Roman" w:eastAsia="宋体" w:cs="宋体"/>
                <w:color w:val="auto"/>
                <w:sz w:val="24"/>
                <w:szCs w:val="24"/>
                <w:lang w:val="en-US" w:eastAsia="zh-CN"/>
              </w:rPr>
              <w:t>废离子交换树脂</w:t>
            </w:r>
          </w:p>
          <w:p w14:paraId="3727A2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软水制备过程加入软化盐对树脂进行再生，以恢复树脂的软化交换能力</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rPr>
              <w:t>离子交换树脂经过一定时间以后需要更换，更换频率为1次/年，因此，会产生废离子交换树脂，产生量约为0.2t/a，产生的废离子交换树脂由厂家更换后直接带走。</w:t>
            </w:r>
          </w:p>
          <w:p w14:paraId="341301DD">
            <w:pPr>
              <w:pStyle w:val="73"/>
              <w:spacing w:line="360" w:lineRule="auto"/>
              <w:ind w:firstLine="480"/>
              <w:rPr>
                <w:rFonts w:ascii="Times New Roman" w:hAnsi="Times New Roman" w:eastAsia="宋体"/>
                <w:b/>
                <w:bCs/>
                <w:color w:val="auto"/>
                <w:sz w:val="24"/>
                <w:szCs w:val="24"/>
              </w:rPr>
            </w:pPr>
            <w:r>
              <w:rPr>
                <w:rFonts w:hint="eastAsia" w:ascii="Times New Roman" w:hAnsi="Times New Roman" w:eastAsia="宋体"/>
                <w:b/>
                <w:bCs/>
                <w:color w:val="auto"/>
                <w:sz w:val="24"/>
                <w:szCs w:val="24"/>
              </w:rPr>
              <w:t>（</w:t>
            </w:r>
            <w:r>
              <w:rPr>
                <w:rFonts w:hint="eastAsia" w:ascii="Times New Roman" w:hAnsi="Times New Roman" w:eastAsia="宋体"/>
                <w:b/>
                <w:bCs/>
                <w:color w:val="auto"/>
                <w:sz w:val="24"/>
                <w:szCs w:val="24"/>
                <w:lang w:val="en-US" w:eastAsia="zh-CN"/>
              </w:rPr>
              <w:t>2</w:t>
            </w:r>
            <w:r>
              <w:rPr>
                <w:rFonts w:ascii="Times New Roman" w:hAnsi="Times New Roman" w:eastAsia="宋体"/>
                <w:b/>
                <w:bCs/>
                <w:color w:val="auto"/>
                <w:sz w:val="24"/>
                <w:szCs w:val="24"/>
              </w:rPr>
              <w:t>）危险废物</w:t>
            </w:r>
          </w:p>
          <w:p w14:paraId="77E010D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①</w:t>
            </w:r>
            <w:r>
              <w:rPr>
                <w:rFonts w:hint="default" w:ascii="Times New Roman" w:hAnsi="Times New Roman" w:eastAsia="Times New Roman" w:cs="宋体"/>
                <w:color w:val="auto"/>
                <w:sz w:val="24"/>
                <w:szCs w:val="24"/>
                <w:lang w:val="en-US" w:eastAsia="zh-CN"/>
              </w:rPr>
              <w:t>废机油</w:t>
            </w:r>
          </w:p>
          <w:p w14:paraId="6AA4B7E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废机油</w:t>
            </w:r>
            <w:r>
              <w:rPr>
                <w:rFonts w:hint="default" w:ascii="Times New Roman" w:hAnsi="Times New Roman" w:eastAsia="宋体" w:cs="Times New Roman"/>
                <w:color w:val="auto"/>
                <w:sz w:val="24"/>
                <w:szCs w:val="24"/>
              </w:rPr>
              <w:t>主要来自于项目设备</w:t>
            </w:r>
            <w:r>
              <w:rPr>
                <w:rFonts w:hint="eastAsia" w:ascii="Times New Roman" w:hAnsi="Times New Roman" w:cs="Times New Roman"/>
                <w:color w:val="auto"/>
                <w:sz w:val="24"/>
                <w:szCs w:val="24"/>
                <w:lang w:val="en-US" w:eastAsia="zh-CN"/>
              </w:rPr>
              <w:t>日常</w:t>
            </w:r>
            <w:r>
              <w:rPr>
                <w:rFonts w:hint="default" w:ascii="Times New Roman" w:hAnsi="Times New Roman" w:eastAsia="宋体" w:cs="Times New Roman"/>
                <w:color w:val="auto"/>
                <w:sz w:val="24"/>
                <w:szCs w:val="24"/>
              </w:rPr>
              <w:t>维修</w:t>
            </w:r>
            <w:r>
              <w:rPr>
                <w:rFonts w:hint="eastAsia" w:ascii="Times New Roman" w:hAnsi="Times New Roman" w:cs="Times New Roman"/>
                <w:color w:val="auto"/>
                <w:sz w:val="24"/>
                <w:szCs w:val="24"/>
                <w:lang w:val="en-US" w:eastAsia="zh-CN"/>
              </w:rPr>
              <w:t>保养</w:t>
            </w:r>
            <w:r>
              <w:rPr>
                <w:rFonts w:hint="default" w:ascii="Times New Roman" w:hAnsi="Times New Roman" w:eastAsia="宋体" w:cs="Times New Roman"/>
                <w:color w:val="auto"/>
                <w:sz w:val="24"/>
                <w:szCs w:val="24"/>
              </w:rPr>
              <w:t>过程，废机油</w:t>
            </w:r>
            <w:r>
              <w:rPr>
                <w:rFonts w:hint="default" w:ascii="Times New Roman" w:hAnsi="Times New Roman" w:eastAsia="宋体" w:cs="Times New Roman"/>
                <w:color w:val="auto"/>
                <w:sz w:val="24"/>
                <w:szCs w:val="24"/>
                <w:lang w:val="en-US" w:eastAsia="zh-CN"/>
              </w:rPr>
              <w:t>产生量约</w:t>
            </w:r>
            <w:r>
              <w:rPr>
                <w:rFonts w:hint="default" w:ascii="Times New Roman" w:hAnsi="Times New Roman" w:eastAsia="宋体" w:cs="Times New Roman"/>
                <w:color w:val="auto"/>
                <w:sz w:val="24"/>
                <w:szCs w:val="24"/>
              </w:rPr>
              <w:t>0.</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t/a ，按照《国家危险废物名录》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年版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，废机油属于危险废物名录中“HW08 废矿物油及含矿物油废物”，废物代码为900-214-08。项目废机油使用</w:t>
            </w:r>
            <w:r>
              <w:rPr>
                <w:rFonts w:hint="eastAsia" w:ascii="Times New Roman" w:hAnsi="Times New Roman" w:eastAsia="宋体" w:cs="Times New Roman"/>
                <w:color w:val="auto"/>
                <w:sz w:val="24"/>
                <w:szCs w:val="24"/>
                <w:lang w:val="en-US" w:eastAsia="zh-CN"/>
              </w:rPr>
              <w:t>废油桶</w:t>
            </w:r>
            <w:r>
              <w:rPr>
                <w:rFonts w:hint="default" w:ascii="Times New Roman" w:hAnsi="Times New Roman" w:eastAsia="宋体" w:cs="Times New Roman"/>
                <w:color w:val="auto"/>
                <w:sz w:val="24"/>
                <w:szCs w:val="24"/>
              </w:rPr>
              <w:t>收集后</w:t>
            </w:r>
            <w:r>
              <w:rPr>
                <w:rFonts w:hint="default" w:ascii="Times New Roman" w:hAnsi="Times New Roman" w:eastAsia="宋体" w:cs="Times New Roman"/>
                <w:color w:val="auto"/>
                <w:sz w:val="24"/>
                <w:szCs w:val="24"/>
                <w:lang w:val="en-US" w:eastAsia="zh-CN"/>
              </w:rPr>
              <w:t>暂存</w:t>
            </w:r>
            <w:r>
              <w:rPr>
                <w:rFonts w:hint="default" w:ascii="Times New Roman" w:hAnsi="Times New Roman" w:eastAsia="宋体" w:cs="Times New Roman"/>
                <w:color w:val="auto"/>
                <w:sz w:val="24"/>
                <w:szCs w:val="24"/>
              </w:rPr>
              <w:t>于危废暂存间，委托有资质单位定期清运处置。</w:t>
            </w:r>
          </w:p>
          <w:p w14:paraId="3D3F8E4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危险废物贮存设施的运行与管理要求：</w:t>
            </w:r>
          </w:p>
          <w:p w14:paraId="54AAC480">
            <w:pPr>
              <w:pStyle w:val="16"/>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eastAsia" w:ascii="Times New Roman" w:hAnsi="Times New Roman" w:eastAsia="Times New Roman" w:cs="宋体"/>
                <w:color w:val="auto"/>
                <w:sz w:val="24"/>
                <w:szCs w:val="24"/>
                <w:lang w:val="en-US" w:eastAsia="zh-CN"/>
              </w:rPr>
              <w:t>①</w:t>
            </w:r>
            <w:r>
              <w:rPr>
                <w:rFonts w:hint="default" w:ascii="Times New Roman" w:hAnsi="Times New Roman" w:eastAsia="宋体" w:cs="Times New Roman"/>
                <w:b w:val="0"/>
                <w:bCs/>
                <w:color w:val="auto"/>
                <w:kern w:val="0"/>
                <w:sz w:val="24"/>
                <w:szCs w:val="24"/>
                <w:highlight w:val="none"/>
              </w:rPr>
              <w:t>企业严格按照《危险废物</w:t>
            </w:r>
            <w:r>
              <w:rPr>
                <w:rFonts w:hint="eastAsia" w:ascii="Times New Roman" w:hAnsi="Times New Roman" w:cs="Times New Roman"/>
                <w:b w:val="0"/>
                <w:bCs/>
                <w:color w:val="auto"/>
                <w:kern w:val="0"/>
                <w:sz w:val="24"/>
                <w:szCs w:val="24"/>
                <w:highlight w:val="none"/>
                <w:lang w:val="en-US" w:eastAsia="zh-CN"/>
              </w:rPr>
              <w:t>贮存</w:t>
            </w:r>
            <w:r>
              <w:rPr>
                <w:rFonts w:hint="default" w:ascii="Times New Roman" w:hAnsi="Times New Roman" w:eastAsia="宋体" w:cs="Times New Roman"/>
                <w:b w:val="0"/>
                <w:bCs/>
                <w:color w:val="auto"/>
                <w:kern w:val="0"/>
                <w:sz w:val="24"/>
                <w:szCs w:val="24"/>
                <w:highlight w:val="none"/>
              </w:rPr>
              <w:t>污染控制标准》（GB18597-20</w:t>
            </w:r>
            <w:r>
              <w:rPr>
                <w:rFonts w:hint="eastAsia" w:ascii="Times New Roman" w:hAnsi="Times New Roman" w:cs="Times New Roman"/>
                <w:b w:val="0"/>
                <w:bCs/>
                <w:color w:val="auto"/>
                <w:kern w:val="0"/>
                <w:sz w:val="24"/>
                <w:szCs w:val="24"/>
                <w:highlight w:val="none"/>
                <w:lang w:val="en-US" w:eastAsia="zh-CN"/>
              </w:rPr>
              <w:t>23</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相应的纪录。对相应的暂存场建设基础防渗设施、防风、防雨、防晒并配备照明设施等，并与厂区内其它生产单元、办公生活区严格区分、单独隔离。</w:t>
            </w:r>
          </w:p>
          <w:p w14:paraId="0D0739C9">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②危废须使用符合标准的容器盛装危险废物，不得将不相容的废物混合或合并存放，暂存间内外部设置醒目警示标志；</w:t>
            </w:r>
          </w:p>
          <w:p w14:paraId="0B56AA3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olor w:val="auto"/>
              </w:rPr>
            </w:pPr>
            <w:r>
              <w:rPr>
                <w:rFonts w:hint="default" w:ascii="Times New Roman" w:hAnsi="Times New Roman" w:cs="Times New Roman"/>
                <w:color w:val="auto"/>
                <w:sz w:val="24"/>
                <w:szCs w:val="24"/>
              </w:rPr>
              <w:t>③</w:t>
            </w:r>
            <w:r>
              <w:rPr>
                <w:rFonts w:hint="default" w:ascii="Times New Roman" w:hAnsi="Times New Roman" w:eastAsia="宋体" w:cs="Times New Roman"/>
                <w:b w:val="0"/>
                <w:bCs/>
                <w:color w:val="auto"/>
                <w:kern w:val="0"/>
                <w:sz w:val="24"/>
                <w:szCs w:val="24"/>
                <w:highlight w:val="none"/>
              </w:rPr>
              <w:t>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r>
              <w:rPr>
                <w:rFonts w:hint="eastAsia" w:ascii="Times New Roman" w:hAnsi="Times New Roman" w:eastAsia="宋体" w:cs="Times New Roman"/>
                <w:b w:val="0"/>
                <w:bCs/>
                <w:color w:val="auto"/>
                <w:kern w:val="0"/>
                <w:sz w:val="24"/>
                <w:szCs w:val="24"/>
                <w:highlight w:val="none"/>
                <w:lang w:eastAsia="zh-CN"/>
              </w:rPr>
              <w:t>，</w:t>
            </w:r>
            <w:r>
              <w:rPr>
                <w:rFonts w:hint="default" w:ascii="Times New Roman" w:hAnsi="Times New Roman" w:cs="Times New Roman"/>
                <w:color w:val="auto"/>
                <w:sz w:val="24"/>
                <w:szCs w:val="24"/>
              </w:rPr>
              <w:t>须做好危险废管理台账记录，记录上须注明危险废物的名称、来源、数量、特性和包装容器的类别，入库日期、存放库位、废物出库日期及接收单位名称。危险废物管理台账记录保存时间不应少于</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p>
          <w:p w14:paraId="0063AD66">
            <w:pPr>
              <w:pStyle w:val="73"/>
              <w:spacing w:line="360" w:lineRule="auto"/>
              <w:ind w:firstLine="480"/>
              <w:rPr>
                <w:rFonts w:ascii="Times New Roman" w:hAnsi="Times New Roman" w:eastAsia="宋体"/>
                <w:b/>
                <w:bCs/>
                <w:color w:val="auto"/>
                <w:sz w:val="24"/>
                <w:szCs w:val="24"/>
              </w:rPr>
            </w:pPr>
            <w:r>
              <w:rPr>
                <w:rFonts w:hint="eastAsia" w:ascii="Times New Roman" w:hAnsi="Times New Roman" w:eastAsia="宋体"/>
                <w:b/>
                <w:bCs/>
                <w:color w:val="auto"/>
                <w:sz w:val="24"/>
                <w:szCs w:val="24"/>
              </w:rPr>
              <w:t>（</w:t>
            </w:r>
            <w:r>
              <w:rPr>
                <w:rFonts w:hint="eastAsia" w:ascii="Times New Roman" w:hAnsi="Times New Roman" w:eastAsia="宋体"/>
                <w:b/>
                <w:bCs/>
                <w:color w:val="auto"/>
                <w:sz w:val="24"/>
                <w:szCs w:val="24"/>
                <w:lang w:val="en-US" w:eastAsia="zh-CN"/>
              </w:rPr>
              <w:t>3</w:t>
            </w:r>
            <w:r>
              <w:rPr>
                <w:rFonts w:ascii="Times New Roman" w:hAnsi="Times New Roman" w:eastAsia="宋体"/>
                <w:b/>
                <w:bCs/>
                <w:color w:val="auto"/>
                <w:sz w:val="24"/>
                <w:szCs w:val="24"/>
              </w:rPr>
              <w:t>）生活垃圾</w:t>
            </w:r>
          </w:p>
          <w:p w14:paraId="025F60A1">
            <w:pPr>
              <w:pStyle w:val="73"/>
              <w:spacing w:line="360" w:lineRule="auto"/>
              <w:ind w:firstLine="480"/>
              <w:rPr>
                <w:rFonts w:ascii="Times New Roman" w:hAnsi="Times New Roman" w:eastAsia="宋体"/>
                <w:color w:val="auto"/>
                <w:sz w:val="24"/>
                <w:szCs w:val="24"/>
              </w:rPr>
            </w:pPr>
            <w:r>
              <w:rPr>
                <w:rFonts w:hint="eastAsia" w:ascii="Times New Roman" w:hAnsi="Times New Roman" w:eastAsia="宋体"/>
                <w:color w:val="auto"/>
                <w:sz w:val="24"/>
                <w:szCs w:val="24"/>
              </w:rPr>
              <w:t>本项目员工人数为</w:t>
            </w:r>
            <w:r>
              <w:rPr>
                <w:rFonts w:hint="eastAsia" w:ascii="Times New Roman" w:hAnsi="Times New Roman"/>
                <w:color w:val="auto"/>
                <w:sz w:val="24"/>
                <w:szCs w:val="24"/>
                <w:lang w:val="en-US" w:eastAsia="zh-CN"/>
              </w:rPr>
              <w:t>6</w:t>
            </w:r>
            <w:r>
              <w:rPr>
                <w:rFonts w:ascii="Times New Roman" w:hAnsi="Times New Roman" w:eastAsia="宋体"/>
                <w:color w:val="auto"/>
                <w:sz w:val="24"/>
                <w:szCs w:val="24"/>
              </w:rPr>
              <w:t>人，生活垃圾量按每人每天1kg计算，年生产</w:t>
            </w:r>
            <w:r>
              <w:rPr>
                <w:rFonts w:hint="eastAsia" w:ascii="Times New Roman" w:hAnsi="Times New Roman" w:eastAsia="宋体"/>
                <w:color w:val="auto"/>
                <w:sz w:val="24"/>
                <w:szCs w:val="24"/>
                <w:lang w:val="en-US" w:eastAsia="zh-CN"/>
              </w:rPr>
              <w:t>300</w:t>
            </w:r>
            <w:r>
              <w:rPr>
                <w:rFonts w:ascii="Times New Roman" w:hAnsi="Times New Roman" w:eastAsia="宋体"/>
                <w:color w:val="auto"/>
                <w:sz w:val="24"/>
                <w:szCs w:val="24"/>
              </w:rPr>
              <w:t>天，则生活垃圾产生量为</w:t>
            </w:r>
            <w:r>
              <w:rPr>
                <w:rFonts w:hint="eastAsia" w:ascii="Times New Roman" w:hAnsi="Times New Roman"/>
                <w:color w:val="auto"/>
                <w:sz w:val="24"/>
                <w:szCs w:val="24"/>
                <w:lang w:val="en-US" w:eastAsia="zh-CN"/>
              </w:rPr>
              <w:t>1.8</w:t>
            </w:r>
            <w:r>
              <w:rPr>
                <w:rFonts w:ascii="Times New Roman" w:hAnsi="Times New Roman" w:eastAsia="宋体"/>
                <w:color w:val="auto"/>
                <w:sz w:val="24"/>
                <w:szCs w:val="24"/>
              </w:rPr>
              <w:t>t/a。本项目</w:t>
            </w:r>
            <w:r>
              <w:rPr>
                <w:rFonts w:hint="eastAsia" w:ascii="Times New Roman" w:hAnsi="Times New Roman" w:eastAsia="宋体"/>
                <w:color w:val="auto"/>
                <w:sz w:val="24"/>
                <w:szCs w:val="24"/>
                <w:lang w:val="en-US" w:eastAsia="zh-CN"/>
              </w:rPr>
              <w:t>生活垃圾经垃圾桶统一收集后，</w:t>
            </w:r>
            <w:r>
              <w:rPr>
                <w:rFonts w:hint="default" w:ascii="Times New Roman" w:hAnsi="Times New Roman" w:eastAsia="宋体"/>
                <w:color w:val="auto"/>
                <w:sz w:val="24"/>
                <w:szCs w:val="24"/>
                <w:lang w:val="en-US" w:eastAsia="zh-CN"/>
              </w:rPr>
              <w:t>清运至最近的生活垃圾收集点</w:t>
            </w:r>
            <w:r>
              <w:rPr>
                <w:rFonts w:hint="eastAsia" w:ascii="Times New Roman" w:hAnsi="Times New Roman" w:eastAsia="宋体"/>
                <w:color w:val="auto"/>
                <w:sz w:val="24"/>
                <w:szCs w:val="24"/>
                <w:lang w:val="en-US" w:eastAsia="zh-CN"/>
              </w:rPr>
              <w:t>由</w:t>
            </w:r>
            <w:r>
              <w:rPr>
                <w:rFonts w:hint="default" w:ascii="Times New Roman" w:hAnsi="Times New Roman" w:eastAsia="宋体"/>
                <w:color w:val="auto"/>
                <w:sz w:val="24"/>
                <w:szCs w:val="24"/>
                <w:lang w:val="en-US" w:eastAsia="zh-CN"/>
              </w:rPr>
              <w:t>环卫部门清运处置</w:t>
            </w:r>
            <w:r>
              <w:rPr>
                <w:rFonts w:ascii="Times New Roman" w:hAnsi="Times New Roman" w:eastAsia="宋体"/>
                <w:color w:val="auto"/>
                <w:sz w:val="24"/>
                <w:szCs w:val="24"/>
              </w:rPr>
              <w:t>。</w:t>
            </w:r>
          </w:p>
          <w:p w14:paraId="6412C2D2">
            <w:pPr>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 xml:space="preserve">17 </w:t>
            </w:r>
            <w:r>
              <w:rPr>
                <w:rFonts w:ascii="Times New Roman" w:hAnsi="Times New Roman"/>
                <w:b/>
                <w:color w:val="auto"/>
                <w:kern w:val="0"/>
                <w:szCs w:val="21"/>
              </w:rPr>
              <w:t>项目运营期固体废物产排情况表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1"/>
              <w:gridCol w:w="1543"/>
              <w:gridCol w:w="935"/>
              <w:gridCol w:w="1275"/>
              <w:gridCol w:w="3105"/>
            </w:tblGrid>
            <w:tr w14:paraId="0E67E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47EEF55E">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产生源</w:t>
                  </w:r>
                </w:p>
              </w:tc>
              <w:tc>
                <w:tcPr>
                  <w:tcW w:w="1543" w:type="dxa"/>
                  <w:noWrap w:val="0"/>
                  <w:tcMar>
                    <w:top w:w="15" w:type="dxa"/>
                    <w:left w:w="15" w:type="dxa"/>
                    <w:right w:w="15" w:type="dxa"/>
                  </w:tcMar>
                  <w:vAlign w:val="center"/>
                </w:tcPr>
                <w:p w14:paraId="646BEE38">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935" w:type="dxa"/>
                  <w:noWrap w:val="0"/>
                  <w:tcMar>
                    <w:top w:w="15" w:type="dxa"/>
                    <w:left w:w="15" w:type="dxa"/>
                    <w:right w:w="15" w:type="dxa"/>
                  </w:tcMar>
                  <w:vAlign w:val="center"/>
                </w:tcPr>
                <w:p w14:paraId="7941EEB2">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固废属性</w:t>
                  </w:r>
                </w:p>
              </w:tc>
              <w:tc>
                <w:tcPr>
                  <w:tcW w:w="1275" w:type="dxa"/>
                  <w:noWrap w:val="0"/>
                  <w:tcMar>
                    <w:top w:w="15" w:type="dxa"/>
                    <w:left w:w="15" w:type="dxa"/>
                    <w:right w:w="15" w:type="dxa"/>
                  </w:tcMar>
                  <w:vAlign w:val="center"/>
                </w:tcPr>
                <w:p w14:paraId="437A5569">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3105" w:type="dxa"/>
                  <w:noWrap w:val="0"/>
                  <w:tcMar>
                    <w:top w:w="15" w:type="dxa"/>
                    <w:left w:w="15" w:type="dxa"/>
                    <w:right w:w="15" w:type="dxa"/>
                  </w:tcMar>
                  <w:vAlign w:val="center"/>
                </w:tcPr>
                <w:p w14:paraId="7CE5B97A">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处置措施</w:t>
                  </w:r>
                </w:p>
              </w:tc>
            </w:tr>
            <w:tr w14:paraId="3E9BC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3CFA30C2">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生产工序</w:t>
                  </w:r>
                </w:p>
              </w:tc>
              <w:tc>
                <w:tcPr>
                  <w:tcW w:w="1543" w:type="dxa"/>
                  <w:noWrap w:val="0"/>
                  <w:tcMar>
                    <w:top w:w="15" w:type="dxa"/>
                    <w:left w:w="15" w:type="dxa"/>
                    <w:right w:w="15" w:type="dxa"/>
                  </w:tcMar>
                  <w:vAlign w:val="center"/>
                </w:tcPr>
                <w:p w14:paraId="05514049">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935" w:type="dxa"/>
                  <w:vMerge w:val="restart"/>
                  <w:noWrap w:val="0"/>
                  <w:tcMar>
                    <w:top w:w="15" w:type="dxa"/>
                    <w:left w:w="15" w:type="dxa"/>
                    <w:right w:w="15" w:type="dxa"/>
                  </w:tcMar>
                  <w:vAlign w:val="center"/>
                </w:tcPr>
                <w:p w14:paraId="45C522B3">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p>
                <w:p w14:paraId="1B68A31B">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1275" w:type="dxa"/>
                  <w:noWrap w:val="0"/>
                  <w:tcMar>
                    <w:top w:w="15" w:type="dxa"/>
                    <w:left w:w="15" w:type="dxa"/>
                    <w:right w:w="15" w:type="dxa"/>
                  </w:tcMar>
                  <w:vAlign w:val="center"/>
                </w:tcPr>
                <w:p w14:paraId="5243BEB0">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w:t>
                  </w:r>
                </w:p>
              </w:tc>
              <w:tc>
                <w:tcPr>
                  <w:tcW w:w="3105" w:type="dxa"/>
                  <w:noWrap w:val="0"/>
                  <w:tcMar>
                    <w:top w:w="15" w:type="dxa"/>
                    <w:left w:w="15" w:type="dxa"/>
                    <w:right w:w="15" w:type="dxa"/>
                  </w:tcMar>
                  <w:vAlign w:val="center"/>
                </w:tcPr>
                <w:p w14:paraId="6957084C">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收集后</w:t>
                  </w:r>
                  <w:r>
                    <w:rPr>
                      <w:rFonts w:hint="eastAsia" w:ascii="Times New Roman" w:hAnsi="Times New Roman" w:eastAsia="宋体" w:cs="Times New Roman"/>
                      <w:color w:val="auto"/>
                      <w:sz w:val="21"/>
                      <w:szCs w:val="21"/>
                      <w:lang w:val="en-US" w:eastAsia="zh-CN"/>
                    </w:rPr>
                    <w:t>暂存于一般固废间，</w:t>
                  </w:r>
                  <w:r>
                    <w:rPr>
                      <w:rFonts w:hint="default" w:ascii="Times New Roman" w:hAnsi="Times New Roman" w:eastAsia="宋体" w:cs="Times New Roman"/>
                      <w:color w:val="auto"/>
                      <w:sz w:val="21"/>
                      <w:szCs w:val="21"/>
                      <w:lang w:val="en-US" w:eastAsia="zh-CN"/>
                    </w:rPr>
                    <w:t>外售</w:t>
                  </w:r>
                  <w:r>
                    <w:rPr>
                      <w:rFonts w:hint="eastAsia" w:ascii="Times New Roman" w:hAnsi="Times New Roman" w:eastAsia="宋体" w:cs="Times New Roman"/>
                      <w:color w:val="auto"/>
                      <w:sz w:val="21"/>
                      <w:szCs w:val="21"/>
                      <w:lang w:val="en-US" w:eastAsia="zh-CN"/>
                    </w:rPr>
                    <w:t>废品收购站</w:t>
                  </w:r>
                </w:p>
              </w:tc>
            </w:tr>
            <w:tr w14:paraId="15F31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01253B90">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生物质锅炉</w:t>
                  </w:r>
                </w:p>
              </w:tc>
              <w:tc>
                <w:tcPr>
                  <w:tcW w:w="1543" w:type="dxa"/>
                  <w:noWrap w:val="0"/>
                  <w:tcMar>
                    <w:top w:w="15" w:type="dxa"/>
                    <w:left w:w="15" w:type="dxa"/>
                    <w:right w:w="15" w:type="dxa"/>
                  </w:tcMar>
                  <w:vAlign w:val="center"/>
                </w:tcPr>
                <w:p w14:paraId="40CD6A96">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生物质燃烧灰渣</w:t>
                  </w:r>
                </w:p>
              </w:tc>
              <w:tc>
                <w:tcPr>
                  <w:tcW w:w="935" w:type="dxa"/>
                  <w:vMerge w:val="continue"/>
                  <w:noWrap w:val="0"/>
                  <w:tcMar>
                    <w:top w:w="15" w:type="dxa"/>
                    <w:left w:w="15" w:type="dxa"/>
                    <w:right w:w="15" w:type="dxa"/>
                  </w:tcMar>
                  <w:vAlign w:val="center"/>
                </w:tcPr>
                <w:p w14:paraId="56E338D5">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14:paraId="1DE7770B">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60.06</w:t>
                  </w:r>
                </w:p>
              </w:tc>
              <w:tc>
                <w:tcPr>
                  <w:tcW w:w="3105" w:type="dxa"/>
                  <w:vMerge w:val="restart"/>
                  <w:noWrap w:val="0"/>
                  <w:tcMar>
                    <w:top w:w="15" w:type="dxa"/>
                    <w:left w:w="15" w:type="dxa"/>
                    <w:right w:w="15" w:type="dxa"/>
                  </w:tcMar>
                  <w:vAlign w:val="center"/>
                </w:tcPr>
                <w:p w14:paraId="691DBB57">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经编织袋统一收集后暂存于一般固废间，作为肥料给附近村民农田施用</w:t>
                  </w:r>
                </w:p>
              </w:tc>
            </w:tr>
            <w:tr w14:paraId="4AE5B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70C581AC">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锅炉</w:t>
                  </w:r>
                  <w:r>
                    <w:rPr>
                      <w:rFonts w:hint="default" w:ascii="Times New Roman" w:hAnsi="Times New Roman" w:eastAsia="宋体" w:cs="Times New Roman"/>
                      <w:color w:val="auto"/>
                      <w:sz w:val="21"/>
                      <w:szCs w:val="21"/>
                      <w:lang w:val="en-US" w:eastAsia="zh-CN"/>
                    </w:rPr>
                    <w:t>废气治理设施</w:t>
                  </w:r>
                </w:p>
              </w:tc>
              <w:tc>
                <w:tcPr>
                  <w:tcW w:w="1543" w:type="dxa"/>
                  <w:noWrap w:val="0"/>
                  <w:tcMar>
                    <w:top w:w="15" w:type="dxa"/>
                    <w:left w:w="15" w:type="dxa"/>
                    <w:right w:w="15" w:type="dxa"/>
                  </w:tcMar>
                  <w:vAlign w:val="center"/>
                </w:tcPr>
                <w:p w14:paraId="119F1DBD">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布袋除尘器收尘灰</w:t>
                  </w:r>
                </w:p>
              </w:tc>
              <w:tc>
                <w:tcPr>
                  <w:tcW w:w="935" w:type="dxa"/>
                  <w:vMerge w:val="continue"/>
                  <w:noWrap w:val="0"/>
                  <w:tcMar>
                    <w:top w:w="15" w:type="dxa"/>
                    <w:left w:w="15" w:type="dxa"/>
                    <w:right w:w="15" w:type="dxa"/>
                  </w:tcMar>
                  <w:vAlign w:val="center"/>
                </w:tcPr>
                <w:p w14:paraId="3B0ABB54">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14:paraId="21DE1E1F">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0.55</w:t>
                  </w:r>
                </w:p>
              </w:tc>
              <w:tc>
                <w:tcPr>
                  <w:tcW w:w="3105" w:type="dxa"/>
                  <w:vMerge w:val="continue"/>
                  <w:noWrap w:val="0"/>
                  <w:tcMar>
                    <w:top w:w="15" w:type="dxa"/>
                    <w:left w:w="15" w:type="dxa"/>
                    <w:right w:w="15" w:type="dxa"/>
                  </w:tcMar>
                  <w:vAlign w:val="center"/>
                </w:tcPr>
                <w:p w14:paraId="67B00644">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p>
              </w:tc>
            </w:tr>
            <w:tr w14:paraId="54DE3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14:paraId="18CB4D45">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软水制备</w:t>
                  </w:r>
                </w:p>
              </w:tc>
              <w:tc>
                <w:tcPr>
                  <w:tcW w:w="1543" w:type="dxa"/>
                  <w:noWrap w:val="0"/>
                  <w:tcMar>
                    <w:top w:w="15" w:type="dxa"/>
                    <w:left w:w="15" w:type="dxa"/>
                    <w:right w:w="15" w:type="dxa"/>
                  </w:tcMar>
                  <w:vAlign w:val="center"/>
                </w:tcPr>
                <w:p w14:paraId="6C118534">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废离子交换树脂</w:t>
                  </w:r>
                </w:p>
              </w:tc>
              <w:tc>
                <w:tcPr>
                  <w:tcW w:w="935" w:type="dxa"/>
                  <w:vMerge w:val="continue"/>
                  <w:noWrap w:val="0"/>
                  <w:tcMar>
                    <w:top w:w="15" w:type="dxa"/>
                    <w:left w:w="15" w:type="dxa"/>
                    <w:right w:w="15" w:type="dxa"/>
                  </w:tcMar>
                  <w:vAlign w:val="center"/>
                </w:tcPr>
                <w:p w14:paraId="5599674C">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p>
              </w:tc>
              <w:tc>
                <w:tcPr>
                  <w:tcW w:w="1275" w:type="dxa"/>
                  <w:noWrap w:val="0"/>
                  <w:tcMar>
                    <w:top w:w="15" w:type="dxa"/>
                    <w:left w:w="15" w:type="dxa"/>
                    <w:right w:w="15" w:type="dxa"/>
                  </w:tcMar>
                  <w:vAlign w:val="center"/>
                </w:tcPr>
                <w:p w14:paraId="115D91CF">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3105" w:type="dxa"/>
                  <w:noWrap w:val="0"/>
                  <w:tcMar>
                    <w:top w:w="15" w:type="dxa"/>
                    <w:left w:w="15" w:type="dxa"/>
                    <w:right w:w="15" w:type="dxa"/>
                  </w:tcMar>
                  <w:vAlign w:val="center"/>
                </w:tcPr>
                <w:p w14:paraId="777961CA">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由厂家更换后直接带走</w:t>
                  </w:r>
                </w:p>
              </w:tc>
            </w:tr>
            <w:tr w14:paraId="002F4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321" w:type="dxa"/>
                  <w:noWrap w:val="0"/>
                  <w:tcMar>
                    <w:top w:w="15" w:type="dxa"/>
                    <w:left w:w="15" w:type="dxa"/>
                    <w:right w:w="15" w:type="dxa"/>
                  </w:tcMar>
                  <w:vAlign w:val="center"/>
                </w:tcPr>
                <w:p w14:paraId="59069CF6">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污水处理设施</w:t>
                  </w:r>
                </w:p>
              </w:tc>
              <w:tc>
                <w:tcPr>
                  <w:tcW w:w="1543" w:type="dxa"/>
                  <w:noWrap w:val="0"/>
                  <w:tcMar>
                    <w:top w:w="15" w:type="dxa"/>
                    <w:left w:w="15" w:type="dxa"/>
                    <w:right w:w="15" w:type="dxa"/>
                  </w:tcMar>
                  <w:vAlign w:val="center"/>
                </w:tcPr>
                <w:p w14:paraId="4474300A">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污水处理设施污泥</w:t>
                  </w:r>
                </w:p>
              </w:tc>
              <w:tc>
                <w:tcPr>
                  <w:tcW w:w="935" w:type="dxa"/>
                  <w:vMerge w:val="continue"/>
                  <w:noWrap w:val="0"/>
                  <w:tcMar>
                    <w:top w:w="15" w:type="dxa"/>
                    <w:left w:w="15" w:type="dxa"/>
                    <w:right w:w="15" w:type="dxa"/>
                  </w:tcMar>
                  <w:vAlign w:val="center"/>
                </w:tcPr>
                <w:p w14:paraId="21B16AC8">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14:paraId="5D74F091">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8.25</w:t>
                  </w:r>
                </w:p>
              </w:tc>
              <w:tc>
                <w:tcPr>
                  <w:tcW w:w="3105" w:type="dxa"/>
                  <w:noWrap w:val="0"/>
                  <w:tcMar>
                    <w:top w:w="15" w:type="dxa"/>
                    <w:left w:w="15" w:type="dxa"/>
                    <w:right w:w="15" w:type="dxa"/>
                  </w:tcMar>
                  <w:vAlign w:val="center"/>
                </w:tcPr>
                <w:p w14:paraId="2C94E275">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定期运至当地环卫部门指定地点，委托当地环卫部门清运处置。</w:t>
                  </w:r>
                </w:p>
              </w:tc>
            </w:tr>
            <w:tr w14:paraId="0DE97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321" w:type="dxa"/>
                  <w:noWrap w:val="0"/>
                  <w:tcMar>
                    <w:top w:w="15" w:type="dxa"/>
                    <w:left w:w="15" w:type="dxa"/>
                    <w:right w:w="15" w:type="dxa"/>
                  </w:tcMar>
                  <w:vAlign w:val="center"/>
                </w:tcPr>
                <w:p w14:paraId="217D6A57">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设备维修</w:t>
                  </w:r>
                  <w:r>
                    <w:rPr>
                      <w:rFonts w:hint="eastAsia" w:ascii="Times New Roman" w:hAnsi="Times New Roman" w:eastAsia="宋体" w:cs="Times New Roman"/>
                      <w:color w:val="auto"/>
                      <w:sz w:val="21"/>
                      <w:szCs w:val="21"/>
                      <w:lang w:val="en-US" w:eastAsia="zh-CN"/>
                    </w:rPr>
                    <w:t>保养</w:t>
                  </w:r>
                </w:p>
              </w:tc>
              <w:tc>
                <w:tcPr>
                  <w:tcW w:w="1543" w:type="dxa"/>
                  <w:noWrap w:val="0"/>
                  <w:tcMar>
                    <w:top w:w="15" w:type="dxa"/>
                    <w:left w:w="15" w:type="dxa"/>
                    <w:right w:w="15" w:type="dxa"/>
                  </w:tcMar>
                  <w:vAlign w:val="center"/>
                </w:tcPr>
                <w:p w14:paraId="7A7948AD">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废机油（900-214-08）</w:t>
                  </w:r>
                </w:p>
              </w:tc>
              <w:tc>
                <w:tcPr>
                  <w:tcW w:w="935" w:type="dxa"/>
                  <w:noWrap w:val="0"/>
                  <w:tcMar>
                    <w:top w:w="15" w:type="dxa"/>
                    <w:left w:w="15" w:type="dxa"/>
                    <w:right w:w="15" w:type="dxa"/>
                  </w:tcMar>
                  <w:vAlign w:val="center"/>
                </w:tcPr>
                <w:p w14:paraId="0DB5522C">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p>
                <w:p w14:paraId="59E748D5">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废物</w:t>
                  </w:r>
                </w:p>
              </w:tc>
              <w:tc>
                <w:tcPr>
                  <w:tcW w:w="1275" w:type="dxa"/>
                  <w:noWrap w:val="0"/>
                  <w:tcMar>
                    <w:top w:w="15" w:type="dxa"/>
                    <w:left w:w="15" w:type="dxa"/>
                    <w:right w:w="15" w:type="dxa"/>
                  </w:tcMar>
                  <w:vAlign w:val="center"/>
                </w:tcPr>
                <w:p w14:paraId="3FFF1448">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c>
                <w:tcPr>
                  <w:tcW w:w="3105" w:type="dxa"/>
                  <w:noWrap w:val="0"/>
                  <w:tcMar>
                    <w:top w:w="15" w:type="dxa"/>
                    <w:left w:w="15" w:type="dxa"/>
                    <w:right w:w="15" w:type="dxa"/>
                  </w:tcMar>
                  <w:vAlign w:val="center"/>
                </w:tcPr>
                <w:p w14:paraId="6023647D">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收集后暂存于危废暂存间后交由有资质的单位清运处置</w:t>
                  </w:r>
                </w:p>
              </w:tc>
            </w:tr>
            <w:tr w14:paraId="523BC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1321" w:type="dxa"/>
                  <w:noWrap w:val="0"/>
                  <w:tcMar>
                    <w:top w:w="15" w:type="dxa"/>
                    <w:left w:w="15" w:type="dxa"/>
                    <w:right w:w="15" w:type="dxa"/>
                  </w:tcMar>
                  <w:vAlign w:val="center"/>
                </w:tcPr>
                <w:p w14:paraId="52CE6A81">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员工办公生活</w:t>
                  </w:r>
                </w:p>
              </w:tc>
              <w:tc>
                <w:tcPr>
                  <w:tcW w:w="1543" w:type="dxa"/>
                  <w:noWrap w:val="0"/>
                  <w:tcMar>
                    <w:top w:w="15" w:type="dxa"/>
                    <w:left w:w="15" w:type="dxa"/>
                    <w:right w:w="15" w:type="dxa"/>
                  </w:tcMar>
                  <w:vAlign w:val="center"/>
                </w:tcPr>
                <w:p w14:paraId="3DFB6989">
                  <w:pPr>
                    <w:pStyle w:val="63"/>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935" w:type="dxa"/>
                  <w:noWrap/>
                  <w:tcMar>
                    <w:top w:w="15" w:type="dxa"/>
                    <w:left w:w="15" w:type="dxa"/>
                    <w:right w:w="15" w:type="dxa"/>
                  </w:tcMar>
                  <w:vAlign w:val="center"/>
                </w:tcPr>
                <w:p w14:paraId="54A04691">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75" w:type="dxa"/>
                  <w:noWrap w:val="0"/>
                  <w:tcMar>
                    <w:top w:w="15" w:type="dxa"/>
                    <w:left w:w="15" w:type="dxa"/>
                    <w:right w:w="15" w:type="dxa"/>
                  </w:tcMar>
                  <w:vAlign w:val="center"/>
                </w:tcPr>
                <w:p w14:paraId="7CF5D2F1">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3105" w:type="dxa"/>
                  <w:noWrap w:val="0"/>
                  <w:tcMar>
                    <w:top w:w="15" w:type="dxa"/>
                    <w:left w:w="15" w:type="dxa"/>
                    <w:right w:w="15" w:type="dxa"/>
                  </w:tcMar>
                  <w:vAlign w:val="center"/>
                </w:tcPr>
                <w:p w14:paraId="05B97782">
                  <w:pPr>
                    <w:pStyle w:val="63"/>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经垃圾桶统一收集后，</w:t>
                  </w:r>
                  <w:r>
                    <w:rPr>
                      <w:rFonts w:hint="default" w:ascii="Times New Roman" w:hAnsi="Times New Roman" w:eastAsia="宋体" w:cs="Times New Roman"/>
                      <w:color w:val="auto"/>
                      <w:sz w:val="21"/>
                      <w:szCs w:val="21"/>
                      <w:lang w:val="en-US" w:eastAsia="zh-CN"/>
                    </w:rPr>
                    <w:t>清运至最近的生活垃圾收集点</w:t>
                  </w:r>
                  <w:r>
                    <w:rPr>
                      <w:rFonts w:hint="eastAsia"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lang w:val="en-US" w:eastAsia="zh-CN"/>
                    </w:rPr>
                    <w:t>环卫部门清运处置</w:t>
                  </w:r>
                </w:p>
              </w:tc>
            </w:tr>
          </w:tbl>
          <w:p w14:paraId="671C4BA5">
            <w:pPr>
              <w:rPr>
                <w:rFonts w:ascii="Times New Roman" w:hAnsi="Times New Roman"/>
                <w:color w:val="auto"/>
              </w:rPr>
            </w:pPr>
          </w:p>
          <w:p w14:paraId="0CB8F39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、影响分析</w:t>
            </w:r>
          </w:p>
          <w:p w14:paraId="79C4AB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项目运营期设置危险废物暂存间</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和一般固废暂存间（10m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危废</w:t>
            </w:r>
            <w:r>
              <w:rPr>
                <w:rFonts w:hint="default" w:ascii="Times New Roman" w:hAnsi="Times New Roman" w:cs="Times New Roman"/>
                <w:color w:val="auto"/>
                <w:sz w:val="24"/>
                <w:szCs w:val="24"/>
              </w:rPr>
              <w:t>暂存间场地进行硬化</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防渗等</w:t>
            </w:r>
            <w:r>
              <w:rPr>
                <w:rFonts w:hint="default" w:ascii="Times New Roman" w:hAnsi="Times New Roman" w:cs="Times New Roman"/>
                <w:color w:val="auto"/>
                <w:sz w:val="24"/>
                <w:szCs w:val="24"/>
              </w:rPr>
              <w:t>，地面底部、裙面采用“抗渗混凝土+防渗膜或防渗环氧树脂漆”防渗</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将危险废物分类装入专用容器内，并张贴危险废物标志和悬挂警示牌，妥善贮存后委托有资质单位定期清运处置，满足《危险废物贮存污染控制标准》（GB18597-2023）要求储存和管理，对危险废物的转移处理须严格按照生态环境部第5号令《危险废物转移联单管理办法》执行。</w:t>
            </w:r>
          </w:p>
          <w:p w14:paraId="3736C9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104"/>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w:t>
            </w:r>
            <w:r>
              <w:rPr>
                <w:rFonts w:hint="default" w:ascii="Times New Roman" w:hAnsi="Times New Roman" w:eastAsia="宋体" w:cs="Times New Roman"/>
                <w:color w:val="auto"/>
                <w:sz w:val="24"/>
                <w:szCs w:val="24"/>
              </w:rPr>
              <w:t>明确，处置率达到100%，对环境的影响较小。</w:t>
            </w:r>
          </w:p>
          <w:p w14:paraId="78C0392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五、土壤、地下水</w:t>
            </w:r>
            <w:r>
              <w:rPr>
                <w:rFonts w:hint="default" w:ascii="Times New Roman" w:hAnsi="Times New Roman" w:eastAsia="宋体" w:cs="Times New Roman"/>
                <w:b/>
                <w:bCs/>
                <w:color w:val="auto"/>
                <w:sz w:val="24"/>
                <w:szCs w:val="24"/>
              </w:rPr>
              <w:t>环境影响</w:t>
            </w:r>
            <w:r>
              <w:rPr>
                <w:rFonts w:hint="eastAsia" w:ascii="Times New Roman" w:hAnsi="Times New Roman" w:eastAsia="宋体" w:cs="Times New Roman"/>
                <w:b/>
                <w:bCs/>
                <w:color w:val="auto"/>
                <w:sz w:val="24"/>
                <w:szCs w:val="24"/>
                <w:lang w:val="en-US" w:eastAsia="zh-CN"/>
              </w:rPr>
              <w:t>分析</w:t>
            </w:r>
          </w:p>
          <w:p w14:paraId="6C2C0F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Times New Roman"/>
                <w:color w:val="auto"/>
                <w:sz w:val="24"/>
                <w:szCs w:val="24"/>
              </w:rPr>
              <w:t>根据《环境影响评价技术导则</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地下水环境》（HJ610-201</w:t>
            </w:r>
            <w:r>
              <w:rPr>
                <w:rFonts w:hint="eastAsia" w:ascii="Times New Roman" w:hAnsi="Times New Roman" w:eastAsia="宋体" w:cs="宋体"/>
                <w:color w:val="auto"/>
                <w:spacing w:val="1"/>
                <w:sz w:val="24"/>
                <w:szCs w:val="24"/>
              </w:rPr>
              <w:t>6）中附录A地</w:t>
            </w:r>
            <w:r>
              <w:rPr>
                <w:rFonts w:hint="eastAsia" w:ascii="Times New Roman" w:hAnsi="Times New Roman" w:eastAsia="宋体" w:cs="宋体"/>
                <w:color w:val="auto"/>
                <w:spacing w:val="-1"/>
                <w:sz w:val="24"/>
                <w:szCs w:val="24"/>
              </w:rPr>
              <w:t>下水环境影响评价行业分类表，本项目地下</w:t>
            </w:r>
            <w:r>
              <w:rPr>
                <w:rFonts w:hint="eastAsia" w:ascii="Times New Roman" w:hAnsi="Times New Roman" w:eastAsia="宋体" w:cs="宋体"/>
                <w:color w:val="auto"/>
                <w:spacing w:val="-2"/>
                <w:sz w:val="24"/>
                <w:szCs w:val="24"/>
              </w:rPr>
              <w:t>水环境影响评价项目类别为Ⅳ类，</w:t>
            </w:r>
            <w:r>
              <w:rPr>
                <w:rFonts w:hint="eastAsia" w:ascii="Times New Roman" w:hAnsi="Times New Roman" w:eastAsia="宋体" w:cs="宋体"/>
                <w:color w:val="auto"/>
                <w:spacing w:val="-1"/>
                <w:sz w:val="24"/>
                <w:szCs w:val="24"/>
              </w:rPr>
              <w:t>不需进行地下水环境分析评价。故本项目不开展地下水环境影响评价。</w:t>
            </w:r>
          </w:p>
          <w:p w14:paraId="1AA7436E">
            <w:pPr>
              <w:pStyle w:val="98"/>
              <w:spacing w:before="36" w:line="352" w:lineRule="auto"/>
              <w:ind w:left="117" w:firstLine="479"/>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根据《环境影响评价技术导则土壤环境》（</w:t>
            </w:r>
            <w:r>
              <w:rPr>
                <w:rFonts w:hint="eastAsia" w:ascii="Times New Roman" w:hAnsi="Times New Roman" w:eastAsia="宋体" w:cs="宋体"/>
                <w:color w:val="auto"/>
                <w:sz w:val="24"/>
                <w:szCs w:val="24"/>
              </w:rPr>
              <w:t>HJ</w:t>
            </w:r>
            <w:r>
              <w:rPr>
                <w:rFonts w:hint="eastAsia" w:ascii="Times New Roman" w:hAnsi="Times New Roman" w:eastAsia="宋体" w:cs="宋体"/>
                <w:color w:val="auto"/>
                <w:spacing w:val="1"/>
                <w:sz w:val="24"/>
                <w:szCs w:val="24"/>
              </w:rPr>
              <w:t>964-2018）中附录A土壤</w:t>
            </w:r>
            <w:r>
              <w:rPr>
                <w:rFonts w:hint="eastAsia" w:ascii="Times New Roman" w:hAnsi="Times New Roman" w:eastAsia="宋体" w:cs="宋体"/>
                <w:color w:val="auto"/>
                <w:spacing w:val="-1"/>
                <w:sz w:val="24"/>
                <w:szCs w:val="24"/>
              </w:rPr>
              <w:t>环境影响评价项目类别，本项目土壤环境影响评价项</w:t>
            </w:r>
            <w:r>
              <w:rPr>
                <w:rFonts w:hint="eastAsia" w:ascii="Times New Roman" w:hAnsi="Times New Roman" w:eastAsia="宋体" w:cs="宋体"/>
                <w:color w:val="auto"/>
                <w:spacing w:val="-2"/>
                <w:sz w:val="24"/>
                <w:szCs w:val="24"/>
              </w:rPr>
              <w:t>目类别为Ⅳ类（电力热力燃气及水生产和供应业-其他</w:t>
            </w:r>
            <w:r>
              <w:rPr>
                <w:rFonts w:hint="eastAsia" w:ascii="Times New Roman" w:hAnsi="Times New Roman" w:eastAsia="宋体" w:cs="宋体"/>
                <w:color w:val="auto"/>
                <w:spacing w:val="-24"/>
                <w:sz w:val="24"/>
                <w:szCs w:val="24"/>
              </w:rPr>
              <w:t>），</w:t>
            </w:r>
            <w:r>
              <w:rPr>
                <w:rFonts w:hint="eastAsia" w:ascii="Times New Roman" w:hAnsi="Times New Roman" w:eastAsia="宋体" w:cs="宋体"/>
                <w:color w:val="auto"/>
                <w:spacing w:val="-2"/>
                <w:sz w:val="24"/>
                <w:szCs w:val="24"/>
              </w:rPr>
              <w:t>可不开展土壤环境影响评价，故本项目不开展土壤环境影响评价。</w:t>
            </w:r>
          </w:p>
          <w:p w14:paraId="1487488F">
            <w:pPr>
              <w:pStyle w:val="98"/>
              <w:spacing w:before="36" w:line="219" w:lineRule="auto"/>
              <w:ind w:left="601"/>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项目区采取分区防渗，具体如下：</w:t>
            </w:r>
          </w:p>
          <w:p w14:paraId="3F78D909">
            <w:pPr>
              <w:pStyle w:val="98"/>
              <w:spacing w:before="180" w:line="350" w:lineRule="auto"/>
              <w:ind w:left="129" w:firstLine="469"/>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重点防渗区：危废暂存间地面进行重点防渗，防渗层为至少1m厚黏土层</w:t>
            </w:r>
            <w:r>
              <w:rPr>
                <w:rFonts w:hint="eastAsia" w:ascii="Times New Roman" w:hAnsi="Times New Roman" w:eastAsia="宋体" w:cs="宋体"/>
                <w:color w:val="auto"/>
                <w:spacing w:val="-2"/>
                <w:sz w:val="24"/>
                <w:szCs w:val="24"/>
              </w:rPr>
              <w:t>（渗透系数不大于10</w:t>
            </w:r>
            <w:r>
              <w:rPr>
                <w:rFonts w:hint="eastAsia" w:ascii="Times New Roman" w:hAnsi="Times New Roman" w:eastAsia="宋体" w:cs="宋体"/>
                <w:color w:val="auto"/>
                <w:spacing w:val="-2"/>
                <w:position w:val="8"/>
                <w:sz w:val="24"/>
                <w:szCs w:val="24"/>
              </w:rPr>
              <w:t>-7</w:t>
            </w:r>
            <w:r>
              <w:rPr>
                <w:rFonts w:hint="eastAsia" w:ascii="Times New Roman" w:hAnsi="Times New Roman" w:eastAsia="宋体" w:cs="宋体"/>
                <w:color w:val="auto"/>
                <w:spacing w:val="-2"/>
                <w:sz w:val="24"/>
                <w:szCs w:val="24"/>
              </w:rPr>
              <w:t>cm/s</w:t>
            </w:r>
            <w:r>
              <w:rPr>
                <w:rFonts w:hint="eastAsia" w:ascii="Times New Roman" w:hAnsi="Times New Roman" w:eastAsia="宋体" w:cs="宋体"/>
                <w:color w:val="auto"/>
                <w:spacing w:val="-33"/>
                <w:sz w:val="24"/>
                <w:szCs w:val="24"/>
              </w:rPr>
              <w:t>），</w:t>
            </w:r>
            <w:r>
              <w:rPr>
                <w:rFonts w:hint="eastAsia" w:ascii="Times New Roman" w:hAnsi="Times New Roman" w:eastAsia="宋体" w:cs="宋体"/>
                <w:color w:val="auto"/>
                <w:spacing w:val="-2"/>
                <w:sz w:val="24"/>
                <w:szCs w:val="24"/>
              </w:rPr>
              <w:t>或至少2mm厚高密度聚乙烯膜等</w:t>
            </w:r>
            <w:r>
              <w:rPr>
                <w:rFonts w:hint="eastAsia" w:ascii="Times New Roman" w:hAnsi="Times New Roman" w:eastAsia="宋体" w:cs="宋体"/>
                <w:color w:val="auto"/>
                <w:spacing w:val="-3"/>
                <w:sz w:val="24"/>
                <w:szCs w:val="24"/>
              </w:rPr>
              <w:t>人工防渗材料</w:t>
            </w:r>
            <w:r>
              <w:rPr>
                <w:rFonts w:hint="eastAsia" w:ascii="Times New Roman" w:hAnsi="Times New Roman" w:eastAsia="宋体" w:cs="宋体"/>
                <w:color w:val="auto"/>
                <w:spacing w:val="-2"/>
                <w:sz w:val="24"/>
                <w:szCs w:val="24"/>
              </w:rPr>
              <w:t>（渗透系数不大于10</w:t>
            </w:r>
            <w:r>
              <w:rPr>
                <w:rFonts w:hint="eastAsia" w:ascii="Times New Roman" w:hAnsi="Times New Roman" w:eastAsia="宋体" w:cs="宋体"/>
                <w:color w:val="auto"/>
                <w:spacing w:val="-2"/>
                <w:position w:val="7"/>
                <w:sz w:val="24"/>
                <w:szCs w:val="24"/>
              </w:rPr>
              <w:t>-10</w:t>
            </w:r>
            <w:r>
              <w:rPr>
                <w:rFonts w:hint="eastAsia" w:ascii="Times New Roman" w:hAnsi="Times New Roman" w:eastAsia="宋体" w:cs="宋体"/>
                <w:color w:val="auto"/>
                <w:spacing w:val="-2"/>
                <w:sz w:val="24"/>
                <w:szCs w:val="24"/>
              </w:rPr>
              <w:t>cm/s</w:t>
            </w:r>
            <w:r>
              <w:rPr>
                <w:rFonts w:hint="eastAsia" w:ascii="Times New Roman" w:hAnsi="Times New Roman" w:eastAsia="宋体" w:cs="宋体"/>
                <w:color w:val="auto"/>
                <w:spacing w:val="7"/>
                <w:sz w:val="24"/>
                <w:szCs w:val="24"/>
              </w:rPr>
              <w:t>），</w:t>
            </w:r>
            <w:r>
              <w:rPr>
                <w:rFonts w:hint="eastAsia" w:ascii="Times New Roman" w:hAnsi="Times New Roman" w:eastAsia="宋体" w:cs="宋体"/>
                <w:color w:val="auto"/>
                <w:spacing w:val="-2"/>
                <w:sz w:val="24"/>
                <w:szCs w:val="24"/>
              </w:rPr>
              <w:t>或其他防渗性能等效的材料。</w:t>
            </w:r>
          </w:p>
          <w:p w14:paraId="244528D2">
            <w:pPr>
              <w:pStyle w:val="98"/>
              <w:spacing w:before="34" w:line="346" w:lineRule="auto"/>
              <w:ind w:left="116" w:firstLine="484"/>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一般防渗区：污水处理设备等进行一</w:t>
            </w:r>
            <w:r>
              <w:rPr>
                <w:rFonts w:hint="eastAsia" w:ascii="Times New Roman" w:hAnsi="Times New Roman" w:eastAsia="宋体" w:cs="宋体"/>
                <w:color w:val="auto"/>
                <w:spacing w:val="-2"/>
                <w:sz w:val="24"/>
                <w:szCs w:val="24"/>
              </w:rPr>
              <w:t>般防渗，渗</w:t>
            </w:r>
            <w:r>
              <w:rPr>
                <w:rFonts w:hint="eastAsia" w:ascii="Times New Roman" w:hAnsi="Times New Roman" w:eastAsia="宋体" w:cs="宋体"/>
                <w:color w:val="auto"/>
                <w:spacing w:val="-1"/>
                <w:sz w:val="24"/>
                <w:szCs w:val="24"/>
              </w:rPr>
              <w:t>透系数为≤10</w:t>
            </w:r>
            <w:r>
              <w:rPr>
                <w:rFonts w:hint="eastAsia" w:ascii="Times New Roman" w:hAnsi="Times New Roman" w:eastAsia="宋体" w:cs="宋体"/>
                <w:color w:val="auto"/>
                <w:spacing w:val="-1"/>
                <w:position w:val="8"/>
                <w:sz w:val="24"/>
                <w:szCs w:val="24"/>
              </w:rPr>
              <w:t>-7</w:t>
            </w:r>
            <w:r>
              <w:rPr>
                <w:rFonts w:hint="eastAsia" w:ascii="Times New Roman" w:hAnsi="Times New Roman" w:eastAsia="宋体" w:cs="宋体"/>
                <w:color w:val="auto"/>
                <w:spacing w:val="-1"/>
                <w:sz w:val="24"/>
                <w:szCs w:val="24"/>
              </w:rPr>
              <w:t>cm/s，采用高强度混凝土硬化，可满足一般防渗要</w:t>
            </w:r>
            <w:r>
              <w:rPr>
                <w:rFonts w:hint="eastAsia" w:ascii="Times New Roman" w:hAnsi="Times New Roman" w:eastAsia="宋体" w:cs="宋体"/>
                <w:color w:val="auto"/>
                <w:spacing w:val="-2"/>
                <w:sz w:val="24"/>
                <w:szCs w:val="24"/>
              </w:rPr>
              <w:t>求。</w:t>
            </w:r>
          </w:p>
          <w:p w14:paraId="4573D5E4">
            <w:pPr>
              <w:pStyle w:val="98"/>
              <w:spacing w:before="35" w:line="219" w:lineRule="auto"/>
              <w:ind w:left="602"/>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简单防渗区：生产区、办公室等进行简单防渗，地面进行硬化。</w:t>
            </w:r>
          </w:p>
          <w:p w14:paraId="4A5A6D23">
            <w:pPr>
              <w:pStyle w:val="98"/>
              <w:spacing w:before="181" w:line="348" w:lineRule="auto"/>
              <w:ind w:left="130" w:firstLine="470"/>
              <w:rPr>
                <w:rFonts w:hint="eastAsia" w:ascii="Times New Roman" w:hAnsi="Times New Roman" w:eastAsia="宋体" w:cs="宋体"/>
                <w:color w:val="auto"/>
                <w:sz w:val="24"/>
                <w:szCs w:val="24"/>
              </w:rPr>
            </w:pPr>
            <w:r>
              <w:rPr>
                <w:rFonts w:hint="eastAsia" w:ascii="Times New Roman" w:hAnsi="Times New Roman" w:eastAsia="宋体" w:cs="宋体"/>
                <w:color w:val="auto"/>
                <w:spacing w:val="-1"/>
                <w:sz w:val="24"/>
                <w:szCs w:val="24"/>
              </w:rPr>
              <w:t>综上所述，通过采取以上的环保措施，项目运营期对地下水、土</w:t>
            </w:r>
            <w:r>
              <w:rPr>
                <w:rFonts w:hint="eastAsia" w:ascii="Times New Roman" w:hAnsi="Times New Roman" w:eastAsia="宋体" w:cs="宋体"/>
                <w:color w:val="auto"/>
                <w:spacing w:val="-2"/>
                <w:sz w:val="24"/>
                <w:szCs w:val="24"/>
              </w:rPr>
              <w:t>壤环境影</w:t>
            </w:r>
            <w:r>
              <w:rPr>
                <w:rFonts w:hint="eastAsia" w:ascii="Times New Roman" w:hAnsi="Times New Roman" w:eastAsia="宋体" w:cs="宋体"/>
                <w:color w:val="auto"/>
                <w:spacing w:val="-6"/>
                <w:sz w:val="24"/>
                <w:szCs w:val="24"/>
              </w:rPr>
              <w:t>响较小。</w:t>
            </w:r>
          </w:p>
          <w:p w14:paraId="02091FCF">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六、环境风险影响分析</w:t>
            </w:r>
          </w:p>
          <w:p w14:paraId="71A0985B">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14:paraId="56309C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14:paraId="6A2A93F9">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14:paraId="5AFC31CA">
            <w:pPr>
              <w:pStyle w:val="75"/>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14:paraId="5226C3DF">
            <w:pPr>
              <w:pStyle w:val="75"/>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eastAsia" w:ascii="Times New Roman" w:hAnsi="Times New Roman" w:cs="Times New Roman"/>
                <w:color w:val="auto"/>
                <w:sz w:val="24"/>
                <w:highlight w:val="none"/>
                <w:lang w:val="en-US" w:eastAsia="zh-CN"/>
              </w:rPr>
              <w:t>废机油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18</w:t>
            </w:r>
            <w:r>
              <w:rPr>
                <w:rFonts w:hint="default" w:ascii="Times New Roman" w:hAnsi="Times New Roman" w:eastAsia="宋体" w:cs="Times New Roman"/>
                <w:color w:val="auto"/>
                <w:sz w:val="24"/>
                <w:highlight w:val="none"/>
              </w:rPr>
              <w:t>。</w:t>
            </w:r>
          </w:p>
          <w:p w14:paraId="61439C1D">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w:t>
            </w:r>
            <w:r>
              <w:rPr>
                <w:rFonts w:hint="eastAsia" w:ascii="Times New Roman" w:hAnsi="Times New Roman" w:cs="Times New Roman"/>
                <w:b/>
                <w:color w:val="auto"/>
                <w:szCs w:val="21"/>
                <w:highlight w:val="none"/>
                <w:lang w:val="en-US" w:eastAsia="zh-CN"/>
              </w:rPr>
              <w:t>18</w:t>
            </w:r>
            <w:r>
              <w:rPr>
                <w:rFonts w:hint="default" w:ascii="Times New Roman" w:hAnsi="Times New Roman" w:eastAsia="宋体" w:cs="Times New Roman"/>
                <w:b/>
                <w:color w:val="auto"/>
                <w:szCs w:val="21"/>
                <w:highlight w:val="none"/>
              </w:rPr>
              <w:t xml:space="preserve"> </w:t>
            </w:r>
            <w:r>
              <w:rPr>
                <w:rFonts w:hint="eastAsia" w:ascii="Times New Roman" w:hAnsi="Times New Roman" w:cs="Times New Roman"/>
                <w:b/>
                <w:color w:val="auto"/>
                <w:szCs w:val="21"/>
                <w:highlight w:val="none"/>
                <w:lang w:val="en-US" w:eastAsia="zh-CN"/>
              </w:rPr>
              <w:t>废机油</w:t>
            </w:r>
            <w:r>
              <w:rPr>
                <w:rFonts w:hint="default" w:ascii="Times New Roman" w:hAnsi="Times New Roman" w:eastAsia="宋体" w:cs="Times New Roman"/>
                <w:b/>
                <w:color w:val="auto"/>
                <w:szCs w:val="21"/>
                <w:highlight w:val="none"/>
              </w:rPr>
              <w:t>理化性质及危险特性表</w:t>
            </w:r>
          </w:p>
          <w:tbl>
            <w:tblPr>
              <w:tblStyle w:val="28"/>
              <w:tblW w:w="7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5"/>
              <w:gridCol w:w="1215"/>
              <w:gridCol w:w="5816"/>
            </w:tblGrid>
            <w:tr w14:paraId="1570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noWrap w:val="0"/>
                  <w:vAlign w:val="center"/>
                </w:tcPr>
                <w:p w14:paraId="62F34302">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类别</w:t>
                  </w:r>
                </w:p>
              </w:tc>
              <w:tc>
                <w:tcPr>
                  <w:tcW w:w="1215" w:type="dxa"/>
                  <w:noWrap w:val="0"/>
                  <w:vAlign w:val="center"/>
                </w:tcPr>
                <w:p w14:paraId="3C2F418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项目</w:t>
                  </w:r>
                </w:p>
              </w:tc>
              <w:tc>
                <w:tcPr>
                  <w:tcW w:w="5816" w:type="dxa"/>
                  <w:noWrap w:val="0"/>
                  <w:vAlign w:val="center"/>
                </w:tcPr>
                <w:p w14:paraId="244945B7">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废机油</w:t>
                  </w:r>
                </w:p>
              </w:tc>
            </w:tr>
            <w:tr w14:paraId="1D22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14:paraId="3E8B3E9D">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理化性质</w:t>
                  </w:r>
                </w:p>
              </w:tc>
              <w:tc>
                <w:tcPr>
                  <w:tcW w:w="1215" w:type="dxa"/>
                  <w:noWrap w:val="0"/>
                  <w:vAlign w:val="center"/>
                </w:tcPr>
                <w:p w14:paraId="68A617D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外观及性状</w:t>
                  </w:r>
                </w:p>
              </w:tc>
              <w:tc>
                <w:tcPr>
                  <w:tcW w:w="5816" w:type="dxa"/>
                  <w:noWrap w:val="0"/>
                  <w:vAlign w:val="center"/>
                </w:tcPr>
                <w:p w14:paraId="4FD68DE8">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油状液体，淡黄色至褐色，无气味或略带异味。</w:t>
                  </w:r>
                </w:p>
              </w:tc>
            </w:tr>
            <w:tr w14:paraId="44A6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67D469C3">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6221DF46">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密度</w:t>
                  </w:r>
                </w:p>
              </w:tc>
              <w:tc>
                <w:tcPr>
                  <w:tcW w:w="5816" w:type="dxa"/>
                  <w:noWrap w:val="0"/>
                  <w:vAlign w:val="center"/>
                </w:tcPr>
                <w:p w14:paraId="0881BFE2">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0.85g/cm</w:t>
                  </w:r>
                  <w:r>
                    <w:rPr>
                      <w:rFonts w:hint="eastAsia" w:ascii="Times New Roman" w:hAnsi="Times New Roman" w:eastAsia="宋体" w:cs="宋体"/>
                      <w:color w:val="auto"/>
                      <w:sz w:val="21"/>
                      <w:szCs w:val="21"/>
                      <w:vertAlign w:val="superscript"/>
                    </w:rPr>
                    <w:t>3</w:t>
                  </w:r>
                </w:p>
              </w:tc>
            </w:tr>
            <w:tr w14:paraId="0796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5263F44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44BA2D0E">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溶解性</w:t>
                  </w:r>
                </w:p>
              </w:tc>
              <w:tc>
                <w:tcPr>
                  <w:tcW w:w="5816" w:type="dxa"/>
                  <w:noWrap w:val="0"/>
                  <w:vAlign w:val="center"/>
                </w:tcPr>
                <w:p w14:paraId="43E1BD4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不溶于水，溶于多数有机溶剂</w:t>
                  </w:r>
                </w:p>
              </w:tc>
            </w:tr>
            <w:tr w14:paraId="15F7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14:paraId="62E7A06A">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燃烧爆炸危险性</w:t>
                  </w:r>
                </w:p>
              </w:tc>
              <w:tc>
                <w:tcPr>
                  <w:tcW w:w="1215" w:type="dxa"/>
                  <w:noWrap w:val="0"/>
                  <w:vAlign w:val="center"/>
                </w:tcPr>
                <w:p w14:paraId="3BEACE0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燃烧性</w:t>
                  </w:r>
                </w:p>
              </w:tc>
              <w:tc>
                <w:tcPr>
                  <w:tcW w:w="5816" w:type="dxa"/>
                  <w:noWrap w:val="0"/>
                  <w:vAlign w:val="center"/>
                </w:tcPr>
                <w:p w14:paraId="37E790C3">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可燃</w:t>
                  </w:r>
                </w:p>
              </w:tc>
            </w:tr>
            <w:tr w14:paraId="3D39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759DB2EE">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32A28476">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闪点/引燃温度</w:t>
                  </w:r>
                </w:p>
              </w:tc>
              <w:tc>
                <w:tcPr>
                  <w:tcW w:w="5816" w:type="dxa"/>
                  <w:noWrap w:val="0"/>
                  <w:vAlign w:val="center"/>
                </w:tcPr>
                <w:p w14:paraId="41A9C2E1">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75/257℃</w:t>
                  </w:r>
                </w:p>
              </w:tc>
            </w:tr>
            <w:tr w14:paraId="15D8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77BBEC7B">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33A6D42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爆炸极限（vol%）</w:t>
                  </w:r>
                </w:p>
              </w:tc>
              <w:tc>
                <w:tcPr>
                  <w:tcW w:w="5816" w:type="dxa"/>
                  <w:noWrap w:val="0"/>
                  <w:vAlign w:val="center"/>
                </w:tcPr>
                <w:p w14:paraId="4B5F9AF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无资料</w:t>
                  </w:r>
                </w:p>
              </w:tc>
            </w:tr>
            <w:tr w14:paraId="0DB3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665" w:type="dxa"/>
                  <w:vMerge w:val="continue"/>
                  <w:noWrap w:val="0"/>
                  <w:vAlign w:val="center"/>
                </w:tcPr>
                <w:p w14:paraId="0B51191E">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5415E92F">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危险特性</w:t>
                  </w:r>
                </w:p>
              </w:tc>
              <w:tc>
                <w:tcPr>
                  <w:tcW w:w="5816" w:type="dxa"/>
                  <w:noWrap w:val="0"/>
                  <w:vAlign w:val="center"/>
                </w:tcPr>
                <w:p w14:paraId="0626ECC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遇明火、高热或与氧化剂接触，有引起燃烧爆炸的危险；若遇高热，容器内压增大，有开裂和爆炸的危险。</w:t>
                  </w:r>
                </w:p>
              </w:tc>
            </w:tr>
            <w:tr w14:paraId="024B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665" w:type="dxa"/>
                  <w:vMerge w:val="continue"/>
                  <w:noWrap w:val="0"/>
                  <w:vAlign w:val="center"/>
                </w:tcPr>
                <w:p w14:paraId="7E5B79AF">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3882B9D8">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灭火方法</w:t>
                  </w:r>
                </w:p>
              </w:tc>
              <w:tc>
                <w:tcPr>
                  <w:tcW w:w="5816" w:type="dxa"/>
                  <w:noWrap w:val="0"/>
                  <w:vAlign w:val="center"/>
                </w:tcPr>
                <w:p w14:paraId="181F61C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29AE97B6">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灭火剂：雾状水、泡沫、干粉、二氧化碳、砂土。</w:t>
                  </w:r>
                </w:p>
              </w:tc>
            </w:tr>
            <w:tr w14:paraId="152A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14:paraId="52A32611">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36410F1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燃烧产物</w:t>
                  </w:r>
                </w:p>
              </w:tc>
              <w:tc>
                <w:tcPr>
                  <w:tcW w:w="5816" w:type="dxa"/>
                  <w:noWrap w:val="0"/>
                  <w:vAlign w:val="center"/>
                </w:tcPr>
                <w:p w14:paraId="5019C08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一氧化碳、二氧化碳</w:t>
                  </w:r>
                </w:p>
              </w:tc>
            </w:tr>
            <w:tr w14:paraId="0319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14:paraId="6F22B778">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毒理性质</w:t>
                  </w:r>
                </w:p>
              </w:tc>
              <w:tc>
                <w:tcPr>
                  <w:tcW w:w="1215" w:type="dxa"/>
                  <w:noWrap w:val="0"/>
                  <w:vAlign w:val="center"/>
                </w:tcPr>
                <w:p w14:paraId="7E647594">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急性毒性</w:t>
                  </w:r>
                </w:p>
              </w:tc>
              <w:tc>
                <w:tcPr>
                  <w:tcW w:w="5816" w:type="dxa"/>
                  <w:noWrap w:val="0"/>
                  <w:vAlign w:val="center"/>
                </w:tcPr>
                <w:p w14:paraId="5442B263">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LD50（mg/kg，大鼠经口）</w:t>
                  </w:r>
                </w:p>
              </w:tc>
            </w:tr>
            <w:tr w14:paraId="55AB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665" w:type="dxa"/>
                  <w:vMerge w:val="continue"/>
                  <w:noWrap w:val="0"/>
                  <w:vAlign w:val="center"/>
                </w:tcPr>
                <w:p w14:paraId="1ABE29B0">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14:paraId="7C8652BA">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健康危害</w:t>
                  </w:r>
                </w:p>
              </w:tc>
              <w:tc>
                <w:tcPr>
                  <w:tcW w:w="5816" w:type="dxa"/>
                  <w:noWrap w:val="0"/>
                  <w:vAlign w:val="center"/>
                </w:tcPr>
                <w:p w14:paraId="03CF2145">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侵入途径：吸入、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698E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4" w:hRule="atLeast"/>
                <w:jc w:val="center"/>
              </w:trPr>
              <w:tc>
                <w:tcPr>
                  <w:tcW w:w="665" w:type="dxa"/>
                  <w:noWrap w:val="0"/>
                  <w:vAlign w:val="center"/>
                </w:tcPr>
                <w:p w14:paraId="578F9F2C">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泄漏处理</w:t>
                  </w:r>
                </w:p>
              </w:tc>
              <w:tc>
                <w:tcPr>
                  <w:tcW w:w="7031" w:type="dxa"/>
                  <w:gridSpan w:val="2"/>
                  <w:noWrap w:val="0"/>
                  <w:vAlign w:val="center"/>
                </w:tcPr>
                <w:p w14:paraId="035FDEA9">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迅速撤离泄漏污染区人员至安全区，并进行隔离，严格限制出入。切断火源。建议应急处理人员戴自给正压式呼吸器，穿防毒服。尽可能切断泄漏源。防止流入下水道、排洪沟等限制性空间。</w:t>
                  </w:r>
                </w:p>
                <w:p w14:paraId="5F7B519D">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小量泄漏：用砂土或其它不燃材料吸附或吸收。 </w:t>
                  </w:r>
                </w:p>
                <w:p w14:paraId="4E9F8989">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大量泄漏：构筑围堤或挖坑收容。用泵转移至槽车或专用收集器内，回收或运至废物处理场所处置。</w:t>
                  </w:r>
                </w:p>
              </w:tc>
            </w:tr>
            <w:tr w14:paraId="74A3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665" w:type="dxa"/>
                  <w:noWrap w:val="0"/>
                  <w:vAlign w:val="center"/>
                </w:tcPr>
                <w:p w14:paraId="6E6CB6B2">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储存</w:t>
                  </w:r>
                </w:p>
              </w:tc>
              <w:tc>
                <w:tcPr>
                  <w:tcW w:w="7031" w:type="dxa"/>
                  <w:gridSpan w:val="2"/>
                  <w:noWrap w:val="0"/>
                  <w:vAlign w:val="center"/>
                </w:tcPr>
                <w:p w14:paraId="72C594F1">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储存于阴凉、通风仓间内，远离火源、热源。保持容器密封。应与氧化剂、酸碱类、使用化工产品分开存放。搬运时要轻装轻卸，防止包装物及容器损坏。分装和搬运作业要注意个人防护。</w:t>
                  </w:r>
                </w:p>
              </w:tc>
            </w:tr>
          </w:tbl>
          <w:p w14:paraId="2E5E40B2">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14:paraId="4377AB7D">
            <w:pPr>
              <w:pStyle w:val="73"/>
              <w:numPr>
                <w:ilvl w:val="0"/>
                <w:numId w:val="0"/>
              </w:numPr>
              <w:spacing w:line="360" w:lineRule="auto"/>
              <w:ind w:left="480" w:leftChars="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r>
              <w:rPr>
                <w:rFonts w:hint="eastAsia" w:ascii="Times New Roman" w:hAnsi="Times New Roman" w:eastAsia="宋体" w:cs="Times New Roman"/>
                <w:color w:val="auto"/>
                <w:sz w:val="24"/>
                <w:szCs w:val="24"/>
              </w:rPr>
              <w:t>物质危险性识别</w:t>
            </w:r>
          </w:p>
          <w:p w14:paraId="60FAB12D">
            <w:pPr>
              <w:pStyle w:val="73"/>
              <w:numPr>
                <w:ilvl w:val="0"/>
                <w:numId w:val="0"/>
              </w:num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照《建设项目环境分项评价技术导则》（HJ/T169-2018）附录B中危险物质，根据本项目生产过程中的主要物料、中间产品、最终产品等按物质危险性、毒理指标和毒性等级分析，并考虑其燃烧爆炸性，项目主要的危险物质为主要为</w:t>
            </w:r>
            <w:r>
              <w:rPr>
                <w:rFonts w:hint="default" w:ascii="Times New Roman" w:hAnsi="Times New Roman" w:eastAsia="宋体" w:cs="Times New Roman"/>
                <w:color w:val="auto"/>
                <w:sz w:val="24"/>
                <w:szCs w:val="24"/>
                <w:lang w:val="en-US" w:eastAsia="zh-CN"/>
              </w:rPr>
              <w:t>废机油</w:t>
            </w:r>
            <w:r>
              <w:rPr>
                <w:rFonts w:hint="eastAsia" w:ascii="Times New Roman" w:hAnsi="Times New Roman" w:eastAsia="宋体" w:cs="Times New Roman"/>
                <w:color w:val="auto"/>
                <w:sz w:val="24"/>
                <w:szCs w:val="24"/>
              </w:rPr>
              <w:t>。</w:t>
            </w:r>
          </w:p>
          <w:p w14:paraId="0C6BF23A">
            <w:pPr>
              <w:pStyle w:val="73"/>
              <w:numPr>
                <w:ilvl w:val="0"/>
                <w:numId w:val="0"/>
              </w:numPr>
              <w:spacing w:line="360" w:lineRule="auto"/>
              <w:ind w:left="480" w:leftChars="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r>
              <w:rPr>
                <w:rFonts w:hint="eastAsia" w:ascii="Times New Roman" w:hAnsi="Times New Roman" w:eastAsia="宋体" w:cs="Times New Roman"/>
                <w:color w:val="auto"/>
                <w:sz w:val="24"/>
                <w:szCs w:val="24"/>
              </w:rPr>
              <w:t>生产系统危险性识别</w:t>
            </w:r>
          </w:p>
          <w:p w14:paraId="24385D9C">
            <w:pPr>
              <w:pStyle w:val="73"/>
              <w:numPr>
                <w:ilvl w:val="0"/>
                <w:numId w:val="0"/>
              </w:num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项目为</w:t>
            </w:r>
            <w:r>
              <w:rPr>
                <w:rFonts w:hint="eastAsia" w:ascii="Times New Roman" w:hAnsi="Times New Roman" w:cs="Times New Roman"/>
                <w:color w:val="auto"/>
                <w:sz w:val="24"/>
                <w:szCs w:val="24"/>
                <w:lang w:val="en-US" w:eastAsia="zh-CN"/>
              </w:rPr>
              <w:t>布草洗涤</w:t>
            </w:r>
            <w:r>
              <w:rPr>
                <w:rFonts w:hint="eastAsia" w:ascii="Times New Roman" w:hAnsi="Times New Roman" w:eastAsia="宋体" w:cs="Times New Roman"/>
                <w:color w:val="auto"/>
                <w:sz w:val="24"/>
                <w:szCs w:val="24"/>
              </w:rPr>
              <w:t>项目，不使用化学反应工艺。在生产过程中主要危险单元主要是</w:t>
            </w:r>
            <w:r>
              <w:rPr>
                <w:rFonts w:hint="eastAsia" w:ascii="Times New Roman" w:hAnsi="Times New Roman" w:eastAsia="宋体" w:cs="Times New Roman"/>
                <w:color w:val="auto"/>
                <w:sz w:val="24"/>
                <w:szCs w:val="24"/>
                <w:lang w:val="en-US" w:eastAsia="zh-CN"/>
              </w:rPr>
              <w:t>危废暂存间</w:t>
            </w:r>
            <w:r>
              <w:rPr>
                <w:rFonts w:hint="eastAsia" w:ascii="Times New Roman" w:hAnsi="Times New Roman" w:cs="Times New Roman"/>
                <w:color w:val="auto"/>
                <w:sz w:val="24"/>
                <w:szCs w:val="24"/>
                <w:lang w:val="en-US" w:eastAsia="zh-CN"/>
              </w:rPr>
              <w:t>、锅炉</w:t>
            </w:r>
            <w:r>
              <w:rPr>
                <w:rFonts w:hint="eastAsia" w:ascii="Times New Roman" w:hAnsi="Times New Roman" w:eastAsia="宋体" w:cs="Times New Roman"/>
                <w:color w:val="auto"/>
                <w:sz w:val="24"/>
                <w:szCs w:val="24"/>
                <w:lang w:val="en-US" w:eastAsia="zh-CN"/>
              </w:rPr>
              <w:t>区</w:t>
            </w:r>
            <w:r>
              <w:rPr>
                <w:rFonts w:hint="eastAsia" w:ascii="Times New Roman" w:hAnsi="Times New Roman" w:eastAsia="宋体" w:cs="Times New Roman"/>
                <w:color w:val="auto"/>
                <w:sz w:val="24"/>
                <w:szCs w:val="24"/>
              </w:rPr>
              <w:t>，主要存在的潜在危险事故为泄露事故、爆炸事故和火灾事故等。</w:t>
            </w:r>
          </w:p>
          <w:p w14:paraId="216BE88A">
            <w:pPr>
              <w:pStyle w:val="73"/>
              <w:numPr>
                <w:ilvl w:val="0"/>
                <w:numId w:val="0"/>
              </w:numPr>
              <w:spacing w:line="360" w:lineRule="auto"/>
              <w:ind w:left="480" w:leftChars="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w:t>
            </w:r>
            <w:r>
              <w:rPr>
                <w:rFonts w:hint="eastAsia" w:ascii="Times New Roman" w:hAnsi="Times New Roman" w:eastAsia="宋体" w:cs="Times New Roman"/>
                <w:color w:val="auto"/>
                <w:sz w:val="24"/>
                <w:szCs w:val="24"/>
              </w:rPr>
              <w:t>危险物质向环境转移途径识别</w:t>
            </w:r>
          </w:p>
          <w:p w14:paraId="43C4B8D2">
            <w:pPr>
              <w:pStyle w:val="73"/>
              <w:numPr>
                <w:ilvl w:val="0"/>
                <w:numId w:val="0"/>
              </w:num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s="Times New Roman"/>
                <w:color w:val="auto"/>
                <w:sz w:val="24"/>
                <w:szCs w:val="24"/>
              </w:rPr>
              <w:t>项目主要的危险物质为主要为</w:t>
            </w:r>
            <w:r>
              <w:rPr>
                <w:rFonts w:hint="default" w:ascii="Times New Roman" w:hAnsi="Times New Roman" w:eastAsia="宋体" w:cs="Times New Roman"/>
                <w:color w:val="auto"/>
                <w:sz w:val="24"/>
                <w:szCs w:val="24"/>
                <w:lang w:val="en-US" w:eastAsia="zh-CN"/>
              </w:rPr>
              <w:t>废机油</w:t>
            </w:r>
            <w:r>
              <w:rPr>
                <w:rFonts w:hint="eastAsia" w:ascii="Times New Roman" w:hAnsi="Times New Roman" w:eastAsia="宋体"/>
                <w:color w:val="auto"/>
                <w:sz w:val="24"/>
                <w:szCs w:val="24"/>
              </w:rPr>
              <w:t>。</w:t>
            </w:r>
            <w:r>
              <w:rPr>
                <w:rFonts w:hint="default" w:ascii="Times New Roman" w:hAnsi="Times New Roman" w:eastAsia="宋体" w:cs="Times New Roman"/>
                <w:color w:val="auto"/>
                <w:sz w:val="24"/>
                <w:szCs w:val="24"/>
                <w:lang w:val="en-US" w:eastAsia="zh-CN"/>
              </w:rPr>
              <w:t>废机油</w:t>
            </w:r>
            <w:r>
              <w:rPr>
                <w:rFonts w:hint="eastAsia" w:ascii="Times New Roman" w:hAnsi="Times New Roman" w:eastAsia="宋体"/>
                <w:color w:val="auto"/>
                <w:sz w:val="24"/>
                <w:szCs w:val="24"/>
              </w:rPr>
              <w:t>储存于</w:t>
            </w:r>
            <w:r>
              <w:rPr>
                <w:rFonts w:hint="eastAsia" w:ascii="Times New Roman" w:hAnsi="Times New Roman" w:eastAsia="宋体"/>
                <w:color w:val="auto"/>
                <w:sz w:val="24"/>
                <w:szCs w:val="24"/>
                <w:lang w:val="en-US" w:eastAsia="zh-CN"/>
              </w:rPr>
              <w:t>危废暂存间</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废</w:t>
            </w:r>
            <w:r>
              <w:rPr>
                <w:rFonts w:hint="eastAsia" w:ascii="Times New Roman" w:hAnsi="Times New Roman" w:eastAsia="宋体"/>
                <w:color w:val="auto"/>
                <w:sz w:val="24"/>
                <w:szCs w:val="24"/>
              </w:rPr>
              <w:t>机油为液态易燃物质，当其发生泄露，渗入地表会造成</w:t>
            </w:r>
            <w:r>
              <w:rPr>
                <w:rFonts w:hint="eastAsia" w:ascii="Times New Roman" w:hAnsi="Times New Roman" w:eastAsia="宋体"/>
                <w:color w:val="auto"/>
                <w:sz w:val="24"/>
                <w:szCs w:val="24"/>
                <w:lang w:val="en-US" w:eastAsia="zh-CN"/>
              </w:rPr>
              <w:t>土壤、</w:t>
            </w:r>
            <w:r>
              <w:rPr>
                <w:rFonts w:hint="eastAsia" w:ascii="Times New Roman" w:hAnsi="Times New Roman" w:eastAsia="宋体"/>
                <w:color w:val="auto"/>
                <w:sz w:val="24"/>
                <w:szCs w:val="24"/>
              </w:rPr>
              <w:t>地下水环境污染，遇明火引起火灾事故，会造成大气环境二次污染。</w:t>
            </w:r>
          </w:p>
          <w:p w14:paraId="3E89A77D">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14:paraId="39223999">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14:paraId="08D8F1E9">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14:paraId="78F0390C">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w:t>
            </w:r>
            <w:r>
              <w:rPr>
                <w:rFonts w:hint="eastAsia" w:ascii="Times New Roman" w:hAnsi="Times New Roman" w:cs="Times New Roman"/>
                <w:b/>
                <w:bCs w:val="0"/>
                <w:snapToGrid w:val="0"/>
                <w:color w:val="auto"/>
                <w:kern w:val="0"/>
                <w:sz w:val="21"/>
                <w:szCs w:val="21"/>
                <w:highlight w:val="none"/>
                <w:lang w:val="en-US" w:eastAsia="zh-CN"/>
              </w:rPr>
              <w:t>19</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9"/>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1462"/>
              <w:gridCol w:w="1689"/>
              <w:gridCol w:w="1543"/>
              <w:gridCol w:w="1650"/>
            </w:tblGrid>
            <w:tr w14:paraId="6B9D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155" w:type="dxa"/>
                  <w:vMerge w:val="restart"/>
                  <w:tcBorders>
                    <w:tl2br w:val="nil"/>
                    <w:tr2bl w:val="nil"/>
                  </w:tcBorders>
                  <w:noWrap w:val="0"/>
                  <w:vAlign w:val="center"/>
                </w:tcPr>
                <w:p w14:paraId="17965E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44" w:type="dxa"/>
                  <w:gridSpan w:val="4"/>
                  <w:tcBorders>
                    <w:tl2br w:val="nil"/>
                    <w:tr2bl w:val="nil"/>
                  </w:tcBorders>
                  <w:noWrap w:val="0"/>
                  <w:vAlign w:val="center"/>
                </w:tcPr>
                <w:p w14:paraId="4E5D11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14:paraId="55E7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155" w:type="dxa"/>
                  <w:vMerge w:val="continue"/>
                  <w:tcBorders>
                    <w:tl2br w:val="nil"/>
                    <w:tr2bl w:val="nil"/>
                  </w:tcBorders>
                  <w:noWrap w:val="0"/>
                  <w:vAlign w:val="center"/>
                </w:tcPr>
                <w:p w14:paraId="17446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2" w:type="dxa"/>
                  <w:tcBorders>
                    <w:tl2br w:val="nil"/>
                    <w:tr2bl w:val="nil"/>
                  </w:tcBorders>
                  <w:noWrap w:val="0"/>
                  <w:vAlign w:val="center"/>
                </w:tcPr>
                <w:p w14:paraId="1B2D1F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9" w:type="dxa"/>
                  <w:tcBorders>
                    <w:tl2br w:val="nil"/>
                    <w:tr2bl w:val="nil"/>
                  </w:tcBorders>
                  <w:noWrap w:val="0"/>
                  <w:vAlign w:val="center"/>
                </w:tcPr>
                <w:p w14:paraId="638F52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3" w:type="dxa"/>
                  <w:tcBorders>
                    <w:tl2br w:val="nil"/>
                    <w:tr2bl w:val="nil"/>
                  </w:tcBorders>
                  <w:noWrap w:val="0"/>
                  <w:vAlign w:val="center"/>
                </w:tcPr>
                <w:p w14:paraId="320E75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50" w:type="dxa"/>
                  <w:tcBorders>
                    <w:tl2br w:val="nil"/>
                    <w:tr2bl w:val="nil"/>
                  </w:tcBorders>
                  <w:noWrap w:val="0"/>
                  <w:vAlign w:val="center"/>
                </w:tcPr>
                <w:p w14:paraId="09D241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14:paraId="0648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14:paraId="521ACF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14:paraId="3DEB7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9" w:type="dxa"/>
                  <w:tcBorders>
                    <w:tl2br w:val="nil"/>
                    <w:tr2bl w:val="nil"/>
                  </w:tcBorders>
                  <w:noWrap w:val="0"/>
                  <w:vAlign w:val="center"/>
                </w:tcPr>
                <w:p w14:paraId="229B83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3" w:type="dxa"/>
                  <w:tcBorders>
                    <w:tl2br w:val="nil"/>
                    <w:tr2bl w:val="nil"/>
                  </w:tcBorders>
                  <w:noWrap w:val="0"/>
                  <w:vAlign w:val="center"/>
                </w:tcPr>
                <w:p w14:paraId="4F6B61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50" w:type="dxa"/>
                  <w:tcBorders>
                    <w:tl2br w:val="nil"/>
                    <w:tr2bl w:val="nil"/>
                  </w:tcBorders>
                  <w:noWrap w:val="0"/>
                  <w:vAlign w:val="center"/>
                </w:tcPr>
                <w:p w14:paraId="69F155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14:paraId="49D5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14:paraId="70497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14:paraId="14C888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9" w:type="dxa"/>
                  <w:tcBorders>
                    <w:tl2br w:val="nil"/>
                    <w:tr2bl w:val="nil"/>
                  </w:tcBorders>
                  <w:noWrap w:val="0"/>
                  <w:vAlign w:val="center"/>
                </w:tcPr>
                <w:p w14:paraId="3ACF3C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3" w:type="dxa"/>
                  <w:tcBorders>
                    <w:tl2br w:val="nil"/>
                    <w:tr2bl w:val="nil"/>
                  </w:tcBorders>
                  <w:noWrap w:val="0"/>
                  <w:vAlign w:val="center"/>
                </w:tcPr>
                <w:p w14:paraId="5EDFF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50" w:type="dxa"/>
                  <w:tcBorders>
                    <w:tl2br w:val="nil"/>
                    <w:tr2bl w:val="nil"/>
                  </w:tcBorders>
                  <w:noWrap w:val="0"/>
                  <w:vAlign w:val="center"/>
                </w:tcPr>
                <w:p w14:paraId="6A720B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14:paraId="6178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14:paraId="7D4986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14:paraId="59D87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9" w:type="dxa"/>
                  <w:tcBorders>
                    <w:tl2br w:val="nil"/>
                    <w:tr2bl w:val="nil"/>
                  </w:tcBorders>
                  <w:noWrap w:val="0"/>
                  <w:vAlign w:val="center"/>
                </w:tcPr>
                <w:p w14:paraId="5272AD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3" w:type="dxa"/>
                  <w:tcBorders>
                    <w:tl2br w:val="nil"/>
                    <w:tr2bl w:val="nil"/>
                  </w:tcBorders>
                  <w:noWrap w:val="0"/>
                  <w:vAlign w:val="center"/>
                </w:tcPr>
                <w:p w14:paraId="0C3999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50" w:type="dxa"/>
                  <w:tcBorders>
                    <w:tl2br w:val="nil"/>
                    <w:tr2bl w:val="nil"/>
                  </w:tcBorders>
                  <w:noWrap w:val="0"/>
                  <w:vAlign w:val="center"/>
                </w:tcPr>
                <w:p w14:paraId="7420C6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14:paraId="2B89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499" w:type="dxa"/>
                  <w:gridSpan w:val="5"/>
                  <w:tcBorders>
                    <w:tl2br w:val="nil"/>
                    <w:tr2bl w:val="nil"/>
                  </w:tcBorders>
                  <w:noWrap w:val="0"/>
                  <w:vAlign w:val="center"/>
                </w:tcPr>
                <w:p w14:paraId="253C55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14:paraId="3B676514">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14:paraId="462795AC">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14:paraId="71139F8A">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14:paraId="1506E68C">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a、当只涉及一种危险物质时，计算该物质的总量与其临界量比值，即为Q；</w:t>
            </w:r>
          </w:p>
          <w:p w14:paraId="504A64C9">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14:paraId="723D5ADA">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28" o:spt="75" type="#_x0000_t75" style="height:33pt;width:106pt;" o:ole="t" filled="f" o:preferrelative="t" stroked="f" coordsize="21600,21600">
                  <v:path/>
                  <v:fill on="f" focussize="0,0"/>
                  <v:stroke on="f"/>
                  <v:imagedata r:id="rId25" o:title=""/>
                  <o:lock v:ext="edit" aspectratio="t"/>
                  <w10:wrap type="none"/>
                  <w10:anchorlock/>
                </v:shape>
                <o:OLEObject Type="Embed" ProgID="Equation.KSEE3" ShapeID="_x0000_i1028" DrawAspect="Content" ObjectID="_1468075728" r:id="rId24">
                  <o:LockedField>false</o:LockedField>
                </o:OLEObject>
              </w:object>
            </w:r>
          </w:p>
          <w:p w14:paraId="3397AF8A">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14:paraId="613E7235">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14:paraId="725D2952">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14:paraId="74D27A84">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14:paraId="52979112">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14:paraId="7E9C3ECA">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4-</w:t>
            </w:r>
            <w:r>
              <w:rPr>
                <w:rFonts w:hint="eastAsia" w:ascii="Times New Roman" w:hAnsi="Times New Roman" w:cs="Times New Roman"/>
                <w:b/>
                <w:bCs/>
                <w:color w:val="auto"/>
                <w:kern w:val="0"/>
                <w:highlight w:val="none"/>
                <w:lang w:val="en-US" w:eastAsia="zh-CN"/>
              </w:rPr>
              <w:t>20</w:t>
            </w:r>
            <w:r>
              <w:rPr>
                <w:rFonts w:hint="default" w:ascii="Times New Roman" w:hAnsi="Times New Roman" w:eastAsia="宋体" w:cs="Times New Roman"/>
                <w:b/>
                <w:bCs/>
                <w:color w:val="auto"/>
                <w:kern w:val="0"/>
                <w:highlight w:val="none"/>
              </w:rPr>
              <w:t xml:space="preserve"> 重大危险源识别一览表</w:t>
            </w:r>
          </w:p>
          <w:tbl>
            <w:tblPr>
              <w:tblStyle w:val="28"/>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14:paraId="5E30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68518365">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14:paraId="0D6C8F11">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14:paraId="7CBF5D07">
                  <w:pPr>
                    <w:pStyle w:val="75"/>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14:paraId="30D218B7">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14:paraId="5D5F1ADB">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14:paraId="378F130D">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14:paraId="569A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4FBE0409">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14:paraId="4EC0233D">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14:paraId="59F3EDBD">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1</w:t>
                  </w:r>
                </w:p>
              </w:tc>
              <w:tc>
                <w:tcPr>
                  <w:tcW w:w="1086" w:type="dxa"/>
                  <w:noWrap w:val="0"/>
                  <w:vAlign w:val="center"/>
                </w:tcPr>
                <w:p w14:paraId="06A485BF">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14:paraId="15D5FFA6">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w:t>
                  </w:r>
                </w:p>
              </w:tc>
              <w:tc>
                <w:tcPr>
                  <w:tcW w:w="1997" w:type="dxa"/>
                  <w:noWrap w:val="0"/>
                  <w:vAlign w:val="center"/>
                </w:tcPr>
                <w:p w14:paraId="41847C08">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ascii="Times New Roman" w:hAnsi="Times New Roman" w:cs="Times New Roman"/>
                      <w:b w:val="0"/>
                      <w:bCs w:val="0"/>
                      <w:color w:val="auto"/>
                      <w:sz w:val="21"/>
                      <w:szCs w:val="21"/>
                      <w:highlight w:val="none"/>
                      <w:lang w:val="en-US" w:eastAsia="zh-CN"/>
                    </w:rPr>
                    <w:t>04</w:t>
                  </w:r>
                </w:p>
              </w:tc>
            </w:tr>
            <w:tr w14:paraId="7FDC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14:paraId="0C31C3A5">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14:paraId="086849D6">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ascii="Times New Roman" w:hAnsi="Times New Roman" w:cs="Times New Roman"/>
                      <w:b w:val="0"/>
                      <w:bCs w:val="0"/>
                      <w:color w:val="auto"/>
                      <w:sz w:val="21"/>
                      <w:szCs w:val="21"/>
                      <w:highlight w:val="none"/>
                      <w:lang w:val="en-US" w:eastAsia="zh-CN"/>
                    </w:rPr>
                    <w:t>04</w:t>
                  </w:r>
                </w:p>
              </w:tc>
            </w:tr>
          </w:tbl>
          <w:p w14:paraId="0D8918EC">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w:t>
            </w:r>
            <w:r>
              <w:rPr>
                <w:rFonts w:hint="eastAsia" w:ascii="Times New Roman" w:hAnsi="Times New Roman" w:cs="Times New Roman"/>
                <w:color w:val="auto"/>
                <w:sz w:val="24"/>
                <w:highlight w:val="none"/>
                <w:lang w:val="en-US" w:eastAsia="zh-CN"/>
              </w:rPr>
              <w:t>00004</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14:paraId="1CA41CF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14:paraId="630D43DC">
            <w:pPr>
              <w:pStyle w:val="73"/>
              <w:keepNext w:val="0"/>
              <w:keepLines w:val="0"/>
              <w:pageBreakBefore w:val="0"/>
              <w:widowControl w:val="0"/>
              <w:numPr>
                <w:ilvl w:val="0"/>
                <w:numId w:val="0"/>
              </w:numPr>
              <w:tabs>
                <w:tab w:val="left" w:pos="1330"/>
              </w:tabs>
              <w:kinsoku/>
              <w:wordWrap/>
              <w:overflowPunct/>
              <w:topLinePunct w:val="0"/>
              <w:bidi w:val="0"/>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事故源项分析</w:t>
            </w:r>
          </w:p>
          <w:p w14:paraId="1E793104">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14:paraId="466985F1">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w:t>
            </w:r>
            <w:r>
              <w:rPr>
                <w:rFonts w:hint="eastAsia" w:ascii="Times New Roman" w:hAnsi="Times New Roman" w:eastAsia="宋体" w:cs="Times New Roman"/>
                <w:color w:val="auto"/>
                <w:sz w:val="24"/>
                <w:szCs w:val="24"/>
                <w:highlight w:val="none"/>
                <w:vertAlign w:val="baseline"/>
                <w:lang w:val="en-US" w:eastAsia="zh-CN"/>
              </w:rPr>
              <w:t>废机油</w:t>
            </w:r>
            <w:r>
              <w:rPr>
                <w:rFonts w:hint="default" w:ascii="Times New Roman" w:hAnsi="Times New Roman" w:eastAsia="宋体" w:cs="Times New Roman"/>
                <w:color w:val="auto"/>
                <w:sz w:val="24"/>
                <w:szCs w:val="24"/>
                <w:highlight w:val="none"/>
                <w:vertAlign w:val="baseline"/>
              </w:rPr>
              <w:t>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w:t>
            </w:r>
            <w:r>
              <w:rPr>
                <w:rFonts w:hint="eastAsia" w:ascii="Times New Roman" w:hAnsi="Times New Roman" w:eastAsia="宋体" w:cs="Times New Roman"/>
                <w:color w:val="auto"/>
                <w:sz w:val="24"/>
                <w:szCs w:val="24"/>
                <w:highlight w:val="none"/>
                <w:vertAlign w:val="baseline"/>
                <w:lang w:val="en-US" w:eastAsia="zh-CN"/>
              </w:rPr>
              <w:t>废机油泄露遇明火</w:t>
            </w:r>
            <w:r>
              <w:rPr>
                <w:rFonts w:hint="eastAsia" w:ascii="Times New Roman" w:hAnsi="Times New Roman" w:eastAsia="宋体" w:cs="Times New Roman"/>
                <w:color w:val="auto"/>
                <w:sz w:val="24"/>
                <w:szCs w:val="24"/>
                <w:highlight w:val="none"/>
                <w:vertAlign w:val="baseline"/>
              </w:rPr>
              <w:t>发生火灾、爆炸</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vertAlign w:val="baseline"/>
              </w:rPr>
              <w:t>电器设备在运行过程中可能因种种原因产生电火花或电弧引发火灾或爆炸等引发的伴生/次生污染物排放</w:t>
            </w:r>
            <w:r>
              <w:rPr>
                <w:rFonts w:hint="eastAsia" w:ascii="Times New Roman" w:hAnsi="Times New Roman" w:eastAsia="宋体" w:cs="Times New Roman"/>
                <w:color w:val="auto"/>
                <w:sz w:val="24"/>
                <w:szCs w:val="24"/>
                <w:highlight w:val="none"/>
                <w:vertAlign w:val="baseline"/>
                <w:lang w:val="en-US" w:eastAsia="zh-CN"/>
              </w:rPr>
              <w:t>，其产生的次生污染物CO、NOx、烟尘等进入大气环境，对区域环境空气造成不利影响。</w:t>
            </w:r>
            <w:r>
              <w:rPr>
                <w:rFonts w:hint="default" w:ascii="Times New Roman" w:hAnsi="Times New Roman" w:eastAsia="宋体" w:cs="Times New Roman"/>
                <w:color w:val="auto"/>
                <w:sz w:val="24"/>
                <w:szCs w:val="24"/>
                <w:highlight w:val="none"/>
                <w:vertAlign w:val="baseline"/>
              </w:rPr>
              <w:t>根据风险识别，本项目主要存在的事故类型有：</w:t>
            </w:r>
          </w:p>
          <w:p w14:paraId="6D766245">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14:paraId="712CC73E">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w:t>
            </w:r>
            <w:r>
              <w:rPr>
                <w:rFonts w:hint="default" w:ascii="Times New Roman" w:hAnsi="Times New Roman" w:eastAsia="宋体" w:cs="Times New Roman"/>
                <w:color w:val="auto"/>
                <w:sz w:val="24"/>
                <w:szCs w:val="24"/>
                <w:highlight w:val="none"/>
                <w:vertAlign w:val="baseline"/>
              </w:rPr>
              <w:t>遇明火发生火灾、爆炸事故；</w:t>
            </w:r>
          </w:p>
          <w:p w14:paraId="535983A6">
            <w:pPr>
              <w:pStyle w:val="73"/>
              <w:keepNext w:val="0"/>
              <w:keepLines w:val="0"/>
              <w:pageBreakBefore w:val="0"/>
              <w:widowControl w:val="0"/>
              <w:numPr>
                <w:ilvl w:val="0"/>
                <w:numId w:val="0"/>
              </w:numPr>
              <w:tabs>
                <w:tab w:val="left" w:pos="1330"/>
              </w:tabs>
              <w:kinsoku/>
              <w:wordWrap/>
              <w:overflowPunct/>
              <w:topLinePunct w:val="0"/>
              <w:autoSpaceDE/>
              <w:autoSpaceDN/>
              <w:bidi w:val="0"/>
              <w:adjustRightInd/>
              <w:snapToGrid/>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事故后果分析</w:t>
            </w:r>
          </w:p>
          <w:p w14:paraId="0E7ED740">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pacing w:val="-2"/>
                <w:kern w:val="0"/>
                <w:sz w:val="24"/>
                <w:szCs w:val="24"/>
                <w:highlight w:val="none"/>
                <w:lang w:val="en-US" w:eastAsia="zh-CN" w:bidi="ar-SA"/>
              </w:rPr>
            </w:pPr>
            <w:r>
              <w:rPr>
                <w:rFonts w:hint="default" w:ascii="Times New Roman" w:hAnsi="Times New Roman" w:eastAsia="宋体" w:cs="Times New Roman"/>
                <w:color w:val="auto"/>
                <w:spacing w:val="-2"/>
                <w:kern w:val="0"/>
                <w:sz w:val="24"/>
                <w:szCs w:val="24"/>
                <w:highlight w:val="none"/>
                <w:lang w:val="en-US" w:eastAsia="zh-CN" w:bidi="ar-SA"/>
              </w:rPr>
              <w:t>废机油发生火灾、爆炸事故引发的次生伴生影响主要体现在火灾或爆炸过程产生的燃烧产物和灭火过程产生的固废，燃烧产物为CO</w:t>
            </w:r>
            <w:r>
              <w:rPr>
                <w:rFonts w:hint="default" w:ascii="Times New Roman" w:hAnsi="Times New Roman" w:eastAsia="宋体" w:cs="Times New Roman"/>
                <w:color w:val="auto"/>
                <w:spacing w:val="-2"/>
                <w:kern w:val="0"/>
                <w:sz w:val="24"/>
                <w:szCs w:val="24"/>
                <w:highlight w:val="none"/>
                <w:vertAlign w:val="subscript"/>
                <w:lang w:val="en-US" w:eastAsia="zh-CN" w:bidi="ar-SA"/>
              </w:rPr>
              <w:t>2</w:t>
            </w:r>
            <w:r>
              <w:rPr>
                <w:rFonts w:hint="default" w:ascii="Times New Roman" w:hAnsi="Times New Roman" w:eastAsia="宋体" w:cs="Times New Roman"/>
                <w:color w:val="auto"/>
                <w:spacing w:val="-2"/>
                <w:kern w:val="0"/>
                <w:sz w:val="24"/>
                <w:szCs w:val="24"/>
                <w:highlight w:val="none"/>
                <w:lang w:val="en-US" w:eastAsia="zh-CN" w:bidi="ar-SA"/>
              </w:rPr>
              <w:t xml:space="preserve"> 、CO 和 H</w:t>
            </w:r>
            <w:r>
              <w:rPr>
                <w:rFonts w:hint="default" w:ascii="Times New Roman" w:hAnsi="Times New Roman" w:eastAsia="宋体" w:cs="Times New Roman"/>
                <w:color w:val="auto"/>
                <w:spacing w:val="-2"/>
                <w:kern w:val="0"/>
                <w:sz w:val="24"/>
                <w:szCs w:val="24"/>
                <w:highlight w:val="none"/>
                <w:vertAlign w:val="subscript"/>
                <w:lang w:val="en-US" w:eastAsia="zh-CN" w:bidi="ar-SA"/>
              </w:rPr>
              <w:t>2</w:t>
            </w:r>
            <w:r>
              <w:rPr>
                <w:rFonts w:hint="default" w:ascii="Times New Roman" w:hAnsi="Times New Roman" w:eastAsia="宋体" w:cs="Times New Roman"/>
                <w:color w:val="auto"/>
                <w:spacing w:val="-2"/>
                <w:kern w:val="0"/>
                <w:sz w:val="24"/>
                <w:szCs w:val="24"/>
                <w:highlight w:val="none"/>
                <w:lang w:val="en-US" w:eastAsia="zh-CN" w:bidi="ar-SA"/>
              </w:rPr>
              <w:t>O。</w:t>
            </w:r>
          </w:p>
          <w:p w14:paraId="4B208E9E">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14:paraId="34C5D0D1">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泄漏影响分析</w:t>
            </w:r>
          </w:p>
          <w:p w14:paraId="55599D6D">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9</w:t>
            </w:r>
            <w:r>
              <w:rPr>
                <w:rFonts w:hint="default" w:ascii="Times New Roman" w:hAnsi="Times New Roman" w:eastAsia="宋体" w:cs="Times New Roman"/>
                <w:color w:val="auto"/>
                <w:sz w:val="24"/>
                <w:szCs w:val="24"/>
                <w:highlight w:val="none"/>
              </w:rPr>
              <w:t>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14:paraId="34244BCC">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eastAsia" w:ascii="Times New Roman" w:hAnsi="Times New Roman" w:cs="Times New Roman"/>
                <w:color w:val="auto"/>
                <w:spacing w:val="-3"/>
                <w:sz w:val="24"/>
                <w:szCs w:val="24"/>
                <w:highlight w:val="none"/>
                <w:lang w:val="en-US" w:eastAsia="zh-CN"/>
              </w:rPr>
              <w:t>废机油泄漏发生</w:t>
            </w:r>
            <w:r>
              <w:rPr>
                <w:rFonts w:hint="default" w:ascii="Times New Roman" w:hAnsi="Times New Roman" w:eastAsia="宋体" w:cs="Times New Roman"/>
                <w:color w:val="auto"/>
                <w:spacing w:val="-3"/>
                <w:sz w:val="24"/>
                <w:szCs w:val="24"/>
                <w:highlight w:val="none"/>
              </w:rPr>
              <w:t>火灾、爆炸影响分析</w:t>
            </w:r>
          </w:p>
          <w:p w14:paraId="1C414789">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eastAsia" w:ascii="Times New Roman" w:hAnsi="Times New Roman" w:eastAsia="宋体" w:cs="Times New Roman"/>
                <w:color w:val="auto"/>
                <w:spacing w:val="-3"/>
                <w:sz w:val="24"/>
                <w:szCs w:val="24"/>
                <w:highlight w:val="none"/>
                <w:lang w:val="en-US" w:eastAsia="zh-CN"/>
              </w:rPr>
              <w:t>火灾、爆炸</w:t>
            </w:r>
            <w:r>
              <w:rPr>
                <w:rFonts w:hint="default" w:ascii="Times New Roman" w:hAnsi="Times New Roman" w:eastAsia="宋体" w:cs="Times New Roman"/>
                <w:color w:val="auto"/>
                <w:spacing w:val="-3"/>
                <w:sz w:val="24"/>
                <w:szCs w:val="24"/>
                <w:highlight w:val="none"/>
              </w:rPr>
              <w:t>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w:t>
            </w:r>
            <w:r>
              <w:rPr>
                <w:rFonts w:hint="eastAsia" w:ascii="Times New Roman" w:hAnsi="Times New Roman" w:eastAsia="宋体" w:cs="Times New Roman"/>
                <w:color w:val="auto"/>
                <w:spacing w:val="-3"/>
                <w:sz w:val="24"/>
                <w:szCs w:val="24"/>
                <w:highlight w:val="none"/>
                <w:lang w:val="en-US" w:eastAsia="zh-CN"/>
              </w:rPr>
              <w:t>沙</w:t>
            </w:r>
            <w:r>
              <w:rPr>
                <w:rFonts w:hint="default" w:ascii="Times New Roman" w:hAnsi="Times New Roman" w:eastAsia="宋体" w:cs="Times New Roman"/>
                <w:color w:val="auto"/>
                <w:spacing w:val="-3"/>
                <w:sz w:val="24"/>
                <w:szCs w:val="24"/>
                <w:highlight w:val="none"/>
              </w:rPr>
              <w:t>等，发生火灾及灭火过程中项目内不会产生废水。因此项目发生火灾、爆炸事故后对周围水环境影响不大。</w:t>
            </w:r>
          </w:p>
          <w:p w14:paraId="6AFA368A">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eastAsia" w:ascii="Times New Roman" w:hAnsi="Times New Roman" w:cs="Times New Roman"/>
                <w:color w:val="auto"/>
                <w:spacing w:val="-3"/>
                <w:sz w:val="24"/>
                <w:szCs w:val="24"/>
                <w:highlight w:val="none"/>
                <w:lang w:val="en-US" w:eastAsia="zh-CN"/>
              </w:rPr>
              <w:t>废机油</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14:paraId="5D26AB06">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14:paraId="6B0C5FF9">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14:paraId="2A07CD7F">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w:t>
            </w:r>
            <w:r>
              <w:rPr>
                <w:rFonts w:hint="eastAsia" w:ascii="Times New Roman" w:hAnsi="Times New Roman" w:cs="Times New Roman"/>
                <w:color w:val="auto"/>
                <w:spacing w:val="-6"/>
                <w:kern w:val="2"/>
                <w:sz w:val="24"/>
                <w:szCs w:val="24"/>
                <w:highlight w:val="none"/>
                <w:lang w:val="en-US" w:eastAsia="zh-CN" w:bidi="ar-SA"/>
              </w:rPr>
              <w:t>废机油</w:t>
            </w:r>
            <w:r>
              <w:rPr>
                <w:rFonts w:hint="default" w:ascii="Times New Roman" w:hAnsi="Times New Roman" w:eastAsia="宋体" w:cs="Times New Roman"/>
                <w:color w:val="auto"/>
                <w:spacing w:val="-6"/>
                <w:kern w:val="2"/>
                <w:sz w:val="24"/>
                <w:szCs w:val="24"/>
                <w:highlight w:val="none"/>
                <w:lang w:val="en-US" w:eastAsia="zh-CN" w:bidi="ar-SA"/>
              </w:rPr>
              <w:t>泄漏影响分析</w:t>
            </w:r>
          </w:p>
          <w:p w14:paraId="60B57FBC">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eastAsia" w:ascii="Times New Roman" w:hAnsi="Times New Roman" w:cs="Times New Roman"/>
                <w:color w:val="auto"/>
                <w:spacing w:val="-7"/>
                <w:sz w:val="24"/>
                <w:szCs w:val="24"/>
                <w:highlight w:val="none"/>
                <w:lang w:val="en-US" w:eastAsia="zh-CN"/>
              </w:rPr>
              <w:t>废机油桶</w:t>
            </w:r>
            <w:r>
              <w:rPr>
                <w:rFonts w:hint="default" w:ascii="Times New Roman" w:hAnsi="Times New Roman" w:eastAsia="宋体" w:cs="Times New Roman"/>
                <w:color w:val="auto"/>
                <w:spacing w:val="-7"/>
                <w:sz w:val="24"/>
                <w:szCs w:val="24"/>
                <w:highlight w:val="none"/>
                <w:lang w:val="en-US" w:eastAsia="zh-CN"/>
              </w:rPr>
              <w:t>储存</w:t>
            </w:r>
            <w:r>
              <w:rPr>
                <w:rFonts w:hint="default" w:ascii="Times New Roman" w:hAnsi="Times New Roman" w:eastAsia="宋体" w:cs="Times New Roman"/>
                <w:color w:val="auto"/>
                <w:spacing w:val="-7"/>
                <w:sz w:val="24"/>
                <w:szCs w:val="24"/>
                <w:highlight w:val="none"/>
              </w:rPr>
              <w:t>，油品挥发不会造成大</w:t>
            </w:r>
            <w:r>
              <w:rPr>
                <w:rFonts w:hint="default" w:ascii="Times New Roman" w:hAnsi="Times New Roman" w:eastAsia="宋体" w:cs="Times New Roman"/>
                <w:color w:val="auto"/>
                <w:sz w:val="24"/>
                <w:szCs w:val="24"/>
                <w:highlight w:val="none"/>
              </w:rPr>
              <w:t>面积的扩散，对大气环境影响较小。</w:t>
            </w:r>
          </w:p>
          <w:p w14:paraId="7029C7BF">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14:paraId="4B0FD8E5">
            <w:pPr>
              <w:pStyle w:val="73"/>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14:paraId="6DB39D5B">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14:paraId="7BF53244">
            <w:pPr>
              <w:pStyle w:val="75"/>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14:paraId="32380C4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14:paraId="28D85B28">
            <w:pPr>
              <w:pStyle w:val="75"/>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①建立严格的火灾防范环境管理制度及操作规程，按要求严格进行操作人员培训，相关人员严格遵守火灾防范的各项规章制度。</w:t>
            </w:r>
          </w:p>
          <w:p w14:paraId="29DD5410">
            <w:pPr>
              <w:pStyle w:val="75"/>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cs="Times New Roman"/>
                <w:color w:val="auto"/>
                <w:kern w:val="2"/>
                <w:sz w:val="24"/>
                <w:szCs w:val="24"/>
                <w:highlight w:val="none"/>
                <w:lang w:val="en-US" w:eastAsia="zh-CN" w:bidi="ar-SA"/>
              </w:rPr>
              <w:t>生产</w:t>
            </w:r>
            <w:r>
              <w:rPr>
                <w:rFonts w:hint="eastAsia" w:ascii="Times New Roman" w:hAnsi="Times New Roman" w:eastAsia="宋体" w:cs="Times New Roman"/>
                <w:color w:val="auto"/>
                <w:kern w:val="2"/>
                <w:sz w:val="24"/>
                <w:szCs w:val="24"/>
                <w:highlight w:val="none"/>
                <w:lang w:val="en-US" w:eastAsia="zh-CN" w:bidi="ar-SA"/>
              </w:rPr>
              <w:t>车间</w:t>
            </w:r>
            <w:r>
              <w:rPr>
                <w:rFonts w:hint="default" w:ascii="Times New Roman" w:hAnsi="Times New Roman" w:eastAsia="宋体" w:cs="Times New Roman"/>
                <w:color w:val="auto"/>
                <w:kern w:val="2"/>
                <w:sz w:val="24"/>
                <w:szCs w:val="24"/>
                <w:highlight w:val="none"/>
                <w:lang w:val="en-US" w:eastAsia="zh-CN" w:bidi="ar-SA"/>
              </w:rPr>
              <w:t>内部配备消防栓和灭火器等应急设备。定期检查和维修火灾防范的相关设施，及时发现问题及时解决，使事故发生率降至最低。</w:t>
            </w:r>
          </w:p>
          <w:p w14:paraId="63D09610">
            <w:pPr>
              <w:pStyle w:val="75"/>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w:t>
            </w:r>
            <w:r>
              <w:rPr>
                <w:rFonts w:hint="eastAsia" w:ascii="Times New Roman" w:hAnsi="Times New Roman" w:cs="Times New Roman"/>
                <w:color w:val="auto"/>
                <w:kern w:val="2"/>
                <w:sz w:val="24"/>
                <w:szCs w:val="24"/>
                <w:highlight w:val="none"/>
                <w:lang w:val="en-US" w:eastAsia="zh-CN" w:bidi="ar-SA"/>
              </w:rPr>
              <w:t>危废暂存间、生产区</w:t>
            </w:r>
            <w:r>
              <w:rPr>
                <w:rFonts w:hint="eastAsia" w:ascii="Times New Roman" w:hAnsi="Times New Roman" w:eastAsia="宋体" w:cs="Times New Roman"/>
                <w:color w:val="auto"/>
                <w:kern w:val="2"/>
                <w:sz w:val="24"/>
                <w:szCs w:val="24"/>
                <w:highlight w:val="none"/>
                <w:lang w:val="en-US" w:eastAsia="zh-CN" w:bidi="ar-SA"/>
              </w:rPr>
              <w:t>设置“禁烟禁火”等相关标识。</w:t>
            </w:r>
          </w:p>
          <w:p w14:paraId="5E4BDAB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14:paraId="09F8BD5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eastAsia="宋体" w:cs="Times New Roman"/>
                <w:color w:val="auto"/>
                <w:kern w:val="2"/>
                <w:sz w:val="24"/>
                <w:szCs w:val="24"/>
                <w:highlight w:val="none"/>
                <w:lang w:val="en-US" w:eastAsia="zh-CN" w:bidi="ar-SA"/>
              </w:rPr>
              <w:t>应做好防渗防腐处理，危废暂存间进行重点防渗；</w:t>
            </w:r>
          </w:p>
          <w:p w14:paraId="7ABBFC6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eastAsia="宋体" w:cs="Times New Roman"/>
                <w:color w:val="auto"/>
                <w:kern w:val="2"/>
                <w:sz w:val="24"/>
                <w:szCs w:val="24"/>
                <w:highlight w:val="none"/>
                <w:lang w:val="en-US" w:eastAsia="zh-CN" w:bidi="ar-SA"/>
              </w:rPr>
              <w:t>设置专人管理，做好日常巡查工作</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并做好检查记录，发现跑、冒、滴、漏现象及时上报处理；</w:t>
            </w:r>
          </w:p>
          <w:p w14:paraId="6F994AC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r>
              <w:rPr>
                <w:rFonts w:hint="eastAsia" w:ascii="Times New Roman" w:hAnsi="Times New Roman" w:eastAsia="宋体" w:cs="Times New Roman"/>
                <w:color w:val="auto"/>
                <w:kern w:val="2"/>
                <w:sz w:val="24"/>
                <w:szCs w:val="24"/>
                <w:highlight w:val="none"/>
                <w:lang w:val="en-US" w:eastAsia="zh-CN" w:bidi="ar-SA"/>
              </w:rPr>
              <w:t>；</w:t>
            </w:r>
          </w:p>
          <w:p w14:paraId="6EFE8F6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④危险废物暂存间不得存放除危险废物以外的其他废弃物；</w:t>
            </w:r>
            <w:r>
              <w:rPr>
                <w:rFonts w:hint="eastAsia" w:ascii="Times New Roman" w:hAnsi="Times New Roman" w:eastAsia="宋体" w:cs="Times New Roman"/>
                <w:color w:val="auto"/>
                <w:kern w:val="2"/>
                <w:sz w:val="24"/>
                <w:szCs w:val="24"/>
                <w:highlight w:val="none"/>
                <w:lang w:val="en-US" w:eastAsia="zh-CN" w:bidi="ar-SA"/>
              </w:rPr>
              <w:t>危险废物分区存放；</w:t>
            </w:r>
            <w:r>
              <w:rPr>
                <w:rFonts w:hint="default" w:ascii="Times New Roman" w:hAnsi="Times New Roman" w:eastAsia="宋体" w:cs="Times New Roman"/>
                <w:color w:val="auto"/>
                <w:kern w:val="2"/>
                <w:sz w:val="24"/>
                <w:szCs w:val="24"/>
                <w:highlight w:val="none"/>
                <w:lang w:val="en-US" w:eastAsia="zh-CN" w:bidi="ar-SA"/>
              </w:rPr>
              <w:t>当危险废物存放到一定数量，管理人员应及时通知有资质单位清运处理</w:t>
            </w:r>
            <w:r>
              <w:rPr>
                <w:rFonts w:hint="default" w:ascii="Times New Roman" w:hAnsi="Times New Roman" w:eastAsia="宋体" w:cs="Times New Roman"/>
                <w:color w:val="auto"/>
                <w:kern w:val="2"/>
                <w:sz w:val="24"/>
                <w:szCs w:val="24"/>
                <w:highlight w:val="none"/>
                <w:lang w:val="zh-CN" w:eastAsia="zh-CN" w:bidi="ar-SA"/>
              </w:rPr>
              <w:t>。</w:t>
            </w:r>
          </w:p>
          <w:p w14:paraId="5C454AEB">
            <w:pPr>
              <w:pStyle w:val="75"/>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14:paraId="74B8399C">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14:paraId="65F912D2">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14:paraId="2BDD076B">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14:paraId="2489DEA9">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14:paraId="7C58E411">
            <w:pPr>
              <w:spacing w:line="400" w:lineRule="exact"/>
              <w:ind w:firstLine="480"/>
              <w:jc w:val="center"/>
              <w:rPr>
                <w:rFonts w:hint="default" w:ascii="Times New Roman" w:hAnsi="Times New Roman" w:eastAsia="宋体" w:cs="Times New Roman"/>
                <w:b/>
                <w:bCs/>
                <w:color w:val="auto"/>
                <w:szCs w:val="21"/>
                <w:highlight w:val="none"/>
                <w:lang w:val="zh-CN"/>
              </w:rPr>
            </w:pPr>
          </w:p>
          <w:p w14:paraId="61CF2E97">
            <w:pPr>
              <w:pStyle w:val="39"/>
              <w:rPr>
                <w:rFonts w:ascii="Times New Roman" w:hAnsi="Times New Roman"/>
                <w:color w:val="auto"/>
              </w:rPr>
            </w:pPr>
          </w:p>
        </w:tc>
      </w:tr>
    </w:tbl>
    <w:p w14:paraId="596CBA87">
      <w:pPr>
        <w:rPr>
          <w:rFonts w:ascii="Times New Roman" w:hAnsi="Times New Roman"/>
          <w:color w:val="auto"/>
        </w:rPr>
        <w:sectPr>
          <w:pgSz w:w="11905" w:h="16838"/>
          <w:pgMar w:top="1440" w:right="1800" w:bottom="1440" w:left="1800" w:header="851" w:footer="850" w:gutter="0"/>
          <w:pgNumType w:fmt="decimal"/>
          <w:cols w:space="0" w:num="1"/>
          <w:docGrid w:linePitch="312" w:charSpace="0"/>
        </w:sectPr>
      </w:pPr>
    </w:p>
    <w:p w14:paraId="2052A243">
      <w:pPr>
        <w:pStyle w:val="2"/>
        <w:jc w:val="center"/>
        <w:rPr>
          <w:rFonts w:ascii="Times New Roman" w:hAnsi="Times New Roman"/>
          <w:color w:val="auto"/>
        </w:rPr>
      </w:pPr>
      <w:bookmarkStart w:id="11" w:name="_Toc29593"/>
      <w:bookmarkStart w:id="12" w:name="_Toc6868"/>
      <w:r>
        <w:rPr>
          <w:rFonts w:hint="eastAsia" w:ascii="Times New Roman" w:hAnsi="Times New Roman"/>
          <w:color w:val="auto"/>
        </w:rPr>
        <w:t>五、</w:t>
      </w:r>
      <w:bookmarkStart w:id="13" w:name="_Hlk54167917"/>
      <w:r>
        <w:rPr>
          <w:rFonts w:hint="eastAsia" w:ascii="Times New Roman" w:hAnsi="Times New Roman"/>
          <w:color w:val="auto"/>
        </w:rPr>
        <w:t>环境保护措施监督检查清单</w:t>
      </w:r>
      <w:bookmarkEnd w:id="11"/>
      <w:bookmarkEnd w:id="12"/>
      <w:bookmarkEnd w:id="13"/>
    </w:p>
    <w:tbl>
      <w:tblPr>
        <w:tblStyle w:val="28"/>
        <w:tblW w:w="88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404"/>
        <w:gridCol w:w="1286"/>
        <w:gridCol w:w="1425"/>
        <w:gridCol w:w="1769"/>
        <w:gridCol w:w="2479"/>
      </w:tblGrid>
      <w:tr w14:paraId="217B4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0" w:type="dxa"/>
            <w:tcBorders>
              <w:tl2br w:val="single" w:color="auto" w:sz="4" w:space="0"/>
            </w:tcBorders>
          </w:tcPr>
          <w:p w14:paraId="06574F32">
            <w:pPr>
              <w:adjustRightInd w:val="0"/>
              <w:snapToGrid w:val="0"/>
              <w:spacing w:line="360" w:lineRule="auto"/>
              <w:ind w:firstLine="840"/>
              <w:rPr>
                <w:rFonts w:ascii="Times New Roman" w:hAnsi="Times New Roman"/>
                <w:b/>
                <w:bCs/>
                <w:color w:val="auto"/>
                <w:szCs w:val="21"/>
              </w:rPr>
            </w:pPr>
            <w:r>
              <w:rPr>
                <w:rFonts w:ascii="Times New Roman" w:hAnsi="Times New Roman"/>
                <w:b/>
                <w:bCs/>
                <w:color w:val="auto"/>
                <w:szCs w:val="21"/>
              </w:rPr>
              <w:t>内容</w:t>
            </w:r>
          </w:p>
          <w:p w14:paraId="20B68181">
            <w:pPr>
              <w:adjustRightInd w:val="0"/>
              <w:snapToGrid w:val="0"/>
              <w:spacing w:line="360" w:lineRule="auto"/>
              <w:rPr>
                <w:rFonts w:ascii="Times New Roman" w:hAnsi="Times New Roman"/>
                <w:b/>
                <w:bCs/>
                <w:color w:val="auto"/>
                <w:szCs w:val="21"/>
              </w:rPr>
            </w:pPr>
            <w:r>
              <w:rPr>
                <w:rFonts w:ascii="Times New Roman" w:hAnsi="Times New Roman"/>
                <w:b/>
                <w:bCs/>
                <w:color w:val="auto"/>
                <w:szCs w:val="21"/>
              </w:rPr>
              <w:t>要素</w:t>
            </w:r>
          </w:p>
        </w:tc>
        <w:tc>
          <w:tcPr>
            <w:tcW w:w="1690" w:type="dxa"/>
            <w:gridSpan w:val="2"/>
            <w:vAlign w:val="center"/>
          </w:tcPr>
          <w:p w14:paraId="506E1014">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排放口(编号、</w:t>
            </w:r>
          </w:p>
          <w:p w14:paraId="2092DB7C">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名称)/污染源</w:t>
            </w:r>
          </w:p>
        </w:tc>
        <w:tc>
          <w:tcPr>
            <w:tcW w:w="1425" w:type="dxa"/>
            <w:vAlign w:val="center"/>
          </w:tcPr>
          <w:p w14:paraId="58D68895">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污染物项目</w:t>
            </w:r>
          </w:p>
        </w:tc>
        <w:tc>
          <w:tcPr>
            <w:tcW w:w="1769" w:type="dxa"/>
            <w:vAlign w:val="center"/>
          </w:tcPr>
          <w:p w14:paraId="56B4BAB1">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环境保护措施</w:t>
            </w:r>
          </w:p>
        </w:tc>
        <w:tc>
          <w:tcPr>
            <w:tcW w:w="2479" w:type="dxa"/>
            <w:vAlign w:val="center"/>
          </w:tcPr>
          <w:p w14:paraId="7EDA94B6">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执行标准</w:t>
            </w:r>
          </w:p>
        </w:tc>
      </w:tr>
      <w:tr w14:paraId="5745C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20" w:type="dxa"/>
            <w:vMerge w:val="restart"/>
            <w:vAlign w:val="center"/>
          </w:tcPr>
          <w:p w14:paraId="478486B5">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大气环境</w:t>
            </w:r>
          </w:p>
        </w:tc>
        <w:tc>
          <w:tcPr>
            <w:tcW w:w="404" w:type="dxa"/>
            <w:vAlign w:val="center"/>
          </w:tcPr>
          <w:p w14:paraId="1F88A7C8">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有组织</w:t>
            </w:r>
          </w:p>
        </w:tc>
        <w:tc>
          <w:tcPr>
            <w:tcW w:w="1286" w:type="dxa"/>
            <w:vAlign w:val="center"/>
          </w:tcPr>
          <w:p w14:paraId="1D7567AE">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生物质锅炉燃烧废气（DA001）</w:t>
            </w:r>
          </w:p>
        </w:tc>
        <w:tc>
          <w:tcPr>
            <w:tcW w:w="1425" w:type="dxa"/>
            <w:vAlign w:val="center"/>
          </w:tcPr>
          <w:p w14:paraId="7746E4E4">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颗粒物、SO</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、NOx</w:t>
            </w:r>
            <w:r>
              <w:rPr>
                <w:rFonts w:hint="eastAsia" w:ascii="Times New Roman" w:hAnsi="Times New Roman" w:cs="Times New Roman"/>
                <w:color w:val="auto"/>
                <w:szCs w:val="21"/>
                <w:lang w:val="en-US" w:eastAsia="zh-CN"/>
              </w:rPr>
              <w:t>、</w:t>
            </w:r>
            <w:r>
              <w:rPr>
                <w:rFonts w:hint="eastAsia" w:ascii="Times New Roman" w:hAnsi="Times New Roman" w:eastAsia="宋体" w:cs="Times New Roman"/>
                <w:color w:val="auto"/>
                <w:szCs w:val="21"/>
                <w:lang w:val="en-US" w:eastAsia="zh-CN"/>
              </w:rPr>
              <w:t>林格曼黑度</w:t>
            </w:r>
          </w:p>
        </w:tc>
        <w:tc>
          <w:tcPr>
            <w:tcW w:w="1769" w:type="dxa"/>
            <w:vAlign w:val="center"/>
          </w:tcPr>
          <w:p w14:paraId="1F2BE84C">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布袋除尘器（除尘效率99%）+30m排气筒（DA001）</w:t>
            </w:r>
          </w:p>
        </w:tc>
        <w:tc>
          <w:tcPr>
            <w:tcW w:w="2479" w:type="dxa"/>
            <w:vAlign w:val="center"/>
          </w:tcPr>
          <w:p w14:paraId="0072990C">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《锅炉大气污染物排放标准》（GB13271-2014）表2</w:t>
            </w:r>
            <w:r>
              <w:rPr>
                <w:rFonts w:hint="eastAsia" w:ascii="Times New Roman" w:hAnsi="Times New Roman" w:eastAsia="宋体" w:cs="Times New Roman"/>
                <w:color w:val="auto"/>
                <w:szCs w:val="21"/>
                <w:lang w:val="en-US" w:eastAsia="zh-CN"/>
              </w:rPr>
              <w:t>燃煤锅炉</w:t>
            </w:r>
          </w:p>
        </w:tc>
      </w:tr>
      <w:tr w14:paraId="710C8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20" w:type="dxa"/>
            <w:vMerge w:val="continue"/>
            <w:vAlign w:val="center"/>
          </w:tcPr>
          <w:p w14:paraId="4B947362">
            <w:pPr>
              <w:adjustRightInd w:val="0"/>
              <w:snapToGrid w:val="0"/>
              <w:spacing w:line="360" w:lineRule="auto"/>
              <w:jc w:val="center"/>
              <w:rPr>
                <w:rFonts w:ascii="Times New Roman" w:hAnsi="Times New Roman"/>
                <w:color w:val="auto"/>
                <w:szCs w:val="21"/>
              </w:rPr>
            </w:pPr>
          </w:p>
        </w:tc>
        <w:tc>
          <w:tcPr>
            <w:tcW w:w="404" w:type="dxa"/>
            <w:vAlign w:val="center"/>
          </w:tcPr>
          <w:p w14:paraId="636D9A86">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无组织</w:t>
            </w:r>
          </w:p>
        </w:tc>
        <w:tc>
          <w:tcPr>
            <w:tcW w:w="1286" w:type="dxa"/>
            <w:vAlign w:val="center"/>
          </w:tcPr>
          <w:p w14:paraId="731C9559">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生物质燃料装卸、贮存、输送</w:t>
            </w:r>
            <w:r>
              <w:rPr>
                <w:rFonts w:hint="eastAsia" w:ascii="Times New Roman" w:hAnsi="Times New Roman" w:cs="Times New Roman"/>
                <w:color w:val="auto"/>
                <w:szCs w:val="21"/>
                <w:lang w:val="en-US" w:eastAsia="zh-CN"/>
              </w:rPr>
              <w:t>粉尘</w:t>
            </w:r>
          </w:p>
        </w:tc>
        <w:tc>
          <w:tcPr>
            <w:tcW w:w="1425" w:type="dxa"/>
            <w:vAlign w:val="center"/>
          </w:tcPr>
          <w:p w14:paraId="6EADE0CE">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769" w:type="dxa"/>
            <w:vAlign w:val="center"/>
          </w:tcPr>
          <w:p w14:paraId="6DB66E76">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厂房隔挡、大气沉降、自然稀释扩散</w:t>
            </w:r>
          </w:p>
        </w:tc>
        <w:tc>
          <w:tcPr>
            <w:tcW w:w="2479" w:type="dxa"/>
            <w:vAlign w:val="center"/>
          </w:tcPr>
          <w:p w14:paraId="049DE503">
            <w:pPr>
              <w:adjustRightInd w:val="0"/>
              <w:snapToGrid w:val="0"/>
              <w:spacing w:line="360" w:lineRule="auto"/>
              <w:jc w:val="center"/>
              <w:rPr>
                <w:rFonts w:hint="eastAsia" w:ascii="Times New Roman" w:hAnsi="Times New Roman" w:eastAsia="宋体"/>
                <w:bCs/>
                <w:color w:val="auto"/>
                <w:kern w:val="0"/>
                <w:szCs w:val="21"/>
                <w:lang w:eastAsia="zh-CN"/>
              </w:rPr>
            </w:pPr>
            <w:r>
              <w:rPr>
                <w:rFonts w:ascii="Times New Roman" w:hAnsi="Times New Roman"/>
                <w:color w:val="auto"/>
                <w:szCs w:val="21"/>
              </w:rPr>
              <w:t>《大气污染物综合排放标准》（GB16297-1996）中</w:t>
            </w:r>
            <w:r>
              <w:rPr>
                <w:rFonts w:ascii="Times New Roman" w:hAnsi="Times New Roman"/>
                <w:bCs/>
                <w:color w:val="auto"/>
                <w:kern w:val="0"/>
                <w:szCs w:val="21"/>
              </w:rPr>
              <w:t>表2</w:t>
            </w:r>
            <w:r>
              <w:rPr>
                <w:rFonts w:ascii="Times New Roman" w:hAnsi="Times New Roman"/>
                <w:color w:val="auto"/>
                <w:szCs w:val="21"/>
              </w:rPr>
              <w:t>无组织</w:t>
            </w:r>
          </w:p>
        </w:tc>
      </w:tr>
      <w:tr w14:paraId="7FEC1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520" w:type="dxa"/>
            <w:vMerge w:val="restart"/>
            <w:vAlign w:val="center"/>
          </w:tcPr>
          <w:p w14:paraId="3B48E881">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地表水环境</w:t>
            </w:r>
          </w:p>
        </w:tc>
        <w:tc>
          <w:tcPr>
            <w:tcW w:w="1690" w:type="dxa"/>
            <w:gridSpan w:val="2"/>
            <w:vAlign w:val="center"/>
          </w:tcPr>
          <w:p w14:paraId="0DD333CD">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洗涤废水</w:t>
            </w:r>
          </w:p>
        </w:tc>
        <w:tc>
          <w:tcPr>
            <w:tcW w:w="1425" w:type="dxa"/>
            <w:vAlign w:val="center"/>
          </w:tcPr>
          <w:p w14:paraId="7667FBC0">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CODCr、BOD5、SS、氨氮、TP、TN、LAS</w:t>
            </w:r>
          </w:p>
        </w:tc>
        <w:tc>
          <w:tcPr>
            <w:tcW w:w="1769" w:type="dxa"/>
            <w:vMerge w:val="restart"/>
            <w:vAlign w:val="center"/>
          </w:tcPr>
          <w:p w14:paraId="31952A3A">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经三级沉淀</w:t>
            </w:r>
            <w:r>
              <w:rPr>
                <w:rFonts w:hint="eastAsia" w:ascii="Times New Roman" w:hAnsi="Times New Roman" w:cs="Times New Roman"/>
                <w:color w:val="auto"/>
                <w:szCs w:val="21"/>
                <w:lang w:val="en-US" w:eastAsia="zh-CN"/>
              </w:rPr>
              <w:t>池（40m³）</w:t>
            </w:r>
            <w:r>
              <w:rPr>
                <w:rFonts w:hint="eastAsia" w:ascii="Times New Roman" w:hAnsi="Times New Roman" w:eastAsia="宋体" w:cs="Times New Roman"/>
                <w:color w:val="auto"/>
                <w:szCs w:val="21"/>
                <w:lang w:val="en-US" w:eastAsia="zh-CN"/>
              </w:rPr>
              <w:t>处理达标后排入易天线市政污水管网，最终进入寻甸县污水处理厂统一处理</w:t>
            </w:r>
          </w:p>
        </w:tc>
        <w:tc>
          <w:tcPr>
            <w:tcW w:w="2479" w:type="dxa"/>
            <w:vMerge w:val="restart"/>
            <w:vAlign w:val="center"/>
          </w:tcPr>
          <w:p w14:paraId="7F11593A">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《污水排入城镇下水道水质标准》</w:t>
            </w:r>
          </w:p>
          <w:p w14:paraId="1AA39FA5">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（GB/T31962-2015）表1A等级标准</w:t>
            </w:r>
          </w:p>
        </w:tc>
      </w:tr>
      <w:tr w14:paraId="1064F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520" w:type="dxa"/>
            <w:vMerge w:val="continue"/>
            <w:vAlign w:val="center"/>
          </w:tcPr>
          <w:p w14:paraId="701BBEC7">
            <w:pPr>
              <w:adjustRightInd w:val="0"/>
              <w:snapToGrid w:val="0"/>
              <w:spacing w:line="360" w:lineRule="auto"/>
              <w:jc w:val="center"/>
              <w:rPr>
                <w:rFonts w:ascii="Times New Roman" w:hAnsi="Times New Roman"/>
                <w:color w:val="auto"/>
                <w:szCs w:val="21"/>
              </w:rPr>
            </w:pPr>
          </w:p>
        </w:tc>
        <w:tc>
          <w:tcPr>
            <w:tcW w:w="1690" w:type="dxa"/>
            <w:gridSpan w:val="2"/>
            <w:vAlign w:val="center"/>
          </w:tcPr>
          <w:p w14:paraId="01ED2930">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纯水制备废水、锅炉排污水</w:t>
            </w:r>
          </w:p>
        </w:tc>
        <w:tc>
          <w:tcPr>
            <w:tcW w:w="1425" w:type="dxa"/>
            <w:vAlign w:val="center"/>
          </w:tcPr>
          <w:p w14:paraId="585D0186">
            <w:pPr>
              <w:adjustRightInd w:val="0"/>
              <w:snapToGrid w:val="0"/>
              <w:spacing w:line="360" w:lineRule="auto"/>
              <w:jc w:val="center"/>
              <w:rPr>
                <w:rFonts w:hint="default" w:ascii="Times New Roman" w:hAnsi="Times New Roman" w:cs="Times New Roman"/>
                <w:color w:val="auto"/>
                <w:szCs w:val="21"/>
                <w:lang w:val="en-US" w:eastAsia="zh-CN"/>
              </w:rPr>
            </w:pPr>
            <w:r>
              <w:rPr>
                <w:rFonts w:ascii="Times New Roman" w:hAnsi="Times New Roman" w:cs="Times New Roman"/>
                <w:color w:val="auto"/>
                <w:szCs w:val="21"/>
              </w:rPr>
              <w:t>含盐类物质</w:t>
            </w:r>
            <w:r>
              <w:rPr>
                <w:rFonts w:ascii="Times New Roman" w:hAnsi="Times New Roman" w:cs="Times New Roman"/>
                <w:color w:val="auto"/>
                <w:spacing w:val="-20"/>
                <w:sz w:val="21"/>
                <w:szCs w:val="21"/>
              </w:rPr>
              <w:t>（Ca</w:t>
            </w:r>
            <w:r>
              <w:rPr>
                <w:rFonts w:ascii="Times New Roman" w:hAnsi="Times New Roman" w:cs="Times New Roman"/>
                <w:color w:val="auto"/>
                <w:spacing w:val="-20"/>
                <w:sz w:val="21"/>
                <w:szCs w:val="21"/>
                <w:vertAlign w:val="superscript"/>
              </w:rPr>
              <w:t>2+</w:t>
            </w:r>
            <w:r>
              <w:rPr>
                <w:rFonts w:ascii="Times New Roman" w:hAnsi="Times New Roman" w:cs="Times New Roman"/>
                <w:color w:val="auto"/>
                <w:spacing w:val="-20"/>
                <w:sz w:val="21"/>
                <w:szCs w:val="21"/>
              </w:rPr>
              <w:t>、Mg</w:t>
            </w:r>
            <w:r>
              <w:rPr>
                <w:rFonts w:ascii="Times New Roman" w:hAnsi="Times New Roman" w:cs="Times New Roman"/>
                <w:color w:val="auto"/>
                <w:spacing w:val="-20"/>
                <w:sz w:val="21"/>
                <w:szCs w:val="21"/>
                <w:vertAlign w:val="superscript"/>
              </w:rPr>
              <w:t>2+</w:t>
            </w:r>
            <w:r>
              <w:rPr>
                <w:rFonts w:ascii="Times New Roman" w:hAnsi="Times New Roman" w:cs="Times New Roman"/>
                <w:color w:val="auto"/>
                <w:spacing w:val="-20"/>
                <w:sz w:val="21"/>
                <w:szCs w:val="21"/>
              </w:rPr>
              <w:t>）</w:t>
            </w:r>
          </w:p>
        </w:tc>
        <w:tc>
          <w:tcPr>
            <w:tcW w:w="1769" w:type="dxa"/>
            <w:vMerge w:val="continue"/>
            <w:vAlign w:val="center"/>
          </w:tcPr>
          <w:p w14:paraId="43BB246B">
            <w:pPr>
              <w:adjustRightInd w:val="0"/>
              <w:snapToGrid w:val="0"/>
              <w:spacing w:line="360" w:lineRule="auto"/>
              <w:jc w:val="center"/>
              <w:rPr>
                <w:rFonts w:hint="eastAsia" w:ascii="Times New Roman" w:hAnsi="Times New Roman" w:eastAsia="宋体" w:cs="Times New Roman"/>
                <w:color w:val="auto"/>
                <w:sz w:val="21"/>
                <w:szCs w:val="21"/>
                <w:highlight w:val="none"/>
                <w:lang w:val="en-US" w:eastAsia="zh-CN"/>
              </w:rPr>
            </w:pPr>
          </w:p>
        </w:tc>
        <w:tc>
          <w:tcPr>
            <w:tcW w:w="2479" w:type="dxa"/>
            <w:vMerge w:val="continue"/>
            <w:vAlign w:val="center"/>
          </w:tcPr>
          <w:p w14:paraId="3B6CD3E5">
            <w:pPr>
              <w:adjustRightInd w:val="0"/>
              <w:snapToGrid w:val="0"/>
              <w:spacing w:line="360" w:lineRule="auto"/>
              <w:jc w:val="center"/>
              <w:rPr>
                <w:rFonts w:hint="eastAsia" w:ascii="Times New Roman" w:hAnsi="Times New Roman" w:eastAsia="宋体" w:cs="Times New Roman"/>
                <w:color w:val="auto"/>
                <w:sz w:val="21"/>
                <w:szCs w:val="21"/>
                <w:highlight w:val="none"/>
                <w:lang w:val="en-US" w:eastAsia="zh-CN"/>
              </w:rPr>
            </w:pPr>
          </w:p>
        </w:tc>
      </w:tr>
      <w:tr w14:paraId="75920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520" w:type="dxa"/>
            <w:vMerge w:val="continue"/>
            <w:vAlign w:val="center"/>
          </w:tcPr>
          <w:p w14:paraId="6CAA8815">
            <w:pPr>
              <w:adjustRightInd w:val="0"/>
              <w:snapToGrid w:val="0"/>
              <w:spacing w:line="360" w:lineRule="auto"/>
              <w:jc w:val="center"/>
              <w:rPr>
                <w:rFonts w:ascii="Times New Roman" w:hAnsi="Times New Roman"/>
                <w:color w:val="auto"/>
                <w:szCs w:val="21"/>
              </w:rPr>
            </w:pPr>
          </w:p>
        </w:tc>
        <w:tc>
          <w:tcPr>
            <w:tcW w:w="1690" w:type="dxa"/>
            <w:gridSpan w:val="2"/>
            <w:shd w:val="clear" w:color="auto" w:fill="auto"/>
            <w:vAlign w:val="center"/>
          </w:tcPr>
          <w:p w14:paraId="5136F1B9">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生活废水</w:t>
            </w:r>
          </w:p>
        </w:tc>
        <w:tc>
          <w:tcPr>
            <w:tcW w:w="1425" w:type="dxa"/>
            <w:shd w:val="clear" w:color="auto" w:fill="auto"/>
            <w:vAlign w:val="center"/>
          </w:tcPr>
          <w:p w14:paraId="40A886D3">
            <w:pPr>
              <w:adjustRightInd w:val="0"/>
              <w:snapToGrid w:val="0"/>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CODcr、BOD</w:t>
            </w:r>
            <w:r>
              <w:rPr>
                <w:rFonts w:hint="default" w:ascii="Times New Roman" w:hAnsi="Times New Roman" w:cs="Times New Roman"/>
                <w:color w:val="auto"/>
                <w:szCs w:val="21"/>
                <w:vertAlign w:val="superscript"/>
                <w:lang w:val="en-US" w:eastAsia="zh-CN"/>
              </w:rPr>
              <w:t>5</w:t>
            </w:r>
            <w:r>
              <w:rPr>
                <w:rFonts w:hint="default" w:ascii="Times New Roman" w:hAnsi="Times New Roman" w:cs="Times New Roman"/>
                <w:color w:val="auto"/>
                <w:szCs w:val="21"/>
                <w:lang w:val="en-US" w:eastAsia="zh-CN"/>
              </w:rPr>
              <w:t>、SS、氨氮、总磷</w:t>
            </w:r>
          </w:p>
        </w:tc>
        <w:tc>
          <w:tcPr>
            <w:tcW w:w="1769" w:type="dxa"/>
            <w:shd w:val="clear" w:color="auto" w:fill="auto"/>
            <w:vAlign w:val="center"/>
          </w:tcPr>
          <w:p w14:paraId="540AB7EE">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经化粪池（2m³）处理达标后排入易天线市政污水管网，最终进入寻甸县污水处理厂统一处理</w:t>
            </w:r>
          </w:p>
        </w:tc>
        <w:tc>
          <w:tcPr>
            <w:tcW w:w="2479" w:type="dxa"/>
            <w:vMerge w:val="continue"/>
            <w:shd w:val="clear" w:color="auto" w:fill="auto"/>
            <w:vAlign w:val="center"/>
          </w:tcPr>
          <w:p w14:paraId="43C8892B">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p>
        </w:tc>
      </w:tr>
      <w:tr w14:paraId="2B812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0" w:type="dxa"/>
            <w:vAlign w:val="center"/>
          </w:tcPr>
          <w:p w14:paraId="72EABF5B">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声环境</w:t>
            </w:r>
          </w:p>
        </w:tc>
        <w:tc>
          <w:tcPr>
            <w:tcW w:w="1690" w:type="dxa"/>
            <w:gridSpan w:val="2"/>
            <w:vAlign w:val="center"/>
          </w:tcPr>
          <w:p w14:paraId="44D51B65">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生产设备机械噪声</w:t>
            </w:r>
          </w:p>
        </w:tc>
        <w:tc>
          <w:tcPr>
            <w:tcW w:w="1425" w:type="dxa"/>
            <w:vAlign w:val="center"/>
          </w:tcPr>
          <w:p w14:paraId="0C32AF82">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噪声</w:t>
            </w:r>
          </w:p>
        </w:tc>
        <w:tc>
          <w:tcPr>
            <w:tcW w:w="1769" w:type="dxa"/>
            <w:vAlign w:val="center"/>
          </w:tcPr>
          <w:p w14:paraId="64AA17AD">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厂房隔声；安装减震垫；做好设备日常维护和保养工作，防止故障运行</w:t>
            </w:r>
          </w:p>
        </w:tc>
        <w:tc>
          <w:tcPr>
            <w:tcW w:w="2479" w:type="dxa"/>
            <w:vAlign w:val="center"/>
          </w:tcPr>
          <w:p w14:paraId="622F9162">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北、西、东侧执行《工业企业厂界环境噪声排放标准》（GB12348-2008）中2类标准，南侧执行《工业企业厂界环境噪声排放标准》（GB12348-2008）中</w:t>
            </w:r>
            <w:r>
              <w:rPr>
                <w:rFonts w:hint="eastAsia" w:ascii="Times New Roman" w:hAnsi="Times New Roman" w:cs="Times New Roman"/>
                <w:color w:val="auto"/>
                <w:szCs w:val="21"/>
                <w:lang w:val="en-US" w:eastAsia="zh-CN"/>
              </w:rPr>
              <w:t>4</w:t>
            </w:r>
            <w:r>
              <w:rPr>
                <w:rFonts w:hint="eastAsia" w:ascii="Times New Roman" w:hAnsi="Times New Roman" w:eastAsia="宋体" w:cs="Times New Roman"/>
                <w:color w:val="auto"/>
                <w:szCs w:val="21"/>
                <w:lang w:val="en-US" w:eastAsia="zh-CN"/>
              </w:rPr>
              <w:t>类标准</w:t>
            </w:r>
          </w:p>
        </w:tc>
      </w:tr>
      <w:tr w14:paraId="21C0E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520" w:type="dxa"/>
            <w:vAlign w:val="center"/>
          </w:tcPr>
          <w:p w14:paraId="600549A6">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电磁辐射</w:t>
            </w:r>
          </w:p>
        </w:tc>
        <w:tc>
          <w:tcPr>
            <w:tcW w:w="1690" w:type="dxa"/>
            <w:gridSpan w:val="2"/>
            <w:vAlign w:val="center"/>
          </w:tcPr>
          <w:p w14:paraId="0AE9C8D6">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1425" w:type="dxa"/>
            <w:vAlign w:val="center"/>
          </w:tcPr>
          <w:p w14:paraId="03CBBF0F">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1769" w:type="dxa"/>
            <w:vAlign w:val="center"/>
          </w:tcPr>
          <w:p w14:paraId="05C6C29E">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2479" w:type="dxa"/>
            <w:vAlign w:val="center"/>
          </w:tcPr>
          <w:p w14:paraId="58BE34CC">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r>
      <w:tr w14:paraId="09802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1520" w:type="dxa"/>
            <w:vAlign w:val="center"/>
          </w:tcPr>
          <w:p w14:paraId="105923AC">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固体废物</w:t>
            </w:r>
          </w:p>
        </w:tc>
        <w:tc>
          <w:tcPr>
            <w:tcW w:w="7363" w:type="dxa"/>
            <w:gridSpan w:val="5"/>
            <w:vAlign w:val="center"/>
          </w:tcPr>
          <w:p w14:paraId="5F9B8270">
            <w:pPr>
              <w:numPr>
                <w:ilvl w:val="0"/>
                <w:numId w:val="9"/>
              </w:numPr>
              <w:adjustRightInd w:val="0"/>
              <w:snapToGrid w:val="0"/>
              <w:spacing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一般固废：废包装袋收集后出售废品收购站；生物质燃烧灰渣、布袋除尘器收尘灰经编织袋收集后暂存于一般固废间，作为肥料给附近村民农田施用；沉淀池污泥污泥定期委托当地环卫部门清运处置</w:t>
            </w:r>
            <w:r>
              <w:rPr>
                <w:rFonts w:hint="eastAsia" w:ascii="Times New Roman" w:hAnsi="Times New Roman" w:cs="Times New Roman"/>
                <w:color w:val="auto"/>
                <w:sz w:val="21"/>
                <w:szCs w:val="21"/>
                <w:lang w:val="en-US" w:eastAsia="zh-CN"/>
              </w:rPr>
              <w:t>；</w:t>
            </w:r>
            <w:r>
              <w:rPr>
                <w:rFonts w:hint="eastAsia" w:ascii="Times New Roman" w:hAnsi="Times New Roman" w:cs="宋体"/>
                <w:color w:val="auto"/>
                <w:sz w:val="21"/>
                <w:szCs w:val="21"/>
                <w:lang w:val="en-US" w:eastAsia="zh-CN"/>
              </w:rPr>
              <w:t>废离子交换树脂</w:t>
            </w:r>
            <w:r>
              <w:rPr>
                <w:rFonts w:ascii="Times New Roman" w:hAnsi="Times New Roman"/>
                <w:color w:val="auto"/>
                <w:spacing w:val="12"/>
                <w:sz w:val="20"/>
                <w:szCs w:val="20"/>
              </w:rPr>
              <w:t>厂家更换后直接带走</w:t>
            </w:r>
            <w:r>
              <w:rPr>
                <w:rFonts w:hint="eastAsia" w:ascii="Times New Roman" w:hAnsi="Times New Roman" w:eastAsia="宋体" w:cs="Times New Roman"/>
                <w:color w:val="auto"/>
                <w:sz w:val="21"/>
                <w:szCs w:val="21"/>
                <w:lang w:val="en-US" w:eastAsia="zh-CN"/>
              </w:rPr>
              <w:t>。</w:t>
            </w:r>
          </w:p>
          <w:p w14:paraId="50F4729E">
            <w:pPr>
              <w:numPr>
                <w:ilvl w:val="0"/>
                <w:numId w:val="9"/>
              </w:numPr>
              <w:adjustRightInd w:val="0"/>
              <w:snapToGrid w:val="0"/>
              <w:spacing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r>
              <w:rPr>
                <w:rFonts w:hint="default" w:ascii="Times New Roman" w:hAnsi="Times New Roman" w:eastAsia="宋体" w:cs="Times New Roman"/>
                <w:color w:val="auto"/>
                <w:sz w:val="21"/>
                <w:szCs w:val="21"/>
                <w:lang w:val="en-US" w:eastAsia="zh-CN"/>
              </w:rPr>
              <w:t>废机油</w:t>
            </w:r>
            <w:r>
              <w:rPr>
                <w:rFonts w:hint="default" w:ascii="Times New Roman" w:hAnsi="Times New Roman" w:eastAsia="宋体" w:cs="Times New Roman"/>
                <w:color w:val="auto"/>
                <w:sz w:val="21"/>
                <w:szCs w:val="21"/>
              </w:rPr>
              <w:t>收集后暂存于危废暂存间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rPr>
              <w:t>交由有资质的单位清运处置</w:t>
            </w:r>
            <w:r>
              <w:rPr>
                <w:rFonts w:hint="eastAsia" w:ascii="Times New Roman" w:hAnsi="Times New Roman" w:eastAsia="宋体" w:cs="Times New Roman"/>
                <w:color w:val="auto"/>
                <w:sz w:val="21"/>
                <w:szCs w:val="21"/>
                <w:lang w:eastAsia="zh-CN"/>
              </w:rPr>
              <w:t>；</w:t>
            </w:r>
          </w:p>
          <w:p w14:paraId="4B323780">
            <w:pPr>
              <w:numPr>
                <w:ilvl w:val="0"/>
                <w:numId w:val="9"/>
              </w:numPr>
              <w:adjustRightInd w:val="0"/>
              <w:snapToGrid w:val="0"/>
              <w:spacing w:line="360" w:lineRule="auto"/>
              <w:rPr>
                <w:rFonts w:ascii="Times New Roman" w:hAnsi="Times New Roman"/>
                <w:color w:val="auto"/>
                <w:szCs w:val="21"/>
              </w:rPr>
            </w:pPr>
            <w:r>
              <w:rPr>
                <w:rFonts w:hint="eastAsia" w:ascii="Times New Roman" w:hAnsi="Times New Roman" w:eastAsia="宋体" w:cs="Times New Roman"/>
                <w:color w:val="auto"/>
                <w:sz w:val="21"/>
                <w:szCs w:val="21"/>
              </w:rPr>
              <w:t>生活垃圾</w:t>
            </w:r>
            <w:r>
              <w:rPr>
                <w:rFonts w:hint="eastAsia" w:ascii="Times New Roman" w:hAnsi="Times New Roman" w:eastAsia="宋体" w:cs="Times New Roman"/>
                <w:color w:val="auto"/>
                <w:sz w:val="21"/>
                <w:szCs w:val="21"/>
                <w:lang w:eastAsia="zh-CN"/>
              </w:rPr>
              <w:t>：</w:t>
            </w:r>
            <w:r>
              <w:rPr>
                <w:rFonts w:hint="eastAsia" w:ascii="Times New Roman" w:hAnsi="Times New Roman"/>
                <w:color w:val="auto"/>
                <w:lang w:val="en-US" w:eastAsia="zh-CN"/>
              </w:rPr>
              <w:t>生活垃圾经垃圾桶统一收集后，</w:t>
            </w:r>
            <w:r>
              <w:rPr>
                <w:rFonts w:hint="default" w:ascii="Times New Roman" w:hAnsi="Times New Roman"/>
                <w:color w:val="auto"/>
                <w:lang w:val="en-US" w:eastAsia="zh-CN"/>
              </w:rPr>
              <w:t>清运至最近的生活垃圾收集点</w:t>
            </w:r>
            <w:r>
              <w:rPr>
                <w:rFonts w:hint="eastAsia" w:ascii="Times New Roman" w:hAnsi="Times New Roman"/>
                <w:color w:val="auto"/>
                <w:lang w:val="en-US" w:eastAsia="zh-CN"/>
              </w:rPr>
              <w:t>由</w:t>
            </w:r>
            <w:r>
              <w:rPr>
                <w:rFonts w:hint="default" w:ascii="Times New Roman" w:hAnsi="Times New Roman"/>
                <w:color w:val="auto"/>
                <w:lang w:val="en-US" w:eastAsia="zh-CN"/>
              </w:rPr>
              <w:t>环卫部门清运处置</w:t>
            </w:r>
            <w:r>
              <w:rPr>
                <w:rFonts w:hint="eastAsia" w:ascii="Times New Roman" w:hAnsi="Times New Roman" w:eastAsia="宋体" w:cs="Times New Roman"/>
                <w:color w:val="auto"/>
                <w:sz w:val="21"/>
                <w:szCs w:val="21"/>
              </w:rPr>
              <w:t>。</w:t>
            </w:r>
          </w:p>
        </w:tc>
      </w:tr>
      <w:tr w14:paraId="32642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1520" w:type="dxa"/>
            <w:vAlign w:val="center"/>
          </w:tcPr>
          <w:p w14:paraId="603179E3">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土壤及地下水</w:t>
            </w:r>
          </w:p>
          <w:p w14:paraId="70CE4C0A">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污染防治措施</w:t>
            </w:r>
          </w:p>
        </w:tc>
        <w:tc>
          <w:tcPr>
            <w:tcW w:w="7363" w:type="dxa"/>
            <w:gridSpan w:val="5"/>
            <w:vAlign w:val="center"/>
          </w:tcPr>
          <w:p w14:paraId="38DE2044">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分区防渗：</w:t>
            </w:r>
            <w:r>
              <w:rPr>
                <w:rFonts w:hint="default" w:ascii="Times New Roman" w:hAnsi="Times New Roman" w:eastAsia="宋体" w:cs="Times New Roman"/>
                <w:color w:val="auto"/>
                <w:sz w:val="21"/>
                <w:szCs w:val="21"/>
                <w:lang w:val="en-US" w:eastAsia="zh-CN"/>
              </w:rPr>
              <w:t>重点防渗区，</w:t>
            </w:r>
            <w:r>
              <w:rPr>
                <w:rFonts w:hint="eastAsia" w:ascii="Times New Roman" w:hAnsi="Times New Roman" w:eastAsia="宋体" w:cs="Times New Roman"/>
                <w:color w:val="auto"/>
                <w:sz w:val="21"/>
                <w:szCs w:val="21"/>
                <w:lang w:val="en-US" w:eastAsia="zh-CN"/>
              </w:rPr>
              <w:t>危废暂存间地面及四周墙裙脚采用“抗渗混凝土+2mm 厚HDPE”进行重点防渗处理，渗透系数≤10</w:t>
            </w:r>
            <w:r>
              <w:rPr>
                <w:rFonts w:hint="eastAsia" w:ascii="Times New Roman" w:hAnsi="Times New Roman" w:eastAsia="宋体" w:cs="Times New Roman"/>
                <w:color w:val="auto"/>
                <w:sz w:val="21"/>
                <w:szCs w:val="21"/>
                <w:vertAlign w:val="superscript"/>
                <w:lang w:val="en-US" w:eastAsia="zh-CN"/>
              </w:rPr>
              <w:t>-10</w:t>
            </w:r>
            <w:r>
              <w:rPr>
                <w:rFonts w:hint="eastAsia" w:ascii="Times New Roman" w:hAnsi="Times New Roman" w:eastAsia="宋体" w:cs="Times New Roman"/>
                <w:color w:val="auto"/>
                <w:sz w:val="21"/>
                <w:szCs w:val="21"/>
                <w:lang w:val="en-US" w:eastAsia="zh-CN"/>
              </w:rPr>
              <w:t>cm/s ，并按照要求设置规范的标识、标牌</w:t>
            </w:r>
            <w:r>
              <w:rPr>
                <w:rFonts w:hint="default" w:ascii="Times New Roman" w:hAnsi="Times New Roman" w:eastAsia="宋体" w:cs="Times New Roman"/>
                <w:color w:val="auto"/>
                <w:sz w:val="21"/>
                <w:szCs w:val="21"/>
                <w:lang w:val="en-US" w:eastAsia="zh-CN"/>
              </w:rPr>
              <w:t>。一般防渗区：化粪池、</w:t>
            </w:r>
            <w:r>
              <w:rPr>
                <w:rFonts w:hint="eastAsia" w:ascii="Times New Roman" w:hAnsi="Times New Roman" w:cs="Times New Roman"/>
                <w:color w:val="auto"/>
                <w:sz w:val="21"/>
                <w:szCs w:val="21"/>
                <w:lang w:val="en-US" w:eastAsia="zh-CN"/>
              </w:rPr>
              <w:t>三级沉淀池、</w:t>
            </w:r>
            <w:r>
              <w:rPr>
                <w:rFonts w:hint="default" w:ascii="Times New Roman" w:hAnsi="Times New Roman" w:eastAsia="宋体" w:cs="Times New Roman"/>
                <w:color w:val="auto"/>
                <w:sz w:val="21"/>
                <w:szCs w:val="21"/>
                <w:lang w:val="en-US" w:eastAsia="zh-CN"/>
              </w:rPr>
              <w:t>一般固体废物暂存区</w:t>
            </w:r>
            <w:r>
              <w:rPr>
                <w:rFonts w:hint="eastAsia"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lang w:val="en-US" w:eastAsia="zh-CN"/>
              </w:rPr>
              <w:t>防渗技术要求达到等效黏土防渗层Mb≥1.5m，渗透系数≤10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cm/s。简单防渗区：其余生产区、道路及办公区域进行一般硬化处理。</w:t>
            </w:r>
          </w:p>
        </w:tc>
      </w:tr>
      <w:tr w14:paraId="7A178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20" w:type="dxa"/>
            <w:vAlign w:val="center"/>
          </w:tcPr>
          <w:p w14:paraId="46B46E25">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生态保护措施</w:t>
            </w:r>
          </w:p>
        </w:tc>
        <w:tc>
          <w:tcPr>
            <w:tcW w:w="7363" w:type="dxa"/>
            <w:gridSpan w:val="5"/>
            <w:vAlign w:val="center"/>
          </w:tcPr>
          <w:p w14:paraId="501947D2">
            <w:pPr>
              <w:adjustRightInd w:val="0"/>
              <w:snapToGrid w:val="0"/>
              <w:spacing w:line="360" w:lineRule="auto"/>
              <w:rPr>
                <w:rFonts w:ascii="Times New Roman" w:hAnsi="Times New Roman"/>
                <w:color w:val="auto"/>
                <w:szCs w:val="21"/>
              </w:rPr>
            </w:pPr>
            <w:r>
              <w:rPr>
                <w:rFonts w:ascii="Times New Roman" w:hAnsi="Times New Roman"/>
                <w:color w:val="auto"/>
                <w:spacing w:val="-1"/>
                <w:sz w:val="21"/>
                <w:szCs w:val="21"/>
              </w:rPr>
              <w:t>项目用地范围内无生态环境敏感目标，项目运行后保证污染物的达标排放，基本对生态环境无较大影响。</w:t>
            </w:r>
          </w:p>
        </w:tc>
      </w:tr>
      <w:tr w14:paraId="0CBA4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520" w:type="dxa"/>
            <w:vAlign w:val="center"/>
          </w:tcPr>
          <w:p w14:paraId="15B08604">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环境风险</w:t>
            </w:r>
          </w:p>
          <w:p w14:paraId="2D0CB999">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防范措施</w:t>
            </w:r>
          </w:p>
        </w:tc>
        <w:tc>
          <w:tcPr>
            <w:tcW w:w="7363" w:type="dxa"/>
            <w:gridSpan w:val="5"/>
            <w:vAlign w:val="center"/>
          </w:tcPr>
          <w:p w14:paraId="01424F9E">
            <w:pPr>
              <w:adjustRightInd w:val="0"/>
              <w:snapToGrid w:val="0"/>
              <w:spacing w:line="36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采用“水泥+2mm厚HDPE”</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p>
          <w:p w14:paraId="7935B9C7">
            <w:pPr>
              <w:adjustRightInd w:val="0"/>
              <w:snapToGrid w:val="0"/>
              <w:spacing w:line="36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p>
          <w:p w14:paraId="753C782F">
            <w:pPr>
              <w:adjustRightInd w:val="0"/>
              <w:snapToGrid w:val="0"/>
              <w:spacing w:line="360" w:lineRule="auto"/>
              <w:rPr>
                <w:rFonts w:ascii="Times New Roman" w:hAnsi="Times New Roman"/>
                <w:color w:val="auto"/>
                <w:szCs w:val="21"/>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w:t>
            </w:r>
            <w:r>
              <w:rPr>
                <w:rFonts w:hint="eastAsia" w:ascii="Times New Roman" w:hAnsi="Times New Roman" w:cs="Times New Roman"/>
                <w:color w:val="auto"/>
                <w:sz w:val="21"/>
                <w:szCs w:val="21"/>
                <w:highlight w:val="none"/>
                <w:lang w:val="en-US" w:eastAsia="zh-CN"/>
              </w:rPr>
              <w:t>寻甸</w:t>
            </w:r>
            <w:r>
              <w:rPr>
                <w:rFonts w:hint="default" w:ascii="Times New Roman" w:hAnsi="Times New Roman" w:eastAsia="宋体" w:cs="Times New Roman"/>
                <w:color w:val="auto"/>
                <w:sz w:val="21"/>
                <w:szCs w:val="21"/>
                <w:highlight w:val="none"/>
                <w:lang w:eastAsia="zh-CN"/>
              </w:rPr>
              <w:t>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备案。建立完善的应急报告制度，落实应急物资和经费，日常加强应急演练。</w:t>
            </w:r>
          </w:p>
        </w:tc>
      </w:tr>
      <w:tr w14:paraId="2465B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0" w:type="dxa"/>
            <w:vAlign w:val="center"/>
          </w:tcPr>
          <w:p w14:paraId="74EAD627">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其他环境</w:t>
            </w:r>
          </w:p>
          <w:p w14:paraId="132803B3">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管理要求</w:t>
            </w:r>
          </w:p>
        </w:tc>
        <w:tc>
          <w:tcPr>
            <w:tcW w:w="7363" w:type="dxa"/>
            <w:gridSpan w:val="5"/>
            <w:vAlign w:val="center"/>
          </w:tcPr>
          <w:p w14:paraId="2C3FB41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1、环境管理计划</w:t>
            </w:r>
          </w:p>
          <w:p w14:paraId="02EAA84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1）根据国家环保政策、标准及环境监测要求，制定该项目运行期环境管理规章制度、各种污染物排放指标。</w:t>
            </w:r>
          </w:p>
          <w:p w14:paraId="44502F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2）项目建成投产前建设单位应自行组织项目竣工环境保护验收工作，检查环保设施是否达到“三同时”要求。</w:t>
            </w:r>
          </w:p>
          <w:p w14:paraId="56D78CD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rPr>
              <w:t>3）加强环保设施的管理，定期检查</w:t>
            </w:r>
            <w:r>
              <w:rPr>
                <w:rFonts w:hint="eastAsia" w:ascii="Times New Roman" w:hAnsi="Times New Roman" w:eastAsia="宋体" w:cs="宋体"/>
                <w:color w:val="auto"/>
                <w:sz w:val="21"/>
                <w:szCs w:val="21"/>
                <w:highlight w:val="none"/>
                <w:lang w:val="en-US" w:eastAsia="zh-CN"/>
              </w:rPr>
              <w:t>厂</w:t>
            </w:r>
            <w:r>
              <w:rPr>
                <w:rFonts w:hint="eastAsia" w:ascii="Times New Roman" w:hAnsi="Times New Roman" w:eastAsia="宋体" w:cs="宋体"/>
                <w:color w:val="auto"/>
                <w:sz w:val="21"/>
                <w:szCs w:val="21"/>
                <w:highlight w:val="none"/>
              </w:rPr>
              <w:t>内环保设施运行情况。及时排除故障，保证环保设施正常运转</w:t>
            </w:r>
            <w:r>
              <w:rPr>
                <w:rFonts w:hint="eastAsia" w:ascii="Times New Roman" w:hAnsi="Times New Roman" w:eastAsia="宋体" w:cs="宋体"/>
                <w:color w:val="auto"/>
                <w:sz w:val="21"/>
                <w:szCs w:val="21"/>
                <w:highlight w:val="none"/>
                <w:lang w:eastAsia="zh-CN"/>
              </w:rPr>
              <w:t>。</w:t>
            </w:r>
          </w:p>
          <w:p w14:paraId="7DBB956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4）</w:t>
            </w:r>
            <w:r>
              <w:rPr>
                <w:rFonts w:hint="eastAsia" w:ascii="Times New Roman" w:hAnsi="Times New Roman" w:eastAsia="宋体" w:cs="宋体"/>
                <w:color w:val="auto"/>
                <w:sz w:val="21"/>
                <w:szCs w:val="21"/>
                <w:highlight w:val="none"/>
                <w:lang w:val="en-US" w:eastAsia="zh-CN"/>
              </w:rPr>
              <w:t>危险废物</w:t>
            </w:r>
            <w:r>
              <w:rPr>
                <w:rFonts w:hint="eastAsia" w:ascii="Times New Roman" w:hAnsi="Times New Roman" w:eastAsia="宋体" w:cs="宋体"/>
                <w:color w:val="auto"/>
                <w:sz w:val="21"/>
                <w:szCs w:val="21"/>
                <w:highlight w:val="none"/>
              </w:rPr>
              <w:t>的收集管理应由专人负责，分类收集。</w:t>
            </w:r>
          </w:p>
          <w:p w14:paraId="101A6E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5）运用经济、教育、行政、法律及其它手段，加强项目区内人员的环保意识，加强环境保护的自觉性，不断提高环境管理水平。</w:t>
            </w:r>
          </w:p>
          <w:p w14:paraId="698F41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6）配合当地环保监测机构，实施环境监测计划。</w:t>
            </w:r>
          </w:p>
          <w:p w14:paraId="54A4651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lang w:val="en-US" w:eastAsia="zh-CN"/>
              </w:rPr>
              <w:t>2</w:t>
            </w:r>
            <w:r>
              <w:rPr>
                <w:rFonts w:hint="eastAsia" w:ascii="Times New Roman" w:hAnsi="Times New Roman" w:eastAsia="宋体" w:cs="宋体"/>
                <w:b/>
                <w:bCs/>
                <w:color w:val="auto"/>
                <w:sz w:val="21"/>
                <w:szCs w:val="21"/>
                <w:highlight w:val="none"/>
              </w:rPr>
              <w:t xml:space="preserve">、排污许可证 </w:t>
            </w:r>
          </w:p>
          <w:p w14:paraId="75A0779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本项目为酒店布草、理发店毛巾等洗染服务，国民经济行业类别为“O8030洗染服务”，根据《固定污染源排污许可分类管理名录（2019版）》，项目属于“</w:t>
            </w:r>
            <w:r>
              <w:rPr>
                <w:rFonts w:hint="eastAsia" w:ascii="Times New Roman" w:hAnsi="Times New Roman" w:cs="宋体"/>
                <w:color w:val="auto"/>
                <w:sz w:val="21"/>
                <w:szCs w:val="21"/>
                <w:highlight w:val="none"/>
                <w:lang w:val="en-US" w:eastAsia="zh-CN"/>
              </w:rPr>
              <w:t>五十、</w:t>
            </w:r>
            <w:r>
              <w:rPr>
                <w:rFonts w:hint="eastAsia" w:ascii="Times New Roman" w:hAnsi="Times New Roman" w:eastAsia="宋体" w:cs="宋体"/>
                <w:color w:val="auto"/>
                <w:sz w:val="21"/>
                <w:szCs w:val="21"/>
                <w:highlight w:val="none"/>
                <w:lang w:val="en-US" w:eastAsia="zh-CN"/>
              </w:rPr>
              <w:t>其他</w:t>
            </w:r>
            <w:r>
              <w:rPr>
                <w:rFonts w:hint="eastAsia" w:ascii="Times New Roman" w:hAnsi="Times New Roman" w:cs="宋体"/>
                <w:color w:val="auto"/>
                <w:sz w:val="21"/>
                <w:szCs w:val="21"/>
                <w:highlight w:val="none"/>
                <w:lang w:val="en-US" w:eastAsia="zh-CN"/>
              </w:rPr>
              <w:t>行业中涉及通用工序登记管理的</w:t>
            </w:r>
            <w:r>
              <w:rPr>
                <w:rFonts w:hint="eastAsia" w:ascii="Times New Roman" w:hAnsi="Times New Roman" w:eastAsia="宋体" w:cs="宋体"/>
                <w:color w:val="auto"/>
                <w:sz w:val="21"/>
                <w:szCs w:val="21"/>
                <w:highlight w:val="none"/>
                <w:lang w:val="en-US" w:eastAsia="zh-CN"/>
              </w:rPr>
              <w:t>”</w:t>
            </w:r>
            <w:r>
              <w:rPr>
                <w:rFonts w:hint="eastAsia" w:ascii="Times New Roman" w:hAnsi="Times New Roman" w:eastAsia="宋体" w:cs="宋体"/>
                <w:color w:val="auto"/>
                <w:spacing w:val="4"/>
                <w:sz w:val="21"/>
                <w:szCs w:val="21"/>
              </w:rPr>
              <w:t>，</w:t>
            </w:r>
            <w:r>
              <w:rPr>
                <w:rFonts w:hint="eastAsia" w:ascii="Times New Roman" w:hAnsi="Times New Roman" w:eastAsia="宋体" w:cs="宋体"/>
                <w:color w:val="auto"/>
                <w:sz w:val="21"/>
                <w:szCs w:val="21"/>
                <w:highlight w:val="none"/>
                <w:lang w:val="en-US" w:eastAsia="zh-CN"/>
              </w:rPr>
              <w:t>需进行登记管理</w:t>
            </w:r>
            <w:r>
              <w:rPr>
                <w:rFonts w:hint="eastAsia" w:ascii="Times New Roman" w:hAnsi="Times New Roman" w:eastAsia="宋体" w:cs="宋体"/>
                <w:color w:val="auto"/>
                <w:sz w:val="21"/>
                <w:szCs w:val="21"/>
                <w:highlight w:val="none"/>
              </w:rPr>
              <w:t>。</w:t>
            </w:r>
          </w:p>
          <w:p w14:paraId="24905DF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lang w:val="en-US" w:eastAsia="zh-CN"/>
              </w:rPr>
              <w:t>3</w:t>
            </w:r>
            <w:r>
              <w:rPr>
                <w:rFonts w:hint="eastAsia" w:ascii="Times New Roman" w:hAnsi="Times New Roman" w:eastAsia="宋体" w:cs="宋体"/>
                <w:b/>
                <w:bCs/>
                <w:color w:val="auto"/>
                <w:sz w:val="21"/>
                <w:szCs w:val="21"/>
                <w:highlight w:val="none"/>
              </w:rPr>
              <w:t>、排污口规范化设置</w:t>
            </w:r>
          </w:p>
          <w:p w14:paraId="0CAAFE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排污口是</w:t>
            </w:r>
            <w:r>
              <w:rPr>
                <w:rFonts w:hint="eastAsia" w:ascii="Times New Roman" w:hAnsi="Times New Roman" w:eastAsia="宋体" w:cs="宋体"/>
                <w:color w:val="auto"/>
                <w:sz w:val="21"/>
                <w:szCs w:val="21"/>
                <w:highlight w:val="none"/>
                <w:lang w:val="en-US" w:eastAsia="zh-CN"/>
              </w:rPr>
              <w:t>项目运营期</w:t>
            </w:r>
            <w:r>
              <w:rPr>
                <w:rFonts w:hint="eastAsia" w:ascii="Times New Roman" w:hAnsi="Times New Roman" w:eastAsia="宋体" w:cs="宋体"/>
                <w:color w:val="auto"/>
                <w:sz w:val="21"/>
                <w:szCs w:val="21"/>
                <w:highlight w:val="none"/>
              </w:rPr>
              <w:t>污染物进入环境、污染环境的通道，强化总排口管理是实施污染物总量控制的基础工作之一，也是环境管理逐步实现污染物科学化、定量化的主要手段。</w:t>
            </w:r>
          </w:p>
          <w:p w14:paraId="3237EF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项目排放口设置满足以下要求：</w:t>
            </w:r>
          </w:p>
          <w:p w14:paraId="2CEAA5C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（1）污染物排放口，应按国家《环境保护图形标志排放口（源）》（GB15562.1-1995）的规定，设置国家环保总局统一制作的环境保护图形标志牌；本项目废气排放口和应设置相应标志，并进行专人管理。</w:t>
            </w:r>
          </w:p>
          <w:p w14:paraId="7351E0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eastAsia" w:ascii="Times New Roman" w:hAnsi="Times New Roman" w:eastAsia="宋体" w:cs="宋体"/>
                <w:color w:val="auto"/>
                <w:sz w:val="21"/>
                <w:szCs w:val="21"/>
                <w:highlight w:val="none"/>
                <w:lang w:eastAsia="zh-CN"/>
              </w:rPr>
              <w:t>。</w:t>
            </w:r>
          </w:p>
          <w:p w14:paraId="247671D0">
            <w:pPr>
              <w:adjustRightInd w:val="0"/>
              <w:snapToGrid w:val="0"/>
              <w:spacing w:line="360" w:lineRule="auto"/>
              <w:rPr>
                <w:rFonts w:ascii="Times New Roman" w:hAnsi="Times New Roman"/>
                <w:color w:val="auto"/>
                <w:szCs w:val="21"/>
              </w:rPr>
            </w:pPr>
          </w:p>
        </w:tc>
      </w:tr>
    </w:tbl>
    <w:p w14:paraId="4792CC4A">
      <w:pPr>
        <w:pStyle w:val="2"/>
        <w:bidi w:val="0"/>
        <w:jc w:val="center"/>
        <w:rPr>
          <w:rFonts w:hint="eastAsia" w:ascii="Times New Roman" w:hAnsi="Times New Roman" w:eastAsia="黑体" w:cs="Times New Roman"/>
          <w:b/>
          <w:bCs/>
          <w:color w:val="auto"/>
          <w:kern w:val="44"/>
          <w:sz w:val="30"/>
          <w:szCs w:val="30"/>
          <w:lang w:val="en-US" w:eastAsia="zh-CN" w:bidi="ar-SA"/>
        </w:rPr>
      </w:pPr>
      <w:r>
        <w:rPr>
          <w:rFonts w:ascii="Times New Roman" w:hAnsi="Times New Roman"/>
          <w:snapToGrid w:val="0"/>
          <w:color w:val="auto"/>
        </w:rPr>
        <w:br w:type="page"/>
      </w:r>
      <w:bookmarkStart w:id="14" w:name="_Toc8042"/>
      <w:r>
        <w:rPr>
          <w:rStyle w:val="105"/>
          <w:rFonts w:hint="eastAsia" w:ascii="Times New Roman" w:hAnsi="Times New Roman"/>
          <w:b/>
          <w:bCs/>
          <w:color w:val="auto"/>
          <w:lang w:val="en-US" w:eastAsia="zh-CN"/>
        </w:rPr>
        <w:t>六、结论</w:t>
      </w:r>
      <w:bookmarkEnd w:id="14"/>
    </w:p>
    <w:tbl>
      <w:tblPr>
        <w:tblStyle w:val="2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C052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EBAB464">
            <w:pPr>
              <w:snapToGrid w:val="0"/>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本项目符合国家产业政策，符合相关规划，</w:t>
            </w:r>
            <w:r>
              <w:rPr>
                <w:rFonts w:ascii="Times New Roman" w:hAnsi="Times New Roman"/>
                <w:color w:val="auto"/>
                <w:sz w:val="24"/>
              </w:rPr>
              <w:t>不涉及自然保护区、风景名胜区、水源保护区等环境敏感区，与周围居民点、学校、医院等关心点距离较远，选址合理。</w:t>
            </w:r>
            <w:r>
              <w:rPr>
                <w:rFonts w:hint="eastAsia" w:ascii="Times New Roman" w:hAnsi="Times New Roman" w:cs="宋体"/>
                <w:color w:val="auto"/>
                <w:sz w:val="24"/>
              </w:rPr>
              <w:t>在采</w:t>
            </w:r>
            <w:r>
              <w:rPr>
                <w:rFonts w:ascii="Times New Roman" w:hAnsi="Times New Roman"/>
                <w:color w:val="auto"/>
                <w:sz w:val="24"/>
              </w:rPr>
              <w:t>取相关环保措施后，项目产生的废气、</w:t>
            </w:r>
            <w:r>
              <w:rPr>
                <w:rFonts w:hint="eastAsia" w:ascii="Times New Roman" w:hAnsi="Times New Roman"/>
                <w:color w:val="auto"/>
                <w:sz w:val="24"/>
                <w:lang w:val="en-US" w:eastAsia="zh-CN"/>
              </w:rPr>
              <w:t>废水、</w:t>
            </w:r>
            <w:r>
              <w:rPr>
                <w:rFonts w:ascii="Times New Roman" w:hAnsi="Times New Roman"/>
                <w:color w:val="auto"/>
                <w:sz w:val="24"/>
              </w:rPr>
              <w:t>噪声能达标排放，固废妥善处置率100%</w:t>
            </w:r>
            <w:r>
              <w:rPr>
                <w:rFonts w:hint="eastAsia" w:ascii="Times New Roman" w:hAnsi="Times New Roman"/>
                <w:color w:val="auto"/>
                <w:sz w:val="24"/>
              </w:rPr>
              <w:t>，</w:t>
            </w:r>
            <w:r>
              <w:rPr>
                <w:rFonts w:ascii="Times New Roman" w:hAnsi="Times New Roman"/>
                <w:color w:val="auto"/>
                <w:sz w:val="24"/>
              </w:rPr>
              <w:t>对所在区域的环境质量</w:t>
            </w:r>
            <w:r>
              <w:rPr>
                <w:rFonts w:hint="eastAsia" w:ascii="Times New Roman" w:hAnsi="Times New Roman"/>
                <w:color w:val="auto"/>
                <w:sz w:val="24"/>
              </w:rPr>
              <w:t>及环境保护目标</w:t>
            </w:r>
            <w:r>
              <w:rPr>
                <w:rFonts w:ascii="Times New Roman" w:hAnsi="Times New Roman"/>
                <w:color w:val="auto"/>
                <w:sz w:val="24"/>
              </w:rPr>
              <w:t>影响较小。符合达标排放、总量控制和不降低当地环境功能的原则要求，符合国家法律法规要求。</w:t>
            </w:r>
          </w:p>
          <w:p w14:paraId="41D1C829">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本项目在严格执行环境保护“三同时”制度，严格进行环境管理，保证项目内的废气处理设施及其他环保设施的正常运行，污染物达标排放的条件下，从环境保护角度论证，本项目的建设是可行的</w:t>
            </w:r>
            <w:r>
              <w:rPr>
                <w:rFonts w:hint="eastAsia" w:ascii="Times New Roman" w:hAnsi="Times New Roman"/>
                <w:color w:val="auto"/>
                <w:sz w:val="24"/>
              </w:rPr>
              <w:t>。</w:t>
            </w:r>
          </w:p>
          <w:p w14:paraId="75EF08D8">
            <w:pPr>
              <w:spacing w:line="360" w:lineRule="auto"/>
              <w:ind w:firstLine="480" w:firstLineChars="200"/>
              <w:rPr>
                <w:rFonts w:ascii="Times New Roman" w:hAnsi="Times New Roman" w:cs="宋体"/>
                <w:color w:val="auto"/>
                <w:sz w:val="24"/>
              </w:rPr>
            </w:pPr>
          </w:p>
        </w:tc>
      </w:tr>
    </w:tbl>
    <w:p w14:paraId="13404855">
      <w:pPr>
        <w:rPr>
          <w:rFonts w:ascii="Times New Roman" w:hAnsi="Times New Roman"/>
          <w:color w:val="auto"/>
        </w:rPr>
        <w:sectPr>
          <w:footerReference r:id="rId5" w:type="default"/>
          <w:pgSz w:w="11905" w:h="16838"/>
          <w:pgMar w:top="1440" w:right="1800" w:bottom="1440" w:left="1800" w:header="851" w:footer="850" w:gutter="0"/>
          <w:pgNumType w:fmt="decimal"/>
          <w:cols w:space="0" w:num="1"/>
          <w:docGrid w:linePitch="312" w:charSpace="0"/>
        </w:sectPr>
      </w:pPr>
    </w:p>
    <w:p w14:paraId="670505EA">
      <w:pPr>
        <w:pStyle w:val="2"/>
        <w:jc w:val="left"/>
        <w:rPr>
          <w:rFonts w:hint="eastAsia" w:ascii="Times New Roman" w:hAnsi="Times New Roman" w:eastAsia="黑体"/>
          <w:color w:val="auto"/>
          <w:lang w:eastAsia="zh-CN"/>
        </w:rPr>
      </w:pPr>
      <w:bookmarkStart w:id="15" w:name="_Toc19490"/>
      <w:bookmarkStart w:id="16" w:name="_Toc9606"/>
      <w:r>
        <w:rPr>
          <w:rFonts w:hint="eastAsia" w:ascii="Times New Roman" w:hAnsi="Times New Roman"/>
          <w:color w:val="auto"/>
        </w:rPr>
        <w:t>附</w:t>
      </w:r>
      <w:bookmarkEnd w:id="15"/>
      <w:r>
        <w:rPr>
          <w:rFonts w:hint="eastAsia" w:ascii="Times New Roman" w:hAnsi="Times New Roman"/>
          <w:color w:val="auto"/>
          <w:lang w:val="en-US" w:eastAsia="zh-CN"/>
        </w:rPr>
        <w:t>表1：</w:t>
      </w:r>
      <w:bookmarkEnd w:id="16"/>
    </w:p>
    <w:p w14:paraId="3A7209C4">
      <w:pPr>
        <w:pStyle w:val="26"/>
        <w:adjustRightInd w:val="0"/>
        <w:snapToGrid w:val="0"/>
        <w:spacing w:before="0" w:beforeAutospacing="0" w:after="0" w:afterAutospacing="0"/>
        <w:jc w:val="center"/>
        <w:outlineLvl w:val="0"/>
        <w:rPr>
          <w:rFonts w:ascii="Times New Roman" w:hAnsi="Times New Roman" w:eastAsia="方正小标宋_GBK"/>
          <w:snapToGrid w:val="0"/>
          <w:color w:val="auto"/>
          <w:sz w:val="36"/>
          <w:szCs w:val="36"/>
        </w:rPr>
      </w:pPr>
      <w:r>
        <w:rPr>
          <w:rFonts w:hint="eastAsia" w:ascii="Times New Roman" w:hAnsi="Times New Roman" w:eastAsia="方正小标宋_GBK"/>
          <w:snapToGrid w:val="0"/>
          <w:color w:val="auto"/>
          <w:sz w:val="36"/>
          <w:szCs w:val="36"/>
        </w:rPr>
        <w:t>建设项目污染物排放量汇总表</w:t>
      </w:r>
    </w:p>
    <w:tbl>
      <w:tblPr>
        <w:tblStyle w:val="28"/>
        <w:tblW w:w="134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769"/>
        <w:gridCol w:w="1663"/>
        <w:gridCol w:w="1246"/>
        <w:gridCol w:w="1361"/>
        <w:gridCol w:w="1452"/>
        <w:gridCol w:w="1478"/>
        <w:gridCol w:w="1642"/>
        <w:gridCol w:w="1696"/>
      </w:tblGrid>
      <w:tr w14:paraId="1D4A8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169" w:type="dxa"/>
            <w:tcBorders>
              <w:tl2br w:val="single" w:color="auto" w:sz="4" w:space="0"/>
            </w:tcBorders>
            <w:tcMar>
              <w:left w:w="28" w:type="dxa"/>
              <w:right w:w="28" w:type="dxa"/>
            </w:tcMar>
            <w:vAlign w:val="center"/>
          </w:tcPr>
          <w:p w14:paraId="3CF4D907">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cs="Times New Roman"/>
                <w:b/>
                <w:bCs/>
                <w:snapToGrid w:val="0"/>
                <w:color w:val="auto"/>
                <w:kern w:val="21"/>
                <w:sz w:val="18"/>
                <w:szCs w:val="21"/>
                <w:lang w:val="en-US" w:eastAsia="zh-CN" w:bidi="ar-SA"/>
              </w:rPr>
              <w:t xml:space="preserve">       </w:t>
            </w:r>
            <w:r>
              <w:rPr>
                <w:rFonts w:hint="eastAsia" w:ascii="Times New Roman" w:hAnsi="Times New Roman" w:eastAsia="宋体" w:cs="Times New Roman"/>
                <w:b/>
                <w:bCs/>
                <w:snapToGrid w:val="0"/>
                <w:color w:val="auto"/>
                <w:kern w:val="21"/>
                <w:sz w:val="18"/>
                <w:szCs w:val="21"/>
                <w:lang w:val="en-US" w:eastAsia="zh-CN" w:bidi="ar-SA"/>
              </w:rPr>
              <w:t>项目</w:t>
            </w:r>
          </w:p>
          <w:p w14:paraId="7951464E">
            <w:pPr>
              <w:ind w:firstLine="181" w:firstLineChars="100"/>
              <w:jc w:val="both"/>
              <w:rPr>
                <w:rFonts w:hint="eastAsia" w:ascii="Times New Roman" w:hAnsi="Times New Roman" w:eastAsia="宋体" w:cs="Times New Roman"/>
                <w:b/>
                <w:bCs/>
                <w:snapToGrid w:val="0"/>
                <w:color w:val="auto"/>
                <w:kern w:val="21"/>
                <w:sz w:val="18"/>
                <w:szCs w:val="21"/>
                <w:lang w:val="en-US" w:eastAsia="zh-CN" w:bidi="ar-SA"/>
              </w:rPr>
            </w:pPr>
          </w:p>
          <w:p w14:paraId="47C2C48B">
            <w:pPr>
              <w:ind w:firstLine="181" w:firstLineChars="100"/>
              <w:jc w:val="both"/>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分类</w:t>
            </w:r>
          </w:p>
        </w:tc>
        <w:tc>
          <w:tcPr>
            <w:tcW w:w="1769" w:type="dxa"/>
            <w:tcMar>
              <w:left w:w="28" w:type="dxa"/>
              <w:right w:w="28" w:type="dxa"/>
            </w:tcMar>
            <w:vAlign w:val="center"/>
          </w:tcPr>
          <w:p w14:paraId="36829720">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污染物名称</w:t>
            </w:r>
          </w:p>
        </w:tc>
        <w:tc>
          <w:tcPr>
            <w:tcW w:w="1663" w:type="dxa"/>
            <w:tcMar>
              <w:left w:w="28" w:type="dxa"/>
              <w:right w:w="28" w:type="dxa"/>
            </w:tcMar>
            <w:vAlign w:val="center"/>
          </w:tcPr>
          <w:p w14:paraId="3E869DA1">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现有工程</w:t>
            </w:r>
          </w:p>
          <w:p w14:paraId="673A368F">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=1\*GB3\*MERGEFORMAT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①</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246" w:type="dxa"/>
            <w:tcMar>
              <w:left w:w="28" w:type="dxa"/>
              <w:right w:w="28" w:type="dxa"/>
            </w:tcMar>
            <w:vAlign w:val="center"/>
          </w:tcPr>
          <w:p w14:paraId="78E96B20">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现有工程</w:t>
            </w:r>
          </w:p>
          <w:p w14:paraId="405450C5">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许可排放量</w:t>
            </w:r>
          </w:p>
          <w:p w14:paraId="4E318BAB">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=2\*GB3\*MERGEFORMAT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②</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361" w:type="dxa"/>
            <w:tcMar>
              <w:left w:w="28" w:type="dxa"/>
              <w:right w:w="28" w:type="dxa"/>
            </w:tcMar>
            <w:vAlign w:val="center"/>
          </w:tcPr>
          <w:p w14:paraId="7446BA91">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在建工程</w:t>
            </w:r>
          </w:p>
          <w:p w14:paraId="482CD96F">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=3\*GB3\*MERGEFORMAT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③</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452" w:type="dxa"/>
            <w:tcMar>
              <w:left w:w="28" w:type="dxa"/>
              <w:right w:w="28" w:type="dxa"/>
            </w:tcMar>
            <w:vAlign w:val="center"/>
          </w:tcPr>
          <w:p w14:paraId="25646729">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本项目</w:t>
            </w:r>
          </w:p>
          <w:p w14:paraId="71AF0BEC">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=4\*GB3\*MERGEFORMAT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④</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478" w:type="dxa"/>
            <w:tcMar>
              <w:left w:w="28" w:type="dxa"/>
              <w:right w:w="28" w:type="dxa"/>
            </w:tcMar>
            <w:vAlign w:val="center"/>
          </w:tcPr>
          <w:p w14:paraId="020DB2B1">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以新带老削减量（新建项目不填）</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=5\*GB3\*MERGEFORMAT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⑤</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642" w:type="dxa"/>
            <w:tcMar>
              <w:left w:w="28" w:type="dxa"/>
              <w:right w:w="28" w:type="dxa"/>
            </w:tcMar>
            <w:vAlign w:val="center"/>
          </w:tcPr>
          <w:p w14:paraId="5D6C91E6">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本项目建成后</w:t>
            </w:r>
          </w:p>
          <w:p w14:paraId="4908D1A1">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全厂排放量（固体废物产生量）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=6\*GB3\*MERGEFORMAT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⑥</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696" w:type="dxa"/>
            <w:tcMar>
              <w:left w:w="28" w:type="dxa"/>
              <w:right w:w="28" w:type="dxa"/>
            </w:tcMar>
            <w:vAlign w:val="center"/>
          </w:tcPr>
          <w:p w14:paraId="36C1566E">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变化量</w:t>
            </w:r>
          </w:p>
          <w:p w14:paraId="54CC2187">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=7\*GB3\*MERGEFORMAT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⑦</w:t>
            </w:r>
            <w:r>
              <w:rPr>
                <w:rFonts w:hint="eastAsia" w:ascii="Times New Roman" w:hAnsi="Times New Roman" w:eastAsia="宋体" w:cs="Times New Roman"/>
                <w:b/>
                <w:bCs/>
                <w:snapToGrid w:val="0"/>
                <w:color w:val="auto"/>
                <w:kern w:val="21"/>
                <w:sz w:val="18"/>
                <w:szCs w:val="21"/>
                <w:lang w:val="en-US" w:eastAsia="zh-CN" w:bidi="ar-SA"/>
              </w:rPr>
              <w:fldChar w:fldCharType="end"/>
            </w:r>
          </w:p>
        </w:tc>
      </w:tr>
      <w:tr w14:paraId="5DEBD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14:paraId="48D961A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废气</w:t>
            </w:r>
          </w:p>
        </w:tc>
        <w:tc>
          <w:tcPr>
            <w:tcW w:w="1769" w:type="dxa"/>
            <w:vAlign w:val="center"/>
          </w:tcPr>
          <w:p w14:paraId="795C9BA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废气量</w:t>
            </w:r>
          </w:p>
        </w:tc>
        <w:tc>
          <w:tcPr>
            <w:tcW w:w="1663" w:type="dxa"/>
            <w:vAlign w:val="center"/>
          </w:tcPr>
          <w:p w14:paraId="46137D9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0151ABF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18212F0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53F78CF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c>
          <w:tcPr>
            <w:tcW w:w="1478" w:type="dxa"/>
            <w:vAlign w:val="center"/>
          </w:tcPr>
          <w:p w14:paraId="46D3279C">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3D4A712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c>
          <w:tcPr>
            <w:tcW w:w="1696" w:type="dxa"/>
            <w:vAlign w:val="center"/>
          </w:tcPr>
          <w:p w14:paraId="679BB72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r>
      <w:tr w14:paraId="653F3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5B399947">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2682423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颗粒物</w:t>
            </w:r>
          </w:p>
        </w:tc>
        <w:tc>
          <w:tcPr>
            <w:tcW w:w="1663" w:type="dxa"/>
            <w:vAlign w:val="center"/>
          </w:tcPr>
          <w:p w14:paraId="71F0E42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30AC8E2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0266730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254EE98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c>
          <w:tcPr>
            <w:tcW w:w="1478" w:type="dxa"/>
            <w:vAlign w:val="center"/>
          </w:tcPr>
          <w:p w14:paraId="60944ED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46BB5CA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c>
          <w:tcPr>
            <w:tcW w:w="1696" w:type="dxa"/>
            <w:vAlign w:val="center"/>
          </w:tcPr>
          <w:p w14:paraId="49BE005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r>
      <w:tr w14:paraId="21A65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016AA726">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2C62E06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二氧化硫</w:t>
            </w:r>
          </w:p>
        </w:tc>
        <w:tc>
          <w:tcPr>
            <w:tcW w:w="1663" w:type="dxa"/>
            <w:vAlign w:val="center"/>
          </w:tcPr>
          <w:p w14:paraId="65185F8B">
            <w:pPr>
              <w:jc w:val="center"/>
              <w:rPr>
                <w:rFonts w:hint="eastAsia" w:ascii="Times New Roman" w:hAnsi="Times New Roman" w:eastAsia="宋体" w:cs="Times New Roman"/>
                <w:snapToGrid w:val="0"/>
                <w:color w:val="auto"/>
                <w:kern w:val="21"/>
                <w:sz w:val="18"/>
                <w:szCs w:val="21"/>
                <w:lang w:val="en-US" w:eastAsia="zh-CN" w:bidi="ar-SA"/>
              </w:rPr>
            </w:pPr>
          </w:p>
        </w:tc>
        <w:tc>
          <w:tcPr>
            <w:tcW w:w="1246" w:type="dxa"/>
            <w:vAlign w:val="center"/>
          </w:tcPr>
          <w:p w14:paraId="3B949FEB">
            <w:pPr>
              <w:jc w:val="center"/>
              <w:rPr>
                <w:rFonts w:hint="eastAsia" w:ascii="Times New Roman" w:hAnsi="Times New Roman" w:eastAsia="宋体" w:cs="Times New Roman"/>
                <w:snapToGrid w:val="0"/>
                <w:color w:val="auto"/>
                <w:kern w:val="21"/>
                <w:sz w:val="18"/>
                <w:szCs w:val="21"/>
                <w:lang w:val="en-US" w:eastAsia="zh-CN" w:bidi="ar-SA"/>
              </w:rPr>
            </w:pPr>
          </w:p>
        </w:tc>
        <w:tc>
          <w:tcPr>
            <w:tcW w:w="1361" w:type="dxa"/>
            <w:vAlign w:val="center"/>
          </w:tcPr>
          <w:p w14:paraId="602ECA54">
            <w:pPr>
              <w:jc w:val="center"/>
              <w:rPr>
                <w:rFonts w:hint="eastAsia" w:ascii="Times New Roman" w:hAnsi="Times New Roman" w:eastAsia="宋体" w:cs="Times New Roman"/>
                <w:snapToGrid w:val="0"/>
                <w:color w:val="auto"/>
                <w:kern w:val="21"/>
                <w:sz w:val="18"/>
                <w:szCs w:val="21"/>
                <w:lang w:val="en-US" w:eastAsia="zh-CN" w:bidi="ar-SA"/>
              </w:rPr>
            </w:pPr>
          </w:p>
        </w:tc>
        <w:tc>
          <w:tcPr>
            <w:tcW w:w="1452" w:type="dxa"/>
            <w:vAlign w:val="center"/>
          </w:tcPr>
          <w:p w14:paraId="77DB61D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478" w:type="dxa"/>
            <w:vAlign w:val="center"/>
          </w:tcPr>
          <w:p w14:paraId="2FF48C71">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73C80DE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696" w:type="dxa"/>
            <w:vAlign w:val="center"/>
          </w:tcPr>
          <w:p w14:paraId="63E0F5B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r>
      <w:tr w14:paraId="0DC80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092BC20D">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5DFC1AD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氮氧化物</w:t>
            </w:r>
          </w:p>
        </w:tc>
        <w:tc>
          <w:tcPr>
            <w:tcW w:w="1663" w:type="dxa"/>
            <w:shd w:val="clear" w:color="auto" w:fill="auto"/>
            <w:vAlign w:val="center"/>
          </w:tcPr>
          <w:p w14:paraId="017EE5F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2B3B4A3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1F72515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14:paraId="203B50C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478" w:type="dxa"/>
            <w:shd w:val="clear" w:color="auto" w:fill="auto"/>
            <w:vAlign w:val="center"/>
          </w:tcPr>
          <w:p w14:paraId="2A5A39F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14:paraId="5392CC9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696" w:type="dxa"/>
            <w:shd w:val="clear" w:color="auto" w:fill="auto"/>
            <w:vAlign w:val="center"/>
          </w:tcPr>
          <w:p w14:paraId="701802E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r>
      <w:tr w14:paraId="38166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14:paraId="6E315C3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废水</w:t>
            </w:r>
          </w:p>
        </w:tc>
        <w:tc>
          <w:tcPr>
            <w:tcW w:w="1769" w:type="dxa"/>
            <w:shd w:val="clear" w:color="auto" w:fill="auto"/>
            <w:vAlign w:val="center"/>
          </w:tcPr>
          <w:p w14:paraId="2771D8E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废水量</w:t>
            </w:r>
          </w:p>
        </w:tc>
        <w:tc>
          <w:tcPr>
            <w:tcW w:w="1663" w:type="dxa"/>
            <w:shd w:val="clear" w:color="auto" w:fill="auto"/>
            <w:vAlign w:val="center"/>
          </w:tcPr>
          <w:p w14:paraId="74E9116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4488E87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5E333F8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6AA7AE5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10759.2m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c>
          <w:tcPr>
            <w:tcW w:w="1478" w:type="dxa"/>
            <w:vAlign w:val="center"/>
          </w:tcPr>
          <w:p w14:paraId="45A74FC5">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1A533CD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10759.2m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c>
          <w:tcPr>
            <w:tcW w:w="1696" w:type="dxa"/>
            <w:vAlign w:val="center"/>
          </w:tcPr>
          <w:p w14:paraId="7A00CFE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+10759.2m</w:t>
            </w:r>
            <w:r>
              <w:rPr>
                <w:rFonts w:hint="eastAsia" w:ascii="Times New Roman" w:hAnsi="Times New Roman" w:eastAsia="宋体" w:cs="Times New Roman"/>
                <w:snapToGrid w:val="0"/>
                <w:color w:val="auto"/>
                <w:kern w:val="21"/>
                <w:sz w:val="18"/>
                <w:szCs w:val="21"/>
                <w:vertAlign w:val="superscript"/>
                <w:lang w:val="en-US" w:eastAsia="zh-CN" w:bidi="ar-SA"/>
              </w:rPr>
              <w:t>3</w:t>
            </w:r>
            <w:r>
              <w:rPr>
                <w:rFonts w:hint="eastAsia" w:ascii="Times New Roman" w:hAnsi="Times New Roman" w:eastAsia="宋体" w:cs="Times New Roman"/>
                <w:snapToGrid w:val="0"/>
                <w:color w:val="auto"/>
                <w:kern w:val="21"/>
                <w:sz w:val="18"/>
                <w:szCs w:val="21"/>
                <w:lang w:val="en-US" w:eastAsia="zh-CN" w:bidi="ar-SA"/>
              </w:rPr>
              <w:t>/a</w:t>
            </w:r>
          </w:p>
        </w:tc>
      </w:tr>
      <w:tr w14:paraId="7EB7A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69" w:type="dxa"/>
            <w:vMerge w:val="continue"/>
            <w:vAlign w:val="center"/>
          </w:tcPr>
          <w:p w14:paraId="67A9F97E">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209D60A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CODcr</w:t>
            </w:r>
          </w:p>
        </w:tc>
        <w:tc>
          <w:tcPr>
            <w:tcW w:w="1663" w:type="dxa"/>
            <w:shd w:val="clear" w:color="auto" w:fill="auto"/>
            <w:vAlign w:val="center"/>
          </w:tcPr>
          <w:p w14:paraId="6CB96E7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2F67811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53867F1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14:paraId="0BBE832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3.623</w:t>
            </w:r>
            <w:r>
              <w:rPr>
                <w:rFonts w:hint="eastAsia" w:ascii="Times New Roman" w:hAnsi="Times New Roman" w:eastAsia="宋体" w:cs="Times New Roman"/>
                <w:snapToGrid w:val="0"/>
                <w:color w:val="auto"/>
                <w:kern w:val="21"/>
                <w:sz w:val="18"/>
                <w:szCs w:val="21"/>
                <w:lang w:val="en-US" w:eastAsia="zh-CN" w:bidi="ar-SA"/>
              </w:rPr>
              <w:t>t/a</w:t>
            </w:r>
          </w:p>
        </w:tc>
        <w:tc>
          <w:tcPr>
            <w:tcW w:w="1478" w:type="dxa"/>
            <w:shd w:val="clear" w:color="auto" w:fill="auto"/>
            <w:vAlign w:val="center"/>
          </w:tcPr>
          <w:p w14:paraId="15FC307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14:paraId="62F0827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3.623</w:t>
            </w:r>
            <w:r>
              <w:rPr>
                <w:rFonts w:hint="eastAsia" w:ascii="Times New Roman" w:hAnsi="Times New Roman" w:eastAsia="宋体" w:cs="Times New Roman"/>
                <w:snapToGrid w:val="0"/>
                <w:color w:val="auto"/>
                <w:kern w:val="21"/>
                <w:sz w:val="18"/>
                <w:szCs w:val="21"/>
                <w:lang w:val="en-US" w:eastAsia="zh-CN" w:bidi="ar-SA"/>
              </w:rPr>
              <w:t>t/a</w:t>
            </w:r>
          </w:p>
        </w:tc>
        <w:tc>
          <w:tcPr>
            <w:tcW w:w="1696" w:type="dxa"/>
            <w:shd w:val="clear" w:color="auto" w:fill="auto"/>
            <w:vAlign w:val="center"/>
          </w:tcPr>
          <w:p w14:paraId="6E07F87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+3.623</w:t>
            </w:r>
            <w:r>
              <w:rPr>
                <w:rFonts w:hint="eastAsia" w:ascii="Times New Roman" w:hAnsi="Times New Roman" w:eastAsia="宋体" w:cs="Times New Roman"/>
                <w:snapToGrid w:val="0"/>
                <w:color w:val="auto"/>
                <w:kern w:val="21"/>
                <w:sz w:val="18"/>
                <w:szCs w:val="21"/>
                <w:lang w:val="en-US" w:eastAsia="zh-CN" w:bidi="ar-SA"/>
              </w:rPr>
              <w:t>t/a</w:t>
            </w:r>
          </w:p>
        </w:tc>
      </w:tr>
      <w:tr w14:paraId="76090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69" w:type="dxa"/>
            <w:vMerge w:val="continue"/>
            <w:vAlign w:val="center"/>
          </w:tcPr>
          <w:p w14:paraId="250617BA">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0285740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BOD5</w:t>
            </w:r>
          </w:p>
        </w:tc>
        <w:tc>
          <w:tcPr>
            <w:tcW w:w="1663" w:type="dxa"/>
            <w:vAlign w:val="center"/>
          </w:tcPr>
          <w:p w14:paraId="212D4B9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55710D9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4B83009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5B226D8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1.3059</w:t>
            </w:r>
            <w:r>
              <w:rPr>
                <w:rFonts w:hint="eastAsia" w:ascii="Times New Roman" w:hAnsi="Times New Roman" w:eastAsia="宋体" w:cs="Times New Roman"/>
                <w:snapToGrid w:val="0"/>
                <w:color w:val="auto"/>
                <w:kern w:val="21"/>
                <w:sz w:val="18"/>
                <w:szCs w:val="21"/>
                <w:lang w:val="en-US" w:eastAsia="zh-CN" w:bidi="ar-SA"/>
              </w:rPr>
              <w:t>t/a</w:t>
            </w:r>
          </w:p>
        </w:tc>
        <w:tc>
          <w:tcPr>
            <w:tcW w:w="1478" w:type="dxa"/>
            <w:vAlign w:val="center"/>
          </w:tcPr>
          <w:p w14:paraId="79D4885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3DB8656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1.3059</w:t>
            </w:r>
            <w:r>
              <w:rPr>
                <w:rFonts w:hint="eastAsia" w:ascii="Times New Roman" w:hAnsi="Times New Roman" w:eastAsia="宋体" w:cs="Times New Roman"/>
                <w:snapToGrid w:val="0"/>
                <w:color w:val="auto"/>
                <w:kern w:val="21"/>
                <w:sz w:val="18"/>
                <w:szCs w:val="21"/>
                <w:lang w:val="en-US" w:eastAsia="zh-CN" w:bidi="ar-SA"/>
              </w:rPr>
              <w:t>t/a</w:t>
            </w:r>
          </w:p>
        </w:tc>
        <w:tc>
          <w:tcPr>
            <w:tcW w:w="1696" w:type="dxa"/>
            <w:vAlign w:val="center"/>
          </w:tcPr>
          <w:p w14:paraId="2ECE5A6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+1.3059</w:t>
            </w:r>
            <w:r>
              <w:rPr>
                <w:rFonts w:hint="eastAsia" w:ascii="Times New Roman" w:hAnsi="Times New Roman" w:eastAsia="宋体" w:cs="Times New Roman"/>
                <w:snapToGrid w:val="0"/>
                <w:color w:val="auto"/>
                <w:kern w:val="21"/>
                <w:sz w:val="18"/>
                <w:szCs w:val="21"/>
                <w:lang w:val="en-US" w:eastAsia="zh-CN" w:bidi="ar-SA"/>
              </w:rPr>
              <w:t>t/a</w:t>
            </w:r>
          </w:p>
        </w:tc>
      </w:tr>
      <w:tr w14:paraId="4F7D8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487C5428">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5A649B3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氨氮</w:t>
            </w:r>
          </w:p>
        </w:tc>
        <w:tc>
          <w:tcPr>
            <w:tcW w:w="1663" w:type="dxa"/>
            <w:vAlign w:val="center"/>
          </w:tcPr>
          <w:p w14:paraId="5D6A630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318D772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77131D2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45A74668">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0.34083</w:t>
            </w:r>
            <w:r>
              <w:rPr>
                <w:rFonts w:hint="eastAsia" w:ascii="Times New Roman" w:hAnsi="Times New Roman" w:eastAsia="宋体" w:cs="Times New Roman"/>
                <w:snapToGrid w:val="0"/>
                <w:color w:val="auto"/>
                <w:kern w:val="21"/>
                <w:sz w:val="18"/>
                <w:szCs w:val="21"/>
                <w:lang w:val="en-US" w:eastAsia="zh-CN" w:bidi="ar-SA"/>
              </w:rPr>
              <w:t>t/a</w:t>
            </w:r>
          </w:p>
        </w:tc>
        <w:tc>
          <w:tcPr>
            <w:tcW w:w="1478" w:type="dxa"/>
            <w:vAlign w:val="center"/>
          </w:tcPr>
          <w:p w14:paraId="4EE4908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69DD90B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0.34083</w:t>
            </w:r>
            <w:r>
              <w:rPr>
                <w:rFonts w:hint="eastAsia" w:ascii="Times New Roman" w:hAnsi="Times New Roman" w:eastAsia="宋体" w:cs="Times New Roman"/>
                <w:snapToGrid w:val="0"/>
                <w:color w:val="auto"/>
                <w:kern w:val="21"/>
                <w:sz w:val="18"/>
                <w:szCs w:val="21"/>
                <w:lang w:val="en-US" w:eastAsia="zh-CN" w:bidi="ar-SA"/>
              </w:rPr>
              <w:t>t/a</w:t>
            </w:r>
          </w:p>
        </w:tc>
        <w:tc>
          <w:tcPr>
            <w:tcW w:w="1696" w:type="dxa"/>
            <w:vAlign w:val="center"/>
          </w:tcPr>
          <w:p w14:paraId="40CF0EC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+0.34083</w:t>
            </w:r>
            <w:r>
              <w:rPr>
                <w:rFonts w:hint="eastAsia" w:ascii="Times New Roman" w:hAnsi="Times New Roman" w:eastAsia="宋体" w:cs="Times New Roman"/>
                <w:snapToGrid w:val="0"/>
                <w:color w:val="auto"/>
                <w:kern w:val="21"/>
                <w:sz w:val="18"/>
                <w:szCs w:val="21"/>
                <w:lang w:val="en-US" w:eastAsia="zh-CN" w:bidi="ar-SA"/>
              </w:rPr>
              <w:t>t/a</w:t>
            </w:r>
          </w:p>
        </w:tc>
      </w:tr>
      <w:tr w14:paraId="3FE44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2C3B11A1">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14:paraId="6B9ED24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总磷</w:t>
            </w:r>
          </w:p>
        </w:tc>
        <w:tc>
          <w:tcPr>
            <w:tcW w:w="1663" w:type="dxa"/>
            <w:vAlign w:val="center"/>
          </w:tcPr>
          <w:p w14:paraId="3C85EEF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27C5665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3589B8F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79DC423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0.005719</w:t>
            </w:r>
            <w:r>
              <w:rPr>
                <w:rFonts w:hint="eastAsia" w:ascii="Times New Roman" w:hAnsi="Times New Roman" w:eastAsia="宋体" w:cs="Times New Roman"/>
                <w:snapToGrid w:val="0"/>
                <w:color w:val="auto"/>
                <w:kern w:val="21"/>
                <w:sz w:val="18"/>
                <w:szCs w:val="21"/>
                <w:lang w:val="en-US" w:eastAsia="zh-CN" w:bidi="ar-SA"/>
              </w:rPr>
              <w:t>t/a</w:t>
            </w:r>
          </w:p>
        </w:tc>
        <w:tc>
          <w:tcPr>
            <w:tcW w:w="1478" w:type="dxa"/>
            <w:vAlign w:val="center"/>
          </w:tcPr>
          <w:p w14:paraId="17E4018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144D0C8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0.005719</w:t>
            </w:r>
            <w:r>
              <w:rPr>
                <w:rFonts w:hint="eastAsia" w:ascii="Times New Roman" w:hAnsi="Times New Roman" w:eastAsia="宋体" w:cs="Times New Roman"/>
                <w:snapToGrid w:val="0"/>
                <w:color w:val="auto"/>
                <w:kern w:val="21"/>
                <w:sz w:val="18"/>
                <w:szCs w:val="21"/>
                <w:lang w:val="en-US" w:eastAsia="zh-CN" w:bidi="ar-SA"/>
              </w:rPr>
              <w:t>t/a</w:t>
            </w:r>
          </w:p>
        </w:tc>
        <w:tc>
          <w:tcPr>
            <w:tcW w:w="1696" w:type="dxa"/>
            <w:vAlign w:val="center"/>
          </w:tcPr>
          <w:p w14:paraId="2A71CEB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+0.005719</w:t>
            </w:r>
            <w:r>
              <w:rPr>
                <w:rFonts w:hint="eastAsia" w:ascii="Times New Roman" w:hAnsi="Times New Roman" w:eastAsia="宋体" w:cs="Times New Roman"/>
                <w:snapToGrid w:val="0"/>
                <w:color w:val="auto"/>
                <w:kern w:val="21"/>
                <w:sz w:val="18"/>
                <w:szCs w:val="21"/>
                <w:lang w:val="en-US" w:eastAsia="zh-CN" w:bidi="ar-SA"/>
              </w:rPr>
              <w:t>t/a</w:t>
            </w:r>
          </w:p>
        </w:tc>
      </w:tr>
      <w:tr w14:paraId="720A4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14:paraId="7B34C52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一般工业</w:t>
            </w:r>
          </w:p>
          <w:p w14:paraId="398ED4A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固体废物</w:t>
            </w:r>
          </w:p>
        </w:tc>
        <w:tc>
          <w:tcPr>
            <w:tcW w:w="1769" w:type="dxa"/>
            <w:vAlign w:val="center"/>
          </w:tcPr>
          <w:p w14:paraId="1BD775D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废包装袋</w:t>
            </w:r>
          </w:p>
        </w:tc>
        <w:tc>
          <w:tcPr>
            <w:tcW w:w="1663" w:type="dxa"/>
            <w:vAlign w:val="center"/>
          </w:tcPr>
          <w:p w14:paraId="154EED2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177C2AAB">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4945578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58CE784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c>
          <w:tcPr>
            <w:tcW w:w="1478" w:type="dxa"/>
            <w:vAlign w:val="center"/>
          </w:tcPr>
          <w:p w14:paraId="2335EDF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145D57E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c>
          <w:tcPr>
            <w:tcW w:w="1696" w:type="dxa"/>
            <w:vAlign w:val="center"/>
          </w:tcPr>
          <w:p w14:paraId="2F19B5B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r>
      <w:tr w14:paraId="28399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62F1E033">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3F09E70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生物质燃烧灰渣</w:t>
            </w:r>
          </w:p>
        </w:tc>
        <w:tc>
          <w:tcPr>
            <w:tcW w:w="1663" w:type="dxa"/>
            <w:shd w:val="clear" w:color="auto" w:fill="auto"/>
            <w:vAlign w:val="center"/>
          </w:tcPr>
          <w:p w14:paraId="0512891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14:paraId="61A5EED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14:paraId="44950F4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14:paraId="0C6FBEF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60.06</w:t>
            </w:r>
            <w:r>
              <w:rPr>
                <w:rFonts w:hint="eastAsia" w:ascii="Times New Roman" w:hAnsi="Times New Roman" w:eastAsia="宋体" w:cs="Times New Roman"/>
                <w:snapToGrid w:val="0"/>
                <w:color w:val="auto"/>
                <w:kern w:val="21"/>
                <w:sz w:val="18"/>
                <w:szCs w:val="21"/>
                <w:lang w:val="en-US" w:eastAsia="zh-CN" w:bidi="ar-SA"/>
              </w:rPr>
              <w:t>t/a</w:t>
            </w:r>
          </w:p>
        </w:tc>
        <w:tc>
          <w:tcPr>
            <w:tcW w:w="1478" w:type="dxa"/>
            <w:shd w:val="clear" w:color="auto" w:fill="auto"/>
            <w:vAlign w:val="center"/>
          </w:tcPr>
          <w:p w14:paraId="5296E45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14:paraId="25630A8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cs="Times New Roman"/>
                <w:snapToGrid w:val="0"/>
                <w:color w:val="auto"/>
                <w:kern w:val="21"/>
                <w:sz w:val="18"/>
                <w:szCs w:val="21"/>
                <w:lang w:val="en-US" w:eastAsia="zh-CN" w:bidi="ar-SA"/>
              </w:rPr>
              <w:t>60.06</w:t>
            </w:r>
            <w:r>
              <w:rPr>
                <w:rFonts w:hint="eastAsia" w:ascii="Times New Roman" w:hAnsi="Times New Roman" w:eastAsia="宋体" w:cs="Times New Roman"/>
                <w:snapToGrid w:val="0"/>
                <w:color w:val="auto"/>
                <w:kern w:val="21"/>
                <w:sz w:val="18"/>
                <w:szCs w:val="21"/>
                <w:lang w:val="en-US" w:eastAsia="zh-CN" w:bidi="ar-SA"/>
              </w:rPr>
              <w:t>/a</w:t>
            </w:r>
          </w:p>
        </w:tc>
        <w:tc>
          <w:tcPr>
            <w:tcW w:w="1696" w:type="dxa"/>
            <w:shd w:val="clear" w:color="auto" w:fill="auto"/>
            <w:vAlign w:val="center"/>
          </w:tcPr>
          <w:p w14:paraId="64E52C6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r>
              <w:rPr>
                <w:rFonts w:hint="eastAsia" w:ascii="Times New Roman" w:hAnsi="Times New Roman" w:cs="Times New Roman"/>
                <w:snapToGrid w:val="0"/>
                <w:color w:val="auto"/>
                <w:kern w:val="21"/>
                <w:sz w:val="18"/>
                <w:szCs w:val="21"/>
                <w:lang w:val="en-US" w:eastAsia="zh-CN" w:bidi="ar-SA"/>
              </w:rPr>
              <w:t>60.06</w:t>
            </w:r>
            <w:r>
              <w:rPr>
                <w:rFonts w:hint="eastAsia" w:ascii="Times New Roman" w:hAnsi="Times New Roman" w:eastAsia="宋体" w:cs="Times New Roman"/>
                <w:snapToGrid w:val="0"/>
                <w:color w:val="auto"/>
                <w:kern w:val="21"/>
                <w:sz w:val="18"/>
                <w:szCs w:val="21"/>
                <w:lang w:val="en-US" w:eastAsia="zh-CN" w:bidi="ar-SA"/>
              </w:rPr>
              <w:t>t/a</w:t>
            </w:r>
          </w:p>
        </w:tc>
      </w:tr>
      <w:tr w14:paraId="46373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6C1E3AAB">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0FE0914A">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布袋除尘器收尘灰</w:t>
            </w:r>
          </w:p>
        </w:tc>
        <w:tc>
          <w:tcPr>
            <w:tcW w:w="1663" w:type="dxa"/>
            <w:vAlign w:val="center"/>
          </w:tcPr>
          <w:p w14:paraId="5F7DE7B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131A0ED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2007E054">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58B7C77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c>
          <w:tcPr>
            <w:tcW w:w="1478" w:type="dxa"/>
            <w:vAlign w:val="center"/>
          </w:tcPr>
          <w:p w14:paraId="3ECF7A6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38BD48ED">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c>
          <w:tcPr>
            <w:tcW w:w="1696" w:type="dxa"/>
            <w:vAlign w:val="center"/>
          </w:tcPr>
          <w:p w14:paraId="00962FA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r>
      <w:tr w14:paraId="18071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21EFAF82">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0831A311">
            <w:pPr>
              <w:jc w:val="center"/>
              <w:rPr>
                <w:rFonts w:hint="default"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废离子交换树脂</w:t>
            </w:r>
          </w:p>
        </w:tc>
        <w:tc>
          <w:tcPr>
            <w:tcW w:w="1663" w:type="dxa"/>
            <w:vAlign w:val="center"/>
          </w:tcPr>
          <w:p w14:paraId="3E22F5AA">
            <w:pPr>
              <w:jc w:val="center"/>
              <w:rPr>
                <w:rFonts w:hint="eastAsia" w:ascii="Times New Roman" w:hAnsi="Times New Roman" w:eastAsia="宋体" w:cs="Times New Roman"/>
                <w:snapToGrid w:val="0"/>
                <w:color w:val="auto"/>
                <w:kern w:val="21"/>
                <w:sz w:val="18"/>
                <w:szCs w:val="21"/>
                <w:lang w:val="en-US" w:eastAsia="zh-CN" w:bidi="ar-SA"/>
              </w:rPr>
            </w:pPr>
          </w:p>
        </w:tc>
        <w:tc>
          <w:tcPr>
            <w:tcW w:w="1246" w:type="dxa"/>
            <w:vAlign w:val="center"/>
          </w:tcPr>
          <w:p w14:paraId="1FA70C4E">
            <w:pPr>
              <w:jc w:val="center"/>
              <w:rPr>
                <w:rFonts w:hint="eastAsia" w:ascii="Times New Roman" w:hAnsi="Times New Roman" w:eastAsia="宋体" w:cs="Times New Roman"/>
                <w:snapToGrid w:val="0"/>
                <w:color w:val="auto"/>
                <w:kern w:val="21"/>
                <w:sz w:val="18"/>
                <w:szCs w:val="21"/>
                <w:lang w:val="en-US" w:eastAsia="zh-CN" w:bidi="ar-SA"/>
              </w:rPr>
            </w:pPr>
          </w:p>
        </w:tc>
        <w:tc>
          <w:tcPr>
            <w:tcW w:w="1361" w:type="dxa"/>
            <w:vAlign w:val="center"/>
          </w:tcPr>
          <w:p w14:paraId="7E79B611">
            <w:pPr>
              <w:jc w:val="center"/>
              <w:rPr>
                <w:rFonts w:hint="eastAsia" w:ascii="Times New Roman" w:hAnsi="Times New Roman" w:eastAsia="宋体" w:cs="Times New Roman"/>
                <w:snapToGrid w:val="0"/>
                <w:color w:val="auto"/>
                <w:kern w:val="21"/>
                <w:sz w:val="18"/>
                <w:szCs w:val="21"/>
                <w:lang w:val="en-US" w:eastAsia="zh-CN" w:bidi="ar-SA"/>
              </w:rPr>
            </w:pPr>
          </w:p>
        </w:tc>
        <w:tc>
          <w:tcPr>
            <w:tcW w:w="1452" w:type="dxa"/>
            <w:vAlign w:val="center"/>
          </w:tcPr>
          <w:p w14:paraId="23DEDD8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0.2t/a</w:t>
            </w:r>
          </w:p>
        </w:tc>
        <w:tc>
          <w:tcPr>
            <w:tcW w:w="1478" w:type="dxa"/>
            <w:vAlign w:val="center"/>
          </w:tcPr>
          <w:p w14:paraId="1BA0BC2C">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14:paraId="5991A639">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0.2t/a</w:t>
            </w:r>
          </w:p>
        </w:tc>
        <w:tc>
          <w:tcPr>
            <w:tcW w:w="1696" w:type="dxa"/>
            <w:vAlign w:val="center"/>
          </w:tcPr>
          <w:p w14:paraId="1E35219C">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+0.2t/a</w:t>
            </w:r>
          </w:p>
        </w:tc>
      </w:tr>
      <w:tr w14:paraId="690C4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14:paraId="679919AE">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14:paraId="4D9F167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污水处理设施污泥</w:t>
            </w:r>
          </w:p>
        </w:tc>
        <w:tc>
          <w:tcPr>
            <w:tcW w:w="1663" w:type="dxa"/>
            <w:vAlign w:val="center"/>
          </w:tcPr>
          <w:p w14:paraId="458001A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68EBD01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0FC1FD1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63D10B1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c>
          <w:tcPr>
            <w:tcW w:w="1478" w:type="dxa"/>
            <w:vAlign w:val="center"/>
          </w:tcPr>
          <w:p w14:paraId="74F7BA8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1DBF94C7">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c>
          <w:tcPr>
            <w:tcW w:w="1696" w:type="dxa"/>
            <w:vAlign w:val="center"/>
          </w:tcPr>
          <w:p w14:paraId="24997133">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r>
      <w:tr w14:paraId="5F232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69" w:type="dxa"/>
            <w:vAlign w:val="center"/>
          </w:tcPr>
          <w:p w14:paraId="7F1947EF">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危险废物</w:t>
            </w:r>
          </w:p>
        </w:tc>
        <w:tc>
          <w:tcPr>
            <w:tcW w:w="1769" w:type="dxa"/>
            <w:vAlign w:val="center"/>
          </w:tcPr>
          <w:p w14:paraId="3A62CFF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废机油（900-214-08）</w:t>
            </w:r>
          </w:p>
        </w:tc>
        <w:tc>
          <w:tcPr>
            <w:tcW w:w="1663" w:type="dxa"/>
            <w:vAlign w:val="center"/>
          </w:tcPr>
          <w:p w14:paraId="7C59DA3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14:paraId="6D483AF5">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14:paraId="7E34A3A6">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14:paraId="1721824E">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c>
          <w:tcPr>
            <w:tcW w:w="1478" w:type="dxa"/>
            <w:vAlign w:val="center"/>
          </w:tcPr>
          <w:p w14:paraId="72804C32">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14:paraId="02D35F31">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c>
          <w:tcPr>
            <w:tcW w:w="1696" w:type="dxa"/>
            <w:vAlign w:val="center"/>
          </w:tcPr>
          <w:p w14:paraId="25DF4D50">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r>
    </w:tbl>
    <w:p w14:paraId="3C61D96F">
      <w:pPr>
        <w:pStyle w:val="63"/>
        <w:spacing w:before="192" w:beforeLines="80" w:after="24" w:line="360" w:lineRule="auto"/>
        <w:jc w:val="left"/>
        <w:rPr>
          <w:rFonts w:hint="eastAsia" w:ascii="Times New Roman" w:hAnsi="Times New Roman" w:eastAsia="宋体"/>
          <w:snapToGrid w:val="0"/>
          <w:color w:val="auto"/>
          <w:spacing w:val="-6"/>
          <w:kern w:val="21"/>
          <w:szCs w:val="21"/>
          <w:lang w:val="en-US" w:eastAsia="zh-CN"/>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=6\*GB3\*MERGEFORMAT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=1\*GB3\*MERGEFORMAT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=3\*GB3\*MERGEFORMAT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=4\*GB3\*MERGEFORMAT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=5\*GB3\*MERGEFORMAT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=7\*GB3\*MERGEFORMAT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=6\*GB3\*MERGEFORMAT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=1\*GB3\*MERGEFORMAT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lang w:val="en-US" w:eastAsia="zh-CN"/>
        </w:rPr>
        <w:t xml:space="preserve"> </w:t>
      </w:r>
    </w:p>
    <w:sectPr>
      <w:footerReference r:id="rId6" w:type="default"/>
      <w:pgSz w:w="16838" w:h="11905" w:orient="landscape"/>
      <w:pgMar w:top="1440" w:right="1800" w:bottom="1440" w:left="1800" w:header="851" w:footer="850"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Times New Roman"/>
    <w:panose1 w:val="02020603040505020304"/>
    <w:charset w:val="00"/>
    <w:family w:val="roman"/>
    <w:pitch w:val="default"/>
    <w:sig w:usb0="00000000" w:usb1="00000000" w:usb2="00000000" w:usb3="00000000" w:csb0="00000001" w:csb1="00000000"/>
  </w:font>
  <w:font w:name="華康中楷體">
    <w:altName w:val="Microsoft JhengHei"/>
    <w:panose1 w:val="00000000000000000000"/>
    <w:charset w:val="88"/>
    <w:family w:val="roma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D72D2">
    <w:pPr>
      <w:pStyle w:val="21"/>
      <w:ind w:right="360" w:firstLine="360"/>
      <w:jc w:val="center"/>
    </w:pP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85299">
    <w:pPr>
      <w:pStyle w:val="21"/>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815BA">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41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BE815BA">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41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2329D">
    <w:pPr>
      <w:pStyle w:val="2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C9186">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73</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20C9186">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73</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07C5">
    <w:pPr>
      <w:pStyle w:val="2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7B1CD">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74</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E77B1CD">
                    <w:pPr>
                      <w:pStyle w:val="2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74</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3DDBE"/>
    <w:multiLevelType w:val="singleLevel"/>
    <w:tmpl w:val="8FE3DDBE"/>
    <w:lvl w:ilvl="0" w:tentative="0">
      <w:start w:val="2"/>
      <w:numFmt w:val="decimal"/>
      <w:suff w:val="nothing"/>
      <w:lvlText w:val="%1、"/>
      <w:lvlJc w:val="left"/>
    </w:lvl>
  </w:abstractNum>
  <w:abstractNum w:abstractNumId="1">
    <w:nsid w:val="9F791D11"/>
    <w:multiLevelType w:val="singleLevel"/>
    <w:tmpl w:val="9F791D11"/>
    <w:lvl w:ilvl="0" w:tentative="0">
      <w:start w:val="1"/>
      <w:numFmt w:val="chineseCounting"/>
      <w:suff w:val="nothing"/>
      <w:lvlText w:val="%1、"/>
      <w:lvlJc w:val="left"/>
      <w:rPr>
        <w:rFonts w:hint="eastAsia"/>
      </w:rPr>
    </w:lvl>
  </w:abstractNum>
  <w:abstractNum w:abstractNumId="2">
    <w:nsid w:val="F42BCCE1"/>
    <w:multiLevelType w:val="singleLevel"/>
    <w:tmpl w:val="F42BCCE1"/>
    <w:lvl w:ilvl="0" w:tentative="0">
      <w:start w:val="3"/>
      <w:numFmt w:val="decimal"/>
      <w:suff w:val="nothing"/>
      <w:lvlText w:val="%1、"/>
      <w:lvlJc w:val="left"/>
    </w:lvl>
  </w:abstractNum>
  <w:abstractNum w:abstractNumId="3">
    <w:nsid w:val="F807CED6"/>
    <w:multiLevelType w:val="singleLevel"/>
    <w:tmpl w:val="F807CED6"/>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FBDAA241"/>
    <w:multiLevelType w:val="singleLevel"/>
    <w:tmpl w:val="FBDAA241"/>
    <w:lvl w:ilvl="0" w:tentative="0">
      <w:start w:val="3"/>
      <w:numFmt w:val="decimal"/>
      <w:suff w:val="nothing"/>
      <w:lvlText w:val="（%1）"/>
      <w:lvlJc w:val="left"/>
    </w:lvl>
  </w:abstractNum>
  <w:abstractNum w:abstractNumId="5">
    <w:nsid w:val="08D26A66"/>
    <w:multiLevelType w:val="singleLevel"/>
    <w:tmpl w:val="08D26A66"/>
    <w:lvl w:ilvl="0" w:tentative="0">
      <w:start w:val="2"/>
      <w:numFmt w:val="decimal"/>
      <w:suff w:val="nothing"/>
      <w:lvlText w:val="（%1）"/>
      <w:lvlJc w:val="left"/>
      <w:pPr>
        <w:ind w:left="150"/>
      </w:pPr>
    </w:lvl>
  </w:abstractNum>
  <w:abstractNum w:abstractNumId="6">
    <w:nsid w:val="70122099"/>
    <w:multiLevelType w:val="multilevel"/>
    <w:tmpl w:val="70122099"/>
    <w:lvl w:ilvl="0" w:tentative="0">
      <w:start w:val="1"/>
      <w:numFmt w:val="decimal"/>
      <w:lvlText w:val="%1"/>
      <w:lvlJc w:val="left"/>
      <w:pPr>
        <w:ind w:left="425" w:hanging="425"/>
      </w:pPr>
      <w:rPr>
        <w:rFonts w:hint="eastAsia"/>
        <w:sz w:val="30"/>
        <w:szCs w:val="30"/>
      </w:rPr>
    </w:lvl>
    <w:lvl w:ilvl="1" w:tentative="0">
      <w:start w:val="1"/>
      <w:numFmt w:val="decimal"/>
      <w:pStyle w:val="99"/>
      <w:isLg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715C58E1"/>
    <w:multiLevelType w:val="singleLevel"/>
    <w:tmpl w:val="715C58E1"/>
    <w:lvl w:ilvl="0" w:tentative="0">
      <w:start w:val="1"/>
      <w:numFmt w:val="decimal"/>
      <w:suff w:val="nothing"/>
      <w:lvlText w:val="（%1）"/>
      <w:lvlJc w:val="left"/>
    </w:lvl>
  </w:abstractNum>
  <w:abstractNum w:abstractNumId="8">
    <w:nsid w:val="75EBC477"/>
    <w:multiLevelType w:val="singleLevel"/>
    <w:tmpl w:val="75EBC477"/>
    <w:lvl w:ilvl="0" w:tentative="0">
      <w:start w:val="1"/>
      <w:numFmt w:val="decimal"/>
      <w:suff w:val="nothing"/>
      <w:lvlText w:val="%1、"/>
      <w:lvlJc w:val="left"/>
    </w:lvl>
  </w:abstractNum>
  <w:num w:numId="1">
    <w:abstractNumId w:val="3"/>
  </w:num>
  <w:num w:numId="2">
    <w:abstractNumId w:val="6"/>
  </w:num>
  <w:num w:numId="3">
    <w:abstractNumId w:val="0"/>
  </w:num>
  <w:num w:numId="4">
    <w:abstractNumId w:val="1"/>
  </w:num>
  <w:num w:numId="5">
    <w:abstractNumId w:val="2"/>
  </w:num>
  <w:num w:numId="6">
    <w:abstractNumId w:val="8"/>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MjczNWFhMTk1MjY2MTc0NDFkNzFmZDgxYTJhMzUifQ=="/>
  </w:docVars>
  <w:rsids>
    <w:rsidRoot w:val="00A14947"/>
    <w:rsid w:val="000039EC"/>
    <w:rsid w:val="000060B3"/>
    <w:rsid w:val="00006ACF"/>
    <w:rsid w:val="00012506"/>
    <w:rsid w:val="00014409"/>
    <w:rsid w:val="00017B2B"/>
    <w:rsid w:val="00026D90"/>
    <w:rsid w:val="00030924"/>
    <w:rsid w:val="00030EE1"/>
    <w:rsid w:val="000423C5"/>
    <w:rsid w:val="00042992"/>
    <w:rsid w:val="00042AAF"/>
    <w:rsid w:val="0004364B"/>
    <w:rsid w:val="000514FD"/>
    <w:rsid w:val="00051D6E"/>
    <w:rsid w:val="000603A7"/>
    <w:rsid w:val="00061B1F"/>
    <w:rsid w:val="000733C4"/>
    <w:rsid w:val="00074783"/>
    <w:rsid w:val="0008070B"/>
    <w:rsid w:val="000810AC"/>
    <w:rsid w:val="00081A02"/>
    <w:rsid w:val="00082231"/>
    <w:rsid w:val="0008437E"/>
    <w:rsid w:val="00090C4C"/>
    <w:rsid w:val="00092D38"/>
    <w:rsid w:val="0009377B"/>
    <w:rsid w:val="0009569B"/>
    <w:rsid w:val="00095906"/>
    <w:rsid w:val="000A20C9"/>
    <w:rsid w:val="000A25EE"/>
    <w:rsid w:val="000A325F"/>
    <w:rsid w:val="000B058F"/>
    <w:rsid w:val="000B4467"/>
    <w:rsid w:val="000B4DB9"/>
    <w:rsid w:val="000C02A5"/>
    <w:rsid w:val="000C09AC"/>
    <w:rsid w:val="000C5D8F"/>
    <w:rsid w:val="000C767F"/>
    <w:rsid w:val="000D5A44"/>
    <w:rsid w:val="000D6141"/>
    <w:rsid w:val="000E3ED2"/>
    <w:rsid w:val="001066BB"/>
    <w:rsid w:val="0010795E"/>
    <w:rsid w:val="0011548E"/>
    <w:rsid w:val="00122DC0"/>
    <w:rsid w:val="00131F42"/>
    <w:rsid w:val="001357F1"/>
    <w:rsid w:val="0013634B"/>
    <w:rsid w:val="00140FA8"/>
    <w:rsid w:val="00142FEB"/>
    <w:rsid w:val="00143A2D"/>
    <w:rsid w:val="00144EC2"/>
    <w:rsid w:val="00145A41"/>
    <w:rsid w:val="00147F57"/>
    <w:rsid w:val="00151675"/>
    <w:rsid w:val="00154F78"/>
    <w:rsid w:val="00155A99"/>
    <w:rsid w:val="00156F61"/>
    <w:rsid w:val="00157435"/>
    <w:rsid w:val="00157F38"/>
    <w:rsid w:val="00164B56"/>
    <w:rsid w:val="00171902"/>
    <w:rsid w:val="00173F72"/>
    <w:rsid w:val="0017504D"/>
    <w:rsid w:val="0017671A"/>
    <w:rsid w:val="00177422"/>
    <w:rsid w:val="00181771"/>
    <w:rsid w:val="00182567"/>
    <w:rsid w:val="00183AF9"/>
    <w:rsid w:val="00184590"/>
    <w:rsid w:val="001870D1"/>
    <w:rsid w:val="0018781E"/>
    <w:rsid w:val="0019262D"/>
    <w:rsid w:val="00193B0E"/>
    <w:rsid w:val="00196E46"/>
    <w:rsid w:val="001A1B35"/>
    <w:rsid w:val="001A4853"/>
    <w:rsid w:val="001A48A2"/>
    <w:rsid w:val="001A6F61"/>
    <w:rsid w:val="001B72B8"/>
    <w:rsid w:val="001C0132"/>
    <w:rsid w:val="001C66B3"/>
    <w:rsid w:val="001C69B3"/>
    <w:rsid w:val="001D512A"/>
    <w:rsid w:val="001D5595"/>
    <w:rsid w:val="001D7874"/>
    <w:rsid w:val="001D7F22"/>
    <w:rsid w:val="001E3B1C"/>
    <w:rsid w:val="001E5EA4"/>
    <w:rsid w:val="001F0F17"/>
    <w:rsid w:val="001F27CB"/>
    <w:rsid w:val="001F3347"/>
    <w:rsid w:val="001F69E4"/>
    <w:rsid w:val="001F707B"/>
    <w:rsid w:val="002019D1"/>
    <w:rsid w:val="00202EFA"/>
    <w:rsid w:val="0020382B"/>
    <w:rsid w:val="002125B4"/>
    <w:rsid w:val="002155B8"/>
    <w:rsid w:val="00224839"/>
    <w:rsid w:val="002249B2"/>
    <w:rsid w:val="00225BFD"/>
    <w:rsid w:val="00226574"/>
    <w:rsid w:val="002278EC"/>
    <w:rsid w:val="00231D02"/>
    <w:rsid w:val="0023280E"/>
    <w:rsid w:val="002349EA"/>
    <w:rsid w:val="002377D1"/>
    <w:rsid w:val="00244531"/>
    <w:rsid w:val="002466DB"/>
    <w:rsid w:val="002506BC"/>
    <w:rsid w:val="002506F7"/>
    <w:rsid w:val="00254345"/>
    <w:rsid w:val="002622F6"/>
    <w:rsid w:val="00264557"/>
    <w:rsid w:val="002805AB"/>
    <w:rsid w:val="002811F9"/>
    <w:rsid w:val="00284204"/>
    <w:rsid w:val="00291773"/>
    <w:rsid w:val="00296707"/>
    <w:rsid w:val="002A168C"/>
    <w:rsid w:val="002A3DC7"/>
    <w:rsid w:val="002B1400"/>
    <w:rsid w:val="002B49E2"/>
    <w:rsid w:val="002B7B00"/>
    <w:rsid w:val="002B7C44"/>
    <w:rsid w:val="002C13B2"/>
    <w:rsid w:val="002C2B17"/>
    <w:rsid w:val="002C668A"/>
    <w:rsid w:val="002D3DD0"/>
    <w:rsid w:val="002D4E29"/>
    <w:rsid w:val="002D4F4B"/>
    <w:rsid w:val="002D7310"/>
    <w:rsid w:val="002E1F3A"/>
    <w:rsid w:val="002E298A"/>
    <w:rsid w:val="002F6CB9"/>
    <w:rsid w:val="00301978"/>
    <w:rsid w:val="00302C95"/>
    <w:rsid w:val="0030332C"/>
    <w:rsid w:val="003037E2"/>
    <w:rsid w:val="003051C2"/>
    <w:rsid w:val="003069E2"/>
    <w:rsid w:val="00312296"/>
    <w:rsid w:val="00314F0E"/>
    <w:rsid w:val="00321D8E"/>
    <w:rsid w:val="0032568A"/>
    <w:rsid w:val="00325928"/>
    <w:rsid w:val="00332863"/>
    <w:rsid w:val="0033684D"/>
    <w:rsid w:val="00337B42"/>
    <w:rsid w:val="00341B42"/>
    <w:rsid w:val="00342E6E"/>
    <w:rsid w:val="0034348F"/>
    <w:rsid w:val="003500D5"/>
    <w:rsid w:val="00356653"/>
    <w:rsid w:val="0035743F"/>
    <w:rsid w:val="00357BE2"/>
    <w:rsid w:val="00357F67"/>
    <w:rsid w:val="0036170C"/>
    <w:rsid w:val="00365928"/>
    <w:rsid w:val="00366E0F"/>
    <w:rsid w:val="00372B61"/>
    <w:rsid w:val="00372D0A"/>
    <w:rsid w:val="00381A72"/>
    <w:rsid w:val="00384369"/>
    <w:rsid w:val="00384676"/>
    <w:rsid w:val="00390857"/>
    <w:rsid w:val="003974E9"/>
    <w:rsid w:val="003A0E5F"/>
    <w:rsid w:val="003A4BF3"/>
    <w:rsid w:val="003A6A78"/>
    <w:rsid w:val="003B420D"/>
    <w:rsid w:val="003C4D98"/>
    <w:rsid w:val="003C6C16"/>
    <w:rsid w:val="003D5DC5"/>
    <w:rsid w:val="003D794D"/>
    <w:rsid w:val="003E1C98"/>
    <w:rsid w:val="003E3058"/>
    <w:rsid w:val="003E76A9"/>
    <w:rsid w:val="003F0809"/>
    <w:rsid w:val="003F0AE3"/>
    <w:rsid w:val="003F0BA7"/>
    <w:rsid w:val="003F19B4"/>
    <w:rsid w:val="003F2D66"/>
    <w:rsid w:val="003F4317"/>
    <w:rsid w:val="003F6A8C"/>
    <w:rsid w:val="003F755C"/>
    <w:rsid w:val="00405B0F"/>
    <w:rsid w:val="00406F01"/>
    <w:rsid w:val="00413DA2"/>
    <w:rsid w:val="00413E2B"/>
    <w:rsid w:val="00416D50"/>
    <w:rsid w:val="00416FA6"/>
    <w:rsid w:val="00416FD5"/>
    <w:rsid w:val="00417772"/>
    <w:rsid w:val="0042093D"/>
    <w:rsid w:val="00420E6A"/>
    <w:rsid w:val="00425A9E"/>
    <w:rsid w:val="00426D6B"/>
    <w:rsid w:val="004302D4"/>
    <w:rsid w:val="00431E6C"/>
    <w:rsid w:val="00433CE7"/>
    <w:rsid w:val="00435322"/>
    <w:rsid w:val="00437CA8"/>
    <w:rsid w:val="00442729"/>
    <w:rsid w:val="00442DCC"/>
    <w:rsid w:val="00443056"/>
    <w:rsid w:val="00446E9A"/>
    <w:rsid w:val="004502F2"/>
    <w:rsid w:val="00452738"/>
    <w:rsid w:val="00453952"/>
    <w:rsid w:val="00455FB7"/>
    <w:rsid w:val="00456091"/>
    <w:rsid w:val="00461BDF"/>
    <w:rsid w:val="00465C91"/>
    <w:rsid w:val="00466321"/>
    <w:rsid w:val="0047277E"/>
    <w:rsid w:val="00477204"/>
    <w:rsid w:val="00482306"/>
    <w:rsid w:val="00484B9B"/>
    <w:rsid w:val="00484E2B"/>
    <w:rsid w:val="004855F6"/>
    <w:rsid w:val="0048661E"/>
    <w:rsid w:val="00487B5F"/>
    <w:rsid w:val="0049053D"/>
    <w:rsid w:val="00494670"/>
    <w:rsid w:val="00494949"/>
    <w:rsid w:val="004A22DB"/>
    <w:rsid w:val="004A3823"/>
    <w:rsid w:val="004B2A97"/>
    <w:rsid w:val="004B5B11"/>
    <w:rsid w:val="004C0D5A"/>
    <w:rsid w:val="004C223F"/>
    <w:rsid w:val="004C7BA8"/>
    <w:rsid w:val="004C7E14"/>
    <w:rsid w:val="004D2A24"/>
    <w:rsid w:val="004D3775"/>
    <w:rsid w:val="004D6FBD"/>
    <w:rsid w:val="004E6946"/>
    <w:rsid w:val="004E6C94"/>
    <w:rsid w:val="004F1AD8"/>
    <w:rsid w:val="004F2FA5"/>
    <w:rsid w:val="005039CB"/>
    <w:rsid w:val="0050558F"/>
    <w:rsid w:val="00506286"/>
    <w:rsid w:val="00510813"/>
    <w:rsid w:val="00511990"/>
    <w:rsid w:val="00511DE0"/>
    <w:rsid w:val="00514870"/>
    <w:rsid w:val="00514B9B"/>
    <w:rsid w:val="00517DA2"/>
    <w:rsid w:val="00517F02"/>
    <w:rsid w:val="005239AF"/>
    <w:rsid w:val="00524303"/>
    <w:rsid w:val="005258A2"/>
    <w:rsid w:val="00526ADB"/>
    <w:rsid w:val="00537072"/>
    <w:rsid w:val="00540092"/>
    <w:rsid w:val="005401AE"/>
    <w:rsid w:val="005427A0"/>
    <w:rsid w:val="00542E07"/>
    <w:rsid w:val="00545424"/>
    <w:rsid w:val="00550FB3"/>
    <w:rsid w:val="005519B1"/>
    <w:rsid w:val="00552877"/>
    <w:rsid w:val="00554A7B"/>
    <w:rsid w:val="00555624"/>
    <w:rsid w:val="0055572C"/>
    <w:rsid w:val="0056106A"/>
    <w:rsid w:val="00563F96"/>
    <w:rsid w:val="005720AE"/>
    <w:rsid w:val="005727B4"/>
    <w:rsid w:val="005771A9"/>
    <w:rsid w:val="00580BD6"/>
    <w:rsid w:val="00594D77"/>
    <w:rsid w:val="005969E4"/>
    <w:rsid w:val="005A06B7"/>
    <w:rsid w:val="005A1759"/>
    <w:rsid w:val="005A28F5"/>
    <w:rsid w:val="005A31C1"/>
    <w:rsid w:val="005A3786"/>
    <w:rsid w:val="005A68A7"/>
    <w:rsid w:val="005C2A3B"/>
    <w:rsid w:val="005C5B78"/>
    <w:rsid w:val="005D31D0"/>
    <w:rsid w:val="005D36AB"/>
    <w:rsid w:val="005E1C07"/>
    <w:rsid w:val="005E2CDB"/>
    <w:rsid w:val="005E334F"/>
    <w:rsid w:val="005E520B"/>
    <w:rsid w:val="00600C6D"/>
    <w:rsid w:val="00613F29"/>
    <w:rsid w:val="00617CC3"/>
    <w:rsid w:val="00617EEB"/>
    <w:rsid w:val="006230C0"/>
    <w:rsid w:val="006377A6"/>
    <w:rsid w:val="00637A3D"/>
    <w:rsid w:val="006411EF"/>
    <w:rsid w:val="00644935"/>
    <w:rsid w:val="0064774C"/>
    <w:rsid w:val="006732AA"/>
    <w:rsid w:val="006748B8"/>
    <w:rsid w:val="006775C3"/>
    <w:rsid w:val="00682863"/>
    <w:rsid w:val="00684192"/>
    <w:rsid w:val="006921EA"/>
    <w:rsid w:val="0069290A"/>
    <w:rsid w:val="00694302"/>
    <w:rsid w:val="00695185"/>
    <w:rsid w:val="0069683A"/>
    <w:rsid w:val="0069775A"/>
    <w:rsid w:val="00697813"/>
    <w:rsid w:val="006A3EE8"/>
    <w:rsid w:val="006A72BF"/>
    <w:rsid w:val="006B03F2"/>
    <w:rsid w:val="006B20CD"/>
    <w:rsid w:val="006B37DC"/>
    <w:rsid w:val="006B4F68"/>
    <w:rsid w:val="006C001F"/>
    <w:rsid w:val="006C0592"/>
    <w:rsid w:val="006C1189"/>
    <w:rsid w:val="006C126C"/>
    <w:rsid w:val="006C272E"/>
    <w:rsid w:val="006C5479"/>
    <w:rsid w:val="006D13B5"/>
    <w:rsid w:val="006D55D6"/>
    <w:rsid w:val="006E12FF"/>
    <w:rsid w:val="006E3FF5"/>
    <w:rsid w:val="006E41AD"/>
    <w:rsid w:val="006E607E"/>
    <w:rsid w:val="006F6185"/>
    <w:rsid w:val="007003E7"/>
    <w:rsid w:val="00706C5D"/>
    <w:rsid w:val="00716D5D"/>
    <w:rsid w:val="007175FE"/>
    <w:rsid w:val="007205E2"/>
    <w:rsid w:val="00732922"/>
    <w:rsid w:val="0075162E"/>
    <w:rsid w:val="00751CB8"/>
    <w:rsid w:val="00754034"/>
    <w:rsid w:val="00756556"/>
    <w:rsid w:val="007618C4"/>
    <w:rsid w:val="00767980"/>
    <w:rsid w:val="007708BA"/>
    <w:rsid w:val="00770B19"/>
    <w:rsid w:val="0077463F"/>
    <w:rsid w:val="007748F4"/>
    <w:rsid w:val="007836EA"/>
    <w:rsid w:val="00783F5B"/>
    <w:rsid w:val="00784CDA"/>
    <w:rsid w:val="007906C4"/>
    <w:rsid w:val="007940EA"/>
    <w:rsid w:val="0079420D"/>
    <w:rsid w:val="007967E8"/>
    <w:rsid w:val="007A2170"/>
    <w:rsid w:val="007A22BF"/>
    <w:rsid w:val="007A3323"/>
    <w:rsid w:val="007B3C1E"/>
    <w:rsid w:val="007B72B8"/>
    <w:rsid w:val="007B740E"/>
    <w:rsid w:val="007B7A58"/>
    <w:rsid w:val="007C21B5"/>
    <w:rsid w:val="007C6E39"/>
    <w:rsid w:val="007D29CD"/>
    <w:rsid w:val="007E4BD2"/>
    <w:rsid w:val="007F7CB6"/>
    <w:rsid w:val="00801393"/>
    <w:rsid w:val="00802E04"/>
    <w:rsid w:val="00802F88"/>
    <w:rsid w:val="0080348D"/>
    <w:rsid w:val="00804D21"/>
    <w:rsid w:val="0081293E"/>
    <w:rsid w:val="00815465"/>
    <w:rsid w:val="00817E9A"/>
    <w:rsid w:val="008306BD"/>
    <w:rsid w:val="00831A80"/>
    <w:rsid w:val="00832772"/>
    <w:rsid w:val="00833743"/>
    <w:rsid w:val="008340A4"/>
    <w:rsid w:val="00843A2A"/>
    <w:rsid w:val="00852999"/>
    <w:rsid w:val="00861DAB"/>
    <w:rsid w:val="00870547"/>
    <w:rsid w:val="0087135F"/>
    <w:rsid w:val="00872D94"/>
    <w:rsid w:val="00876E0D"/>
    <w:rsid w:val="00880364"/>
    <w:rsid w:val="00891592"/>
    <w:rsid w:val="00891E9E"/>
    <w:rsid w:val="008A2F68"/>
    <w:rsid w:val="008A7ED7"/>
    <w:rsid w:val="008B0780"/>
    <w:rsid w:val="008B4FA6"/>
    <w:rsid w:val="008B5282"/>
    <w:rsid w:val="008B5C73"/>
    <w:rsid w:val="008B700D"/>
    <w:rsid w:val="008B7C17"/>
    <w:rsid w:val="008C2C51"/>
    <w:rsid w:val="008C2D01"/>
    <w:rsid w:val="008C40E6"/>
    <w:rsid w:val="008D0F7A"/>
    <w:rsid w:val="008D30E7"/>
    <w:rsid w:val="008D68E4"/>
    <w:rsid w:val="008E0506"/>
    <w:rsid w:val="008E0CFF"/>
    <w:rsid w:val="008E303B"/>
    <w:rsid w:val="008E5D6B"/>
    <w:rsid w:val="008E76F0"/>
    <w:rsid w:val="008F15FE"/>
    <w:rsid w:val="008F2D29"/>
    <w:rsid w:val="008F5187"/>
    <w:rsid w:val="008F60D8"/>
    <w:rsid w:val="00902727"/>
    <w:rsid w:val="0090312B"/>
    <w:rsid w:val="0090385F"/>
    <w:rsid w:val="00905EBA"/>
    <w:rsid w:val="009165B7"/>
    <w:rsid w:val="0091736D"/>
    <w:rsid w:val="009176F2"/>
    <w:rsid w:val="0092326D"/>
    <w:rsid w:val="00924E70"/>
    <w:rsid w:val="00926464"/>
    <w:rsid w:val="0093037A"/>
    <w:rsid w:val="0094154D"/>
    <w:rsid w:val="00946E4C"/>
    <w:rsid w:val="0095155F"/>
    <w:rsid w:val="00953D28"/>
    <w:rsid w:val="00954429"/>
    <w:rsid w:val="009563CE"/>
    <w:rsid w:val="0095747B"/>
    <w:rsid w:val="00975836"/>
    <w:rsid w:val="00976328"/>
    <w:rsid w:val="009765B6"/>
    <w:rsid w:val="0097680D"/>
    <w:rsid w:val="00982438"/>
    <w:rsid w:val="0098404C"/>
    <w:rsid w:val="00985283"/>
    <w:rsid w:val="00987473"/>
    <w:rsid w:val="009919F6"/>
    <w:rsid w:val="009947C6"/>
    <w:rsid w:val="00995992"/>
    <w:rsid w:val="009A03E5"/>
    <w:rsid w:val="009A0F3B"/>
    <w:rsid w:val="009A1BB4"/>
    <w:rsid w:val="009A2628"/>
    <w:rsid w:val="009A2DB1"/>
    <w:rsid w:val="009A3200"/>
    <w:rsid w:val="009A784F"/>
    <w:rsid w:val="009B0897"/>
    <w:rsid w:val="009B6D85"/>
    <w:rsid w:val="009B7BD9"/>
    <w:rsid w:val="009C30CC"/>
    <w:rsid w:val="009C7DD5"/>
    <w:rsid w:val="009D33E4"/>
    <w:rsid w:val="009D3EFB"/>
    <w:rsid w:val="009E1F23"/>
    <w:rsid w:val="009E227D"/>
    <w:rsid w:val="009E5019"/>
    <w:rsid w:val="00A03943"/>
    <w:rsid w:val="00A04F1B"/>
    <w:rsid w:val="00A0501B"/>
    <w:rsid w:val="00A13DE4"/>
    <w:rsid w:val="00A14947"/>
    <w:rsid w:val="00A273E8"/>
    <w:rsid w:val="00A3212F"/>
    <w:rsid w:val="00A32A83"/>
    <w:rsid w:val="00A3576C"/>
    <w:rsid w:val="00A368DB"/>
    <w:rsid w:val="00A423AA"/>
    <w:rsid w:val="00A53EC6"/>
    <w:rsid w:val="00A55C0F"/>
    <w:rsid w:val="00A578AE"/>
    <w:rsid w:val="00A57DB8"/>
    <w:rsid w:val="00A67906"/>
    <w:rsid w:val="00A76DCC"/>
    <w:rsid w:val="00A81C41"/>
    <w:rsid w:val="00A8713F"/>
    <w:rsid w:val="00A90BA1"/>
    <w:rsid w:val="00A9584D"/>
    <w:rsid w:val="00A97A9A"/>
    <w:rsid w:val="00AA0671"/>
    <w:rsid w:val="00AA2531"/>
    <w:rsid w:val="00AB1934"/>
    <w:rsid w:val="00AB1E09"/>
    <w:rsid w:val="00AB3904"/>
    <w:rsid w:val="00AB5330"/>
    <w:rsid w:val="00AB549C"/>
    <w:rsid w:val="00AB7747"/>
    <w:rsid w:val="00AB7759"/>
    <w:rsid w:val="00AC14CE"/>
    <w:rsid w:val="00AC2A56"/>
    <w:rsid w:val="00AC384F"/>
    <w:rsid w:val="00AC788F"/>
    <w:rsid w:val="00AD055E"/>
    <w:rsid w:val="00AD1620"/>
    <w:rsid w:val="00AD47A7"/>
    <w:rsid w:val="00AD60A7"/>
    <w:rsid w:val="00AE0180"/>
    <w:rsid w:val="00AE0E95"/>
    <w:rsid w:val="00AE0F27"/>
    <w:rsid w:val="00AF0CBF"/>
    <w:rsid w:val="00AF1A13"/>
    <w:rsid w:val="00AF257F"/>
    <w:rsid w:val="00AF33CF"/>
    <w:rsid w:val="00AF4D50"/>
    <w:rsid w:val="00AF6179"/>
    <w:rsid w:val="00B00405"/>
    <w:rsid w:val="00B0357B"/>
    <w:rsid w:val="00B1295A"/>
    <w:rsid w:val="00B20A45"/>
    <w:rsid w:val="00B22C5C"/>
    <w:rsid w:val="00B23C07"/>
    <w:rsid w:val="00B24F30"/>
    <w:rsid w:val="00B278DE"/>
    <w:rsid w:val="00B31ABF"/>
    <w:rsid w:val="00B33BE3"/>
    <w:rsid w:val="00B452DB"/>
    <w:rsid w:val="00B53B5D"/>
    <w:rsid w:val="00B6055E"/>
    <w:rsid w:val="00B615EF"/>
    <w:rsid w:val="00B62B78"/>
    <w:rsid w:val="00B6317D"/>
    <w:rsid w:val="00B63624"/>
    <w:rsid w:val="00B64166"/>
    <w:rsid w:val="00B75C21"/>
    <w:rsid w:val="00B7723F"/>
    <w:rsid w:val="00B80534"/>
    <w:rsid w:val="00B8433C"/>
    <w:rsid w:val="00B87491"/>
    <w:rsid w:val="00B91472"/>
    <w:rsid w:val="00BA2592"/>
    <w:rsid w:val="00BA29E9"/>
    <w:rsid w:val="00BA36FB"/>
    <w:rsid w:val="00BA7142"/>
    <w:rsid w:val="00BB1EB3"/>
    <w:rsid w:val="00BB237C"/>
    <w:rsid w:val="00BB41A3"/>
    <w:rsid w:val="00BB6AC3"/>
    <w:rsid w:val="00BC1393"/>
    <w:rsid w:val="00BC1404"/>
    <w:rsid w:val="00BC32DC"/>
    <w:rsid w:val="00BC35B6"/>
    <w:rsid w:val="00BC6B4C"/>
    <w:rsid w:val="00BC6C72"/>
    <w:rsid w:val="00BD15BE"/>
    <w:rsid w:val="00BD1B51"/>
    <w:rsid w:val="00BD4596"/>
    <w:rsid w:val="00BD4E15"/>
    <w:rsid w:val="00BE1405"/>
    <w:rsid w:val="00BE312D"/>
    <w:rsid w:val="00BE3991"/>
    <w:rsid w:val="00BE48C0"/>
    <w:rsid w:val="00BF18ED"/>
    <w:rsid w:val="00BF1C20"/>
    <w:rsid w:val="00BF44C6"/>
    <w:rsid w:val="00C0279D"/>
    <w:rsid w:val="00C05904"/>
    <w:rsid w:val="00C10578"/>
    <w:rsid w:val="00C135BC"/>
    <w:rsid w:val="00C15C95"/>
    <w:rsid w:val="00C206B4"/>
    <w:rsid w:val="00C23B4A"/>
    <w:rsid w:val="00C2596A"/>
    <w:rsid w:val="00C27537"/>
    <w:rsid w:val="00C2792D"/>
    <w:rsid w:val="00C328FE"/>
    <w:rsid w:val="00C33507"/>
    <w:rsid w:val="00C33554"/>
    <w:rsid w:val="00C41D92"/>
    <w:rsid w:val="00C4409D"/>
    <w:rsid w:val="00C44E72"/>
    <w:rsid w:val="00C45010"/>
    <w:rsid w:val="00C45A06"/>
    <w:rsid w:val="00C47E5B"/>
    <w:rsid w:val="00C50221"/>
    <w:rsid w:val="00C53E5B"/>
    <w:rsid w:val="00C6134E"/>
    <w:rsid w:val="00C61E4B"/>
    <w:rsid w:val="00C61F24"/>
    <w:rsid w:val="00C6228F"/>
    <w:rsid w:val="00C64BFF"/>
    <w:rsid w:val="00C70309"/>
    <w:rsid w:val="00C704E9"/>
    <w:rsid w:val="00C763C9"/>
    <w:rsid w:val="00C80057"/>
    <w:rsid w:val="00C82232"/>
    <w:rsid w:val="00C82913"/>
    <w:rsid w:val="00C85F20"/>
    <w:rsid w:val="00C86D15"/>
    <w:rsid w:val="00C873B9"/>
    <w:rsid w:val="00C948C9"/>
    <w:rsid w:val="00C9577A"/>
    <w:rsid w:val="00C972B1"/>
    <w:rsid w:val="00CA0D5F"/>
    <w:rsid w:val="00CA2CCE"/>
    <w:rsid w:val="00CA43FD"/>
    <w:rsid w:val="00CA4DA4"/>
    <w:rsid w:val="00CA7EF8"/>
    <w:rsid w:val="00CC489B"/>
    <w:rsid w:val="00CC4D2D"/>
    <w:rsid w:val="00CC74B6"/>
    <w:rsid w:val="00CD1BA4"/>
    <w:rsid w:val="00CD2BCD"/>
    <w:rsid w:val="00CD3A4C"/>
    <w:rsid w:val="00CE10E9"/>
    <w:rsid w:val="00CE2910"/>
    <w:rsid w:val="00CE5393"/>
    <w:rsid w:val="00CF36BE"/>
    <w:rsid w:val="00CF38F8"/>
    <w:rsid w:val="00CF4658"/>
    <w:rsid w:val="00CF6000"/>
    <w:rsid w:val="00CF78ED"/>
    <w:rsid w:val="00D003F3"/>
    <w:rsid w:val="00D0364F"/>
    <w:rsid w:val="00D03AC7"/>
    <w:rsid w:val="00D05269"/>
    <w:rsid w:val="00D06834"/>
    <w:rsid w:val="00D25963"/>
    <w:rsid w:val="00D308ED"/>
    <w:rsid w:val="00D30C02"/>
    <w:rsid w:val="00D36D86"/>
    <w:rsid w:val="00D4087F"/>
    <w:rsid w:val="00D428AA"/>
    <w:rsid w:val="00D4598C"/>
    <w:rsid w:val="00D4748C"/>
    <w:rsid w:val="00D50A34"/>
    <w:rsid w:val="00D53587"/>
    <w:rsid w:val="00D53DF2"/>
    <w:rsid w:val="00D53EFA"/>
    <w:rsid w:val="00D56521"/>
    <w:rsid w:val="00D6337C"/>
    <w:rsid w:val="00D844C6"/>
    <w:rsid w:val="00D87C2B"/>
    <w:rsid w:val="00D93896"/>
    <w:rsid w:val="00D94A7C"/>
    <w:rsid w:val="00D95896"/>
    <w:rsid w:val="00D96F30"/>
    <w:rsid w:val="00DA3360"/>
    <w:rsid w:val="00DA61E3"/>
    <w:rsid w:val="00DB096F"/>
    <w:rsid w:val="00DB2983"/>
    <w:rsid w:val="00DB34FD"/>
    <w:rsid w:val="00DB675E"/>
    <w:rsid w:val="00DC1257"/>
    <w:rsid w:val="00DC3DC0"/>
    <w:rsid w:val="00DC5B2B"/>
    <w:rsid w:val="00DD05DF"/>
    <w:rsid w:val="00DD318D"/>
    <w:rsid w:val="00DD7368"/>
    <w:rsid w:val="00DE7AFE"/>
    <w:rsid w:val="00DF0387"/>
    <w:rsid w:val="00DF2E12"/>
    <w:rsid w:val="00DF514A"/>
    <w:rsid w:val="00DF6690"/>
    <w:rsid w:val="00DF6804"/>
    <w:rsid w:val="00E0358D"/>
    <w:rsid w:val="00E04323"/>
    <w:rsid w:val="00E070A2"/>
    <w:rsid w:val="00E1103C"/>
    <w:rsid w:val="00E23B18"/>
    <w:rsid w:val="00E250FB"/>
    <w:rsid w:val="00E2656A"/>
    <w:rsid w:val="00E273DD"/>
    <w:rsid w:val="00E31A39"/>
    <w:rsid w:val="00E41040"/>
    <w:rsid w:val="00E412D0"/>
    <w:rsid w:val="00E469D7"/>
    <w:rsid w:val="00E54243"/>
    <w:rsid w:val="00E554FE"/>
    <w:rsid w:val="00E55D06"/>
    <w:rsid w:val="00E56322"/>
    <w:rsid w:val="00E60982"/>
    <w:rsid w:val="00E6284A"/>
    <w:rsid w:val="00E62C62"/>
    <w:rsid w:val="00E654C1"/>
    <w:rsid w:val="00E65D97"/>
    <w:rsid w:val="00E71762"/>
    <w:rsid w:val="00E72A5A"/>
    <w:rsid w:val="00E73354"/>
    <w:rsid w:val="00E81B98"/>
    <w:rsid w:val="00E921E2"/>
    <w:rsid w:val="00E9242D"/>
    <w:rsid w:val="00E96E7D"/>
    <w:rsid w:val="00EB5255"/>
    <w:rsid w:val="00EB5C47"/>
    <w:rsid w:val="00ED0639"/>
    <w:rsid w:val="00EF2733"/>
    <w:rsid w:val="00EF4755"/>
    <w:rsid w:val="00EF6E19"/>
    <w:rsid w:val="00EF7135"/>
    <w:rsid w:val="00F027DB"/>
    <w:rsid w:val="00F14A7A"/>
    <w:rsid w:val="00F22985"/>
    <w:rsid w:val="00F3383E"/>
    <w:rsid w:val="00F42916"/>
    <w:rsid w:val="00F465A7"/>
    <w:rsid w:val="00F50B7C"/>
    <w:rsid w:val="00F53F52"/>
    <w:rsid w:val="00F550E6"/>
    <w:rsid w:val="00F64E5B"/>
    <w:rsid w:val="00F65D57"/>
    <w:rsid w:val="00F67388"/>
    <w:rsid w:val="00F67A79"/>
    <w:rsid w:val="00F74345"/>
    <w:rsid w:val="00F760F8"/>
    <w:rsid w:val="00F80A0A"/>
    <w:rsid w:val="00F82B19"/>
    <w:rsid w:val="00F87564"/>
    <w:rsid w:val="00F9212D"/>
    <w:rsid w:val="00F965DA"/>
    <w:rsid w:val="00F9759D"/>
    <w:rsid w:val="00FA28B4"/>
    <w:rsid w:val="00FA406A"/>
    <w:rsid w:val="00FA7428"/>
    <w:rsid w:val="00FB503A"/>
    <w:rsid w:val="00FB516C"/>
    <w:rsid w:val="00FC10D4"/>
    <w:rsid w:val="00FC64D3"/>
    <w:rsid w:val="00FC6C27"/>
    <w:rsid w:val="00FD0236"/>
    <w:rsid w:val="00FD18F4"/>
    <w:rsid w:val="00FD1CBB"/>
    <w:rsid w:val="00FD54DB"/>
    <w:rsid w:val="00FD619F"/>
    <w:rsid w:val="00FD66BB"/>
    <w:rsid w:val="00FD7EF8"/>
    <w:rsid w:val="00FE43F7"/>
    <w:rsid w:val="00FF740F"/>
    <w:rsid w:val="00FF7DD7"/>
    <w:rsid w:val="0102504B"/>
    <w:rsid w:val="01104AFA"/>
    <w:rsid w:val="0126750B"/>
    <w:rsid w:val="01286746"/>
    <w:rsid w:val="01290F7E"/>
    <w:rsid w:val="012E63F5"/>
    <w:rsid w:val="01386247"/>
    <w:rsid w:val="013F1BC6"/>
    <w:rsid w:val="0147520C"/>
    <w:rsid w:val="01477233"/>
    <w:rsid w:val="015D1E09"/>
    <w:rsid w:val="015F6C31"/>
    <w:rsid w:val="016C0721"/>
    <w:rsid w:val="016D4D19"/>
    <w:rsid w:val="0188349E"/>
    <w:rsid w:val="018C1643"/>
    <w:rsid w:val="019B6B37"/>
    <w:rsid w:val="01B12E58"/>
    <w:rsid w:val="01B17500"/>
    <w:rsid w:val="01BC2C1D"/>
    <w:rsid w:val="01BE0275"/>
    <w:rsid w:val="01D8749C"/>
    <w:rsid w:val="01EB1981"/>
    <w:rsid w:val="01EE65E2"/>
    <w:rsid w:val="01F46D2F"/>
    <w:rsid w:val="01FA0657"/>
    <w:rsid w:val="01FB75AD"/>
    <w:rsid w:val="01FF1E15"/>
    <w:rsid w:val="0217611A"/>
    <w:rsid w:val="02294CF6"/>
    <w:rsid w:val="02365FEF"/>
    <w:rsid w:val="02377801"/>
    <w:rsid w:val="023B7FFA"/>
    <w:rsid w:val="024456CD"/>
    <w:rsid w:val="025172FE"/>
    <w:rsid w:val="02697903"/>
    <w:rsid w:val="026A5466"/>
    <w:rsid w:val="026B73C4"/>
    <w:rsid w:val="027A5940"/>
    <w:rsid w:val="02871E39"/>
    <w:rsid w:val="029B6855"/>
    <w:rsid w:val="02CA4838"/>
    <w:rsid w:val="02CF44FD"/>
    <w:rsid w:val="02D24B6E"/>
    <w:rsid w:val="02EE29EB"/>
    <w:rsid w:val="02F96569"/>
    <w:rsid w:val="030228ED"/>
    <w:rsid w:val="03127C33"/>
    <w:rsid w:val="03186F70"/>
    <w:rsid w:val="032025C1"/>
    <w:rsid w:val="03250F3C"/>
    <w:rsid w:val="032F62FD"/>
    <w:rsid w:val="03300F24"/>
    <w:rsid w:val="03311583"/>
    <w:rsid w:val="03494ABD"/>
    <w:rsid w:val="0376445A"/>
    <w:rsid w:val="03780F6B"/>
    <w:rsid w:val="039250C4"/>
    <w:rsid w:val="039B3971"/>
    <w:rsid w:val="039D1E5C"/>
    <w:rsid w:val="03AB4ED1"/>
    <w:rsid w:val="03C13EFC"/>
    <w:rsid w:val="03CF2C2A"/>
    <w:rsid w:val="03D27AB2"/>
    <w:rsid w:val="03D516D3"/>
    <w:rsid w:val="03D71E0B"/>
    <w:rsid w:val="03E52A94"/>
    <w:rsid w:val="03EA7B21"/>
    <w:rsid w:val="03F47000"/>
    <w:rsid w:val="0409429E"/>
    <w:rsid w:val="04235586"/>
    <w:rsid w:val="0438160E"/>
    <w:rsid w:val="04446205"/>
    <w:rsid w:val="04506958"/>
    <w:rsid w:val="045878BD"/>
    <w:rsid w:val="045B0569"/>
    <w:rsid w:val="045E21D0"/>
    <w:rsid w:val="04723D01"/>
    <w:rsid w:val="047A38B0"/>
    <w:rsid w:val="047C7139"/>
    <w:rsid w:val="04846602"/>
    <w:rsid w:val="04876993"/>
    <w:rsid w:val="048D2785"/>
    <w:rsid w:val="04AB4594"/>
    <w:rsid w:val="04AC1461"/>
    <w:rsid w:val="04B8058E"/>
    <w:rsid w:val="04B8274F"/>
    <w:rsid w:val="04BF763A"/>
    <w:rsid w:val="04CB64AE"/>
    <w:rsid w:val="04CC7569"/>
    <w:rsid w:val="04D65082"/>
    <w:rsid w:val="04D8339E"/>
    <w:rsid w:val="04D95BA2"/>
    <w:rsid w:val="04DF36B7"/>
    <w:rsid w:val="04E03F8B"/>
    <w:rsid w:val="04F53008"/>
    <w:rsid w:val="051537AF"/>
    <w:rsid w:val="052C420E"/>
    <w:rsid w:val="052D245D"/>
    <w:rsid w:val="053073F4"/>
    <w:rsid w:val="0536468A"/>
    <w:rsid w:val="053972A5"/>
    <w:rsid w:val="05471A0A"/>
    <w:rsid w:val="05512C54"/>
    <w:rsid w:val="055E6E53"/>
    <w:rsid w:val="056D0F61"/>
    <w:rsid w:val="05773A31"/>
    <w:rsid w:val="05900F22"/>
    <w:rsid w:val="05BD02ED"/>
    <w:rsid w:val="05C23B25"/>
    <w:rsid w:val="05DF44C4"/>
    <w:rsid w:val="05E16EC8"/>
    <w:rsid w:val="05E355AA"/>
    <w:rsid w:val="05EC445F"/>
    <w:rsid w:val="05F567C3"/>
    <w:rsid w:val="05F83EAE"/>
    <w:rsid w:val="05FC3179"/>
    <w:rsid w:val="061037B0"/>
    <w:rsid w:val="06242E2C"/>
    <w:rsid w:val="06276041"/>
    <w:rsid w:val="063566BE"/>
    <w:rsid w:val="063876A4"/>
    <w:rsid w:val="063E7D85"/>
    <w:rsid w:val="06574B02"/>
    <w:rsid w:val="065F3F43"/>
    <w:rsid w:val="06610C3D"/>
    <w:rsid w:val="067756C6"/>
    <w:rsid w:val="067D1146"/>
    <w:rsid w:val="068072B7"/>
    <w:rsid w:val="068D20B1"/>
    <w:rsid w:val="06950AFF"/>
    <w:rsid w:val="06A001E1"/>
    <w:rsid w:val="06AC6339"/>
    <w:rsid w:val="06DE3AEC"/>
    <w:rsid w:val="06E72FAE"/>
    <w:rsid w:val="06E96BF0"/>
    <w:rsid w:val="06F677CF"/>
    <w:rsid w:val="06F94D44"/>
    <w:rsid w:val="06FB7817"/>
    <w:rsid w:val="070635C6"/>
    <w:rsid w:val="070643F0"/>
    <w:rsid w:val="07111339"/>
    <w:rsid w:val="071A2239"/>
    <w:rsid w:val="07284833"/>
    <w:rsid w:val="07293586"/>
    <w:rsid w:val="07295285"/>
    <w:rsid w:val="072E2CF9"/>
    <w:rsid w:val="07316B3F"/>
    <w:rsid w:val="07342D11"/>
    <w:rsid w:val="073603A5"/>
    <w:rsid w:val="07384FBD"/>
    <w:rsid w:val="074377C1"/>
    <w:rsid w:val="07582940"/>
    <w:rsid w:val="07585B24"/>
    <w:rsid w:val="07591FC8"/>
    <w:rsid w:val="075B5D40"/>
    <w:rsid w:val="07636392"/>
    <w:rsid w:val="07680DB4"/>
    <w:rsid w:val="076A4406"/>
    <w:rsid w:val="07762DA6"/>
    <w:rsid w:val="07770C56"/>
    <w:rsid w:val="07825F7B"/>
    <w:rsid w:val="0798634E"/>
    <w:rsid w:val="07A1022A"/>
    <w:rsid w:val="07A20E7D"/>
    <w:rsid w:val="07A63208"/>
    <w:rsid w:val="07B12CF4"/>
    <w:rsid w:val="07BE70C4"/>
    <w:rsid w:val="07CF5DE6"/>
    <w:rsid w:val="07D5298B"/>
    <w:rsid w:val="07D63F27"/>
    <w:rsid w:val="07EF0AC4"/>
    <w:rsid w:val="07F958AD"/>
    <w:rsid w:val="08030222"/>
    <w:rsid w:val="081B102B"/>
    <w:rsid w:val="08290578"/>
    <w:rsid w:val="08591B53"/>
    <w:rsid w:val="085B3B1D"/>
    <w:rsid w:val="08713341"/>
    <w:rsid w:val="087D5ACC"/>
    <w:rsid w:val="0886328A"/>
    <w:rsid w:val="08883D61"/>
    <w:rsid w:val="08DF474E"/>
    <w:rsid w:val="08EB6AC8"/>
    <w:rsid w:val="08EC29E0"/>
    <w:rsid w:val="092217DD"/>
    <w:rsid w:val="09223272"/>
    <w:rsid w:val="09263E6C"/>
    <w:rsid w:val="093930E9"/>
    <w:rsid w:val="093A7294"/>
    <w:rsid w:val="094334CD"/>
    <w:rsid w:val="094605F3"/>
    <w:rsid w:val="094D4DE7"/>
    <w:rsid w:val="0963712E"/>
    <w:rsid w:val="097831F2"/>
    <w:rsid w:val="097E3F67"/>
    <w:rsid w:val="09854754"/>
    <w:rsid w:val="098A32F2"/>
    <w:rsid w:val="099472E7"/>
    <w:rsid w:val="099C07DA"/>
    <w:rsid w:val="09AD2157"/>
    <w:rsid w:val="09B838DC"/>
    <w:rsid w:val="09CD011F"/>
    <w:rsid w:val="09DD7881"/>
    <w:rsid w:val="09E61D67"/>
    <w:rsid w:val="09E66458"/>
    <w:rsid w:val="09E67587"/>
    <w:rsid w:val="09F70572"/>
    <w:rsid w:val="0A0B6273"/>
    <w:rsid w:val="0A263993"/>
    <w:rsid w:val="0A2951D3"/>
    <w:rsid w:val="0A2D3AC2"/>
    <w:rsid w:val="0A361AFA"/>
    <w:rsid w:val="0A386CC6"/>
    <w:rsid w:val="0A454A85"/>
    <w:rsid w:val="0A471AF2"/>
    <w:rsid w:val="0A615CF2"/>
    <w:rsid w:val="0A635CD8"/>
    <w:rsid w:val="0A646DAB"/>
    <w:rsid w:val="0A7D1F5B"/>
    <w:rsid w:val="0A7E769F"/>
    <w:rsid w:val="0A962A0D"/>
    <w:rsid w:val="0AA755DF"/>
    <w:rsid w:val="0AB614DF"/>
    <w:rsid w:val="0ACC4155"/>
    <w:rsid w:val="0AD432FF"/>
    <w:rsid w:val="0ADB0F46"/>
    <w:rsid w:val="0AEC47A4"/>
    <w:rsid w:val="0AEF4767"/>
    <w:rsid w:val="0B0121FF"/>
    <w:rsid w:val="0B073D88"/>
    <w:rsid w:val="0B0D266A"/>
    <w:rsid w:val="0B120D44"/>
    <w:rsid w:val="0B205DFA"/>
    <w:rsid w:val="0B221306"/>
    <w:rsid w:val="0B2A1EAF"/>
    <w:rsid w:val="0B2F04C3"/>
    <w:rsid w:val="0B360776"/>
    <w:rsid w:val="0B473E42"/>
    <w:rsid w:val="0B7E230B"/>
    <w:rsid w:val="0B815040"/>
    <w:rsid w:val="0B8E420A"/>
    <w:rsid w:val="0B8E60B2"/>
    <w:rsid w:val="0BB97EB5"/>
    <w:rsid w:val="0BC11C62"/>
    <w:rsid w:val="0BC419DA"/>
    <w:rsid w:val="0BC94090"/>
    <w:rsid w:val="0BD2367E"/>
    <w:rsid w:val="0BD252FA"/>
    <w:rsid w:val="0BD27BF6"/>
    <w:rsid w:val="0BDC3AEC"/>
    <w:rsid w:val="0BE20544"/>
    <w:rsid w:val="0BF3503F"/>
    <w:rsid w:val="0C0B5817"/>
    <w:rsid w:val="0C114E3E"/>
    <w:rsid w:val="0C1E6464"/>
    <w:rsid w:val="0C3B3C7D"/>
    <w:rsid w:val="0C4E3288"/>
    <w:rsid w:val="0C51441C"/>
    <w:rsid w:val="0C5410C7"/>
    <w:rsid w:val="0C5C23CB"/>
    <w:rsid w:val="0C64797D"/>
    <w:rsid w:val="0C6805B7"/>
    <w:rsid w:val="0C6E3C1D"/>
    <w:rsid w:val="0C757642"/>
    <w:rsid w:val="0CA30F4A"/>
    <w:rsid w:val="0CA732B7"/>
    <w:rsid w:val="0CAB2EAE"/>
    <w:rsid w:val="0CAB4036"/>
    <w:rsid w:val="0CAF7FB4"/>
    <w:rsid w:val="0CB7441B"/>
    <w:rsid w:val="0CCF735E"/>
    <w:rsid w:val="0CD75C07"/>
    <w:rsid w:val="0CE600AE"/>
    <w:rsid w:val="0CEB1914"/>
    <w:rsid w:val="0CF90D1C"/>
    <w:rsid w:val="0D03601F"/>
    <w:rsid w:val="0D1A29B7"/>
    <w:rsid w:val="0D1B607D"/>
    <w:rsid w:val="0D2F7AC0"/>
    <w:rsid w:val="0D32656D"/>
    <w:rsid w:val="0D457FAD"/>
    <w:rsid w:val="0D4F793B"/>
    <w:rsid w:val="0D58150F"/>
    <w:rsid w:val="0D5E3A1F"/>
    <w:rsid w:val="0D605DD6"/>
    <w:rsid w:val="0D621C7D"/>
    <w:rsid w:val="0D7A1F31"/>
    <w:rsid w:val="0D8A6736"/>
    <w:rsid w:val="0D8E6743"/>
    <w:rsid w:val="0D9B2419"/>
    <w:rsid w:val="0D9C72DB"/>
    <w:rsid w:val="0DA06BF0"/>
    <w:rsid w:val="0DA31FFA"/>
    <w:rsid w:val="0DA545A6"/>
    <w:rsid w:val="0DA8293C"/>
    <w:rsid w:val="0DAF5C66"/>
    <w:rsid w:val="0DB01177"/>
    <w:rsid w:val="0DB40A2D"/>
    <w:rsid w:val="0DB75A7B"/>
    <w:rsid w:val="0DBA3094"/>
    <w:rsid w:val="0DC22D1E"/>
    <w:rsid w:val="0DE17F62"/>
    <w:rsid w:val="0DF113E9"/>
    <w:rsid w:val="0DF62103"/>
    <w:rsid w:val="0DF633DE"/>
    <w:rsid w:val="0DFA6482"/>
    <w:rsid w:val="0DFE1FD2"/>
    <w:rsid w:val="0E043417"/>
    <w:rsid w:val="0E0B2C18"/>
    <w:rsid w:val="0E3270CE"/>
    <w:rsid w:val="0E350E4D"/>
    <w:rsid w:val="0E4E3F91"/>
    <w:rsid w:val="0E73034D"/>
    <w:rsid w:val="0E762F7F"/>
    <w:rsid w:val="0E763E20"/>
    <w:rsid w:val="0E8813E4"/>
    <w:rsid w:val="0E8A2A67"/>
    <w:rsid w:val="0E8F62CF"/>
    <w:rsid w:val="0EA54359"/>
    <w:rsid w:val="0EAF24CD"/>
    <w:rsid w:val="0ED16A78"/>
    <w:rsid w:val="0EE2047C"/>
    <w:rsid w:val="0EE440EE"/>
    <w:rsid w:val="0EE83D6C"/>
    <w:rsid w:val="0EEA4F8F"/>
    <w:rsid w:val="0EFE61A2"/>
    <w:rsid w:val="0F0A38B0"/>
    <w:rsid w:val="0F13775A"/>
    <w:rsid w:val="0F1D38DB"/>
    <w:rsid w:val="0F237CC7"/>
    <w:rsid w:val="0F3F0BAE"/>
    <w:rsid w:val="0F5A60BE"/>
    <w:rsid w:val="0F5F45FE"/>
    <w:rsid w:val="0F681B4C"/>
    <w:rsid w:val="0F9A112B"/>
    <w:rsid w:val="0F9C6EF5"/>
    <w:rsid w:val="0FBA737B"/>
    <w:rsid w:val="0FD325D8"/>
    <w:rsid w:val="0FD90A2C"/>
    <w:rsid w:val="0FDB3E7C"/>
    <w:rsid w:val="0FEA139F"/>
    <w:rsid w:val="10030D22"/>
    <w:rsid w:val="100476CC"/>
    <w:rsid w:val="10172E1B"/>
    <w:rsid w:val="101B2864"/>
    <w:rsid w:val="101C05E5"/>
    <w:rsid w:val="101E4FC7"/>
    <w:rsid w:val="10240662"/>
    <w:rsid w:val="1032785A"/>
    <w:rsid w:val="104B72E3"/>
    <w:rsid w:val="106D2F64"/>
    <w:rsid w:val="107A4392"/>
    <w:rsid w:val="1084701E"/>
    <w:rsid w:val="108A1444"/>
    <w:rsid w:val="108C5EC6"/>
    <w:rsid w:val="109006A5"/>
    <w:rsid w:val="109C2F25"/>
    <w:rsid w:val="10AA22D7"/>
    <w:rsid w:val="10B63710"/>
    <w:rsid w:val="10C34A9C"/>
    <w:rsid w:val="10CB5B00"/>
    <w:rsid w:val="10DA27E4"/>
    <w:rsid w:val="10E27E92"/>
    <w:rsid w:val="10E97796"/>
    <w:rsid w:val="10EE6C90"/>
    <w:rsid w:val="10F10820"/>
    <w:rsid w:val="111C2F7A"/>
    <w:rsid w:val="111D00F1"/>
    <w:rsid w:val="111E26C0"/>
    <w:rsid w:val="11412072"/>
    <w:rsid w:val="114738CC"/>
    <w:rsid w:val="11665CA1"/>
    <w:rsid w:val="116F2521"/>
    <w:rsid w:val="117C5285"/>
    <w:rsid w:val="11803B3C"/>
    <w:rsid w:val="11953CD5"/>
    <w:rsid w:val="11A238E8"/>
    <w:rsid w:val="11BD462B"/>
    <w:rsid w:val="11BD5087"/>
    <w:rsid w:val="11C12502"/>
    <w:rsid w:val="11CC1715"/>
    <w:rsid w:val="11D230A2"/>
    <w:rsid w:val="11FE3064"/>
    <w:rsid w:val="12061296"/>
    <w:rsid w:val="120E1981"/>
    <w:rsid w:val="123F1DBA"/>
    <w:rsid w:val="12415994"/>
    <w:rsid w:val="12453ABD"/>
    <w:rsid w:val="124B16ED"/>
    <w:rsid w:val="125D323D"/>
    <w:rsid w:val="126760B7"/>
    <w:rsid w:val="12764231"/>
    <w:rsid w:val="12862768"/>
    <w:rsid w:val="128C011B"/>
    <w:rsid w:val="12964976"/>
    <w:rsid w:val="129B0579"/>
    <w:rsid w:val="129E20E8"/>
    <w:rsid w:val="12A042A1"/>
    <w:rsid w:val="12A444BD"/>
    <w:rsid w:val="12A63D9C"/>
    <w:rsid w:val="12C363DB"/>
    <w:rsid w:val="12CB7331"/>
    <w:rsid w:val="12D55966"/>
    <w:rsid w:val="12F928B1"/>
    <w:rsid w:val="1303230C"/>
    <w:rsid w:val="13181B69"/>
    <w:rsid w:val="131E07D4"/>
    <w:rsid w:val="133026F7"/>
    <w:rsid w:val="13447814"/>
    <w:rsid w:val="13483EE6"/>
    <w:rsid w:val="135F50A7"/>
    <w:rsid w:val="13642D20"/>
    <w:rsid w:val="137C3678"/>
    <w:rsid w:val="13925426"/>
    <w:rsid w:val="13951726"/>
    <w:rsid w:val="139F1AD5"/>
    <w:rsid w:val="13A02620"/>
    <w:rsid w:val="13A77073"/>
    <w:rsid w:val="13AB160F"/>
    <w:rsid w:val="13BA2885"/>
    <w:rsid w:val="13BB36C2"/>
    <w:rsid w:val="13C810CE"/>
    <w:rsid w:val="13C911E0"/>
    <w:rsid w:val="13D35839"/>
    <w:rsid w:val="13D453CE"/>
    <w:rsid w:val="13E04BB7"/>
    <w:rsid w:val="13E8320C"/>
    <w:rsid w:val="13E83B04"/>
    <w:rsid w:val="14062C20"/>
    <w:rsid w:val="14164994"/>
    <w:rsid w:val="14204CC7"/>
    <w:rsid w:val="14245320"/>
    <w:rsid w:val="14396509"/>
    <w:rsid w:val="143F17D7"/>
    <w:rsid w:val="14446C85"/>
    <w:rsid w:val="144F67C5"/>
    <w:rsid w:val="145934EF"/>
    <w:rsid w:val="14597118"/>
    <w:rsid w:val="14662F5F"/>
    <w:rsid w:val="147E3D8D"/>
    <w:rsid w:val="1485155D"/>
    <w:rsid w:val="14883EEC"/>
    <w:rsid w:val="14AD52DD"/>
    <w:rsid w:val="14AD582E"/>
    <w:rsid w:val="14BC3A36"/>
    <w:rsid w:val="14BC5F5A"/>
    <w:rsid w:val="14C703E6"/>
    <w:rsid w:val="14D338F2"/>
    <w:rsid w:val="14DD2C3C"/>
    <w:rsid w:val="14E53FB6"/>
    <w:rsid w:val="14E61BFD"/>
    <w:rsid w:val="14EE562F"/>
    <w:rsid w:val="14FF414A"/>
    <w:rsid w:val="15140FC1"/>
    <w:rsid w:val="15396F94"/>
    <w:rsid w:val="153C37CD"/>
    <w:rsid w:val="15400323"/>
    <w:rsid w:val="1542664D"/>
    <w:rsid w:val="15431195"/>
    <w:rsid w:val="15510782"/>
    <w:rsid w:val="155263E2"/>
    <w:rsid w:val="155F3DDF"/>
    <w:rsid w:val="15657721"/>
    <w:rsid w:val="15687547"/>
    <w:rsid w:val="15695ACC"/>
    <w:rsid w:val="156B0F89"/>
    <w:rsid w:val="156B705A"/>
    <w:rsid w:val="1572176E"/>
    <w:rsid w:val="157A3C95"/>
    <w:rsid w:val="15800D67"/>
    <w:rsid w:val="15802560"/>
    <w:rsid w:val="1587135C"/>
    <w:rsid w:val="158F2592"/>
    <w:rsid w:val="15930BB8"/>
    <w:rsid w:val="15A56496"/>
    <w:rsid w:val="15B11A3B"/>
    <w:rsid w:val="15BA1253"/>
    <w:rsid w:val="15C1359B"/>
    <w:rsid w:val="15C856D4"/>
    <w:rsid w:val="15DC146D"/>
    <w:rsid w:val="15E801C8"/>
    <w:rsid w:val="15EE4223"/>
    <w:rsid w:val="15F074AB"/>
    <w:rsid w:val="16087E1D"/>
    <w:rsid w:val="16170E4D"/>
    <w:rsid w:val="161D1505"/>
    <w:rsid w:val="16203FF8"/>
    <w:rsid w:val="162163A6"/>
    <w:rsid w:val="16300C06"/>
    <w:rsid w:val="16536FD4"/>
    <w:rsid w:val="16640041"/>
    <w:rsid w:val="167D4100"/>
    <w:rsid w:val="16824B41"/>
    <w:rsid w:val="168757ED"/>
    <w:rsid w:val="16897F0F"/>
    <w:rsid w:val="16B839AE"/>
    <w:rsid w:val="16C7153D"/>
    <w:rsid w:val="16CC6A52"/>
    <w:rsid w:val="16DE2130"/>
    <w:rsid w:val="16DF7D5D"/>
    <w:rsid w:val="16E03895"/>
    <w:rsid w:val="16EF5DE6"/>
    <w:rsid w:val="16F12A12"/>
    <w:rsid w:val="16F36813"/>
    <w:rsid w:val="16F47617"/>
    <w:rsid w:val="16FC562E"/>
    <w:rsid w:val="17024B9B"/>
    <w:rsid w:val="170969D9"/>
    <w:rsid w:val="17344864"/>
    <w:rsid w:val="1749129C"/>
    <w:rsid w:val="175869C9"/>
    <w:rsid w:val="175F27EB"/>
    <w:rsid w:val="176178CB"/>
    <w:rsid w:val="176A22B4"/>
    <w:rsid w:val="17701D14"/>
    <w:rsid w:val="17735226"/>
    <w:rsid w:val="17B279BC"/>
    <w:rsid w:val="17B33686"/>
    <w:rsid w:val="17B8420A"/>
    <w:rsid w:val="17BE7312"/>
    <w:rsid w:val="17D60381"/>
    <w:rsid w:val="17DD454F"/>
    <w:rsid w:val="18034D3B"/>
    <w:rsid w:val="18094795"/>
    <w:rsid w:val="181F6915"/>
    <w:rsid w:val="18247EF3"/>
    <w:rsid w:val="18343C00"/>
    <w:rsid w:val="1841684A"/>
    <w:rsid w:val="184F5776"/>
    <w:rsid w:val="187C6652"/>
    <w:rsid w:val="188B0299"/>
    <w:rsid w:val="188E124F"/>
    <w:rsid w:val="189C3F86"/>
    <w:rsid w:val="189F624C"/>
    <w:rsid w:val="18A27749"/>
    <w:rsid w:val="18AD129B"/>
    <w:rsid w:val="18B93276"/>
    <w:rsid w:val="18C4126B"/>
    <w:rsid w:val="18CA447E"/>
    <w:rsid w:val="18D52804"/>
    <w:rsid w:val="18DA7BD4"/>
    <w:rsid w:val="18F80092"/>
    <w:rsid w:val="18F91B82"/>
    <w:rsid w:val="191C198E"/>
    <w:rsid w:val="191F03E6"/>
    <w:rsid w:val="19223B60"/>
    <w:rsid w:val="19362985"/>
    <w:rsid w:val="193F1D3A"/>
    <w:rsid w:val="1940324A"/>
    <w:rsid w:val="19545B19"/>
    <w:rsid w:val="19567D6F"/>
    <w:rsid w:val="19574E12"/>
    <w:rsid w:val="196F11D7"/>
    <w:rsid w:val="197131A1"/>
    <w:rsid w:val="19765D04"/>
    <w:rsid w:val="19800BE0"/>
    <w:rsid w:val="199D7658"/>
    <w:rsid w:val="19C72CD4"/>
    <w:rsid w:val="19C84D8B"/>
    <w:rsid w:val="19DC06F8"/>
    <w:rsid w:val="19E163F4"/>
    <w:rsid w:val="1A021F90"/>
    <w:rsid w:val="1A1A55E6"/>
    <w:rsid w:val="1A1C66C0"/>
    <w:rsid w:val="1A1F2BFD"/>
    <w:rsid w:val="1A264315"/>
    <w:rsid w:val="1A29435F"/>
    <w:rsid w:val="1A2C611D"/>
    <w:rsid w:val="1A366198"/>
    <w:rsid w:val="1A42393B"/>
    <w:rsid w:val="1A4D1E1A"/>
    <w:rsid w:val="1A5902E8"/>
    <w:rsid w:val="1A597830"/>
    <w:rsid w:val="1A5B5BFF"/>
    <w:rsid w:val="1A5E1EAD"/>
    <w:rsid w:val="1A6A2BEF"/>
    <w:rsid w:val="1A6D5E9C"/>
    <w:rsid w:val="1A6E7260"/>
    <w:rsid w:val="1A71623D"/>
    <w:rsid w:val="1A827286"/>
    <w:rsid w:val="1A8A3DEE"/>
    <w:rsid w:val="1A911B37"/>
    <w:rsid w:val="1AA147BF"/>
    <w:rsid w:val="1AA35DC0"/>
    <w:rsid w:val="1AAD45DE"/>
    <w:rsid w:val="1AB077E4"/>
    <w:rsid w:val="1AB63A7B"/>
    <w:rsid w:val="1ABC64AA"/>
    <w:rsid w:val="1ABF0C19"/>
    <w:rsid w:val="1AC06E48"/>
    <w:rsid w:val="1AC46DEB"/>
    <w:rsid w:val="1AC75CCA"/>
    <w:rsid w:val="1ACB4B4C"/>
    <w:rsid w:val="1AD616A7"/>
    <w:rsid w:val="1AD76944"/>
    <w:rsid w:val="1ADB689B"/>
    <w:rsid w:val="1AEE1659"/>
    <w:rsid w:val="1AF85E71"/>
    <w:rsid w:val="1AF9075D"/>
    <w:rsid w:val="1B006774"/>
    <w:rsid w:val="1B0268EE"/>
    <w:rsid w:val="1B043BA1"/>
    <w:rsid w:val="1B046F80"/>
    <w:rsid w:val="1B0A6728"/>
    <w:rsid w:val="1B206BA4"/>
    <w:rsid w:val="1B320D6B"/>
    <w:rsid w:val="1B3267B5"/>
    <w:rsid w:val="1B40161D"/>
    <w:rsid w:val="1B441859"/>
    <w:rsid w:val="1B540B7F"/>
    <w:rsid w:val="1B6606B1"/>
    <w:rsid w:val="1B6709C8"/>
    <w:rsid w:val="1B727FFE"/>
    <w:rsid w:val="1B7F36F3"/>
    <w:rsid w:val="1B8305EE"/>
    <w:rsid w:val="1B83540D"/>
    <w:rsid w:val="1B8C3A11"/>
    <w:rsid w:val="1B9238A2"/>
    <w:rsid w:val="1B986E3F"/>
    <w:rsid w:val="1BA333BA"/>
    <w:rsid w:val="1BE20386"/>
    <w:rsid w:val="1BF91528"/>
    <w:rsid w:val="1BFB1448"/>
    <w:rsid w:val="1C036C41"/>
    <w:rsid w:val="1C0A26FD"/>
    <w:rsid w:val="1C0C3408"/>
    <w:rsid w:val="1C30208D"/>
    <w:rsid w:val="1C3D16C2"/>
    <w:rsid w:val="1C3D4154"/>
    <w:rsid w:val="1C444C69"/>
    <w:rsid w:val="1C583DAC"/>
    <w:rsid w:val="1C5E7925"/>
    <w:rsid w:val="1C5F29F8"/>
    <w:rsid w:val="1C67242C"/>
    <w:rsid w:val="1C6E194B"/>
    <w:rsid w:val="1C896A53"/>
    <w:rsid w:val="1C8B2B67"/>
    <w:rsid w:val="1C922D5A"/>
    <w:rsid w:val="1C9B2852"/>
    <w:rsid w:val="1CB93B93"/>
    <w:rsid w:val="1CBC17A7"/>
    <w:rsid w:val="1CBC4BCE"/>
    <w:rsid w:val="1CBE0118"/>
    <w:rsid w:val="1CBE111D"/>
    <w:rsid w:val="1CD6686C"/>
    <w:rsid w:val="1CD83EC1"/>
    <w:rsid w:val="1CFD070F"/>
    <w:rsid w:val="1D090B12"/>
    <w:rsid w:val="1D091F0B"/>
    <w:rsid w:val="1D0E2476"/>
    <w:rsid w:val="1D1453D9"/>
    <w:rsid w:val="1D226AC4"/>
    <w:rsid w:val="1D2422D8"/>
    <w:rsid w:val="1D2B38EF"/>
    <w:rsid w:val="1D3F3A4B"/>
    <w:rsid w:val="1D4C36EE"/>
    <w:rsid w:val="1D4F2021"/>
    <w:rsid w:val="1D594678"/>
    <w:rsid w:val="1D5B0379"/>
    <w:rsid w:val="1D5E1838"/>
    <w:rsid w:val="1D5F6196"/>
    <w:rsid w:val="1D6132A5"/>
    <w:rsid w:val="1D6741B0"/>
    <w:rsid w:val="1D6F314D"/>
    <w:rsid w:val="1D8E01F6"/>
    <w:rsid w:val="1D8E56D5"/>
    <w:rsid w:val="1D9714C6"/>
    <w:rsid w:val="1DAE3691"/>
    <w:rsid w:val="1DCA0AB1"/>
    <w:rsid w:val="1DCE50D6"/>
    <w:rsid w:val="1DD83E18"/>
    <w:rsid w:val="1DDE4B57"/>
    <w:rsid w:val="1DF170E7"/>
    <w:rsid w:val="1E0443A0"/>
    <w:rsid w:val="1E0C12ED"/>
    <w:rsid w:val="1E0D2074"/>
    <w:rsid w:val="1E15390D"/>
    <w:rsid w:val="1E29229C"/>
    <w:rsid w:val="1E317C09"/>
    <w:rsid w:val="1E407EFE"/>
    <w:rsid w:val="1E5B343A"/>
    <w:rsid w:val="1E6520B4"/>
    <w:rsid w:val="1E6E1344"/>
    <w:rsid w:val="1E7A43DA"/>
    <w:rsid w:val="1E8079E2"/>
    <w:rsid w:val="1E8A260F"/>
    <w:rsid w:val="1EA615E2"/>
    <w:rsid w:val="1EAE1104"/>
    <w:rsid w:val="1EC0357A"/>
    <w:rsid w:val="1EC80224"/>
    <w:rsid w:val="1ED018F6"/>
    <w:rsid w:val="1EF06916"/>
    <w:rsid w:val="1EFB7F2B"/>
    <w:rsid w:val="1F064632"/>
    <w:rsid w:val="1F0B01F7"/>
    <w:rsid w:val="1F14569C"/>
    <w:rsid w:val="1F146CBC"/>
    <w:rsid w:val="1F1817A5"/>
    <w:rsid w:val="1F1840BF"/>
    <w:rsid w:val="1F224D32"/>
    <w:rsid w:val="1F3517D2"/>
    <w:rsid w:val="1F42250B"/>
    <w:rsid w:val="1F424975"/>
    <w:rsid w:val="1F443106"/>
    <w:rsid w:val="1F4D2791"/>
    <w:rsid w:val="1F527908"/>
    <w:rsid w:val="1F5C4E39"/>
    <w:rsid w:val="1F61660E"/>
    <w:rsid w:val="1F6C0055"/>
    <w:rsid w:val="1F73656A"/>
    <w:rsid w:val="1F746719"/>
    <w:rsid w:val="1F8602C7"/>
    <w:rsid w:val="1F8C1B9E"/>
    <w:rsid w:val="1F901EA7"/>
    <w:rsid w:val="1FDF686A"/>
    <w:rsid w:val="1FE40D4A"/>
    <w:rsid w:val="1FE7539E"/>
    <w:rsid w:val="1FEA1316"/>
    <w:rsid w:val="1FF86E91"/>
    <w:rsid w:val="1FFF48C3"/>
    <w:rsid w:val="200C4870"/>
    <w:rsid w:val="20103D26"/>
    <w:rsid w:val="201D4D0D"/>
    <w:rsid w:val="202A7BAC"/>
    <w:rsid w:val="2034621A"/>
    <w:rsid w:val="203A4EB6"/>
    <w:rsid w:val="2049508B"/>
    <w:rsid w:val="204C4020"/>
    <w:rsid w:val="20596E5C"/>
    <w:rsid w:val="205D7490"/>
    <w:rsid w:val="20671BE0"/>
    <w:rsid w:val="20812BE4"/>
    <w:rsid w:val="208821E8"/>
    <w:rsid w:val="208C0120"/>
    <w:rsid w:val="208C480E"/>
    <w:rsid w:val="20963CB8"/>
    <w:rsid w:val="20A01162"/>
    <w:rsid w:val="20A81A1B"/>
    <w:rsid w:val="20B07FB6"/>
    <w:rsid w:val="20B646FB"/>
    <w:rsid w:val="20BB4203"/>
    <w:rsid w:val="20E5015C"/>
    <w:rsid w:val="20E576E2"/>
    <w:rsid w:val="20E57FD0"/>
    <w:rsid w:val="20FF3A1E"/>
    <w:rsid w:val="21094097"/>
    <w:rsid w:val="210A7A37"/>
    <w:rsid w:val="210F0073"/>
    <w:rsid w:val="21107EC4"/>
    <w:rsid w:val="211E010C"/>
    <w:rsid w:val="212F633B"/>
    <w:rsid w:val="213B74B1"/>
    <w:rsid w:val="214479B4"/>
    <w:rsid w:val="214D7163"/>
    <w:rsid w:val="21524E76"/>
    <w:rsid w:val="21580AD3"/>
    <w:rsid w:val="215971DD"/>
    <w:rsid w:val="215A2310"/>
    <w:rsid w:val="216E2EB4"/>
    <w:rsid w:val="216F6096"/>
    <w:rsid w:val="218123E6"/>
    <w:rsid w:val="219937BD"/>
    <w:rsid w:val="219B593E"/>
    <w:rsid w:val="21A67029"/>
    <w:rsid w:val="21B81BD5"/>
    <w:rsid w:val="21C443C4"/>
    <w:rsid w:val="21C77A24"/>
    <w:rsid w:val="21DE318A"/>
    <w:rsid w:val="21E14E60"/>
    <w:rsid w:val="21E56A30"/>
    <w:rsid w:val="21ED218D"/>
    <w:rsid w:val="21EF5B80"/>
    <w:rsid w:val="21F726B1"/>
    <w:rsid w:val="21FE3A19"/>
    <w:rsid w:val="222671BF"/>
    <w:rsid w:val="222946E0"/>
    <w:rsid w:val="22396CCE"/>
    <w:rsid w:val="223E1392"/>
    <w:rsid w:val="223F7960"/>
    <w:rsid w:val="224156DA"/>
    <w:rsid w:val="22431ECC"/>
    <w:rsid w:val="22483502"/>
    <w:rsid w:val="224F3C21"/>
    <w:rsid w:val="22544F4A"/>
    <w:rsid w:val="22576990"/>
    <w:rsid w:val="225F22D7"/>
    <w:rsid w:val="226A56DE"/>
    <w:rsid w:val="227A2566"/>
    <w:rsid w:val="228501EE"/>
    <w:rsid w:val="22940EB3"/>
    <w:rsid w:val="229421F8"/>
    <w:rsid w:val="229C28CB"/>
    <w:rsid w:val="22A53846"/>
    <w:rsid w:val="22AF5B35"/>
    <w:rsid w:val="22B91715"/>
    <w:rsid w:val="22BE606F"/>
    <w:rsid w:val="22CB3526"/>
    <w:rsid w:val="22CD6A7D"/>
    <w:rsid w:val="22D61E38"/>
    <w:rsid w:val="22D66FD4"/>
    <w:rsid w:val="22F0310F"/>
    <w:rsid w:val="22F47480"/>
    <w:rsid w:val="22F6223B"/>
    <w:rsid w:val="23005B89"/>
    <w:rsid w:val="231A16D0"/>
    <w:rsid w:val="231E5163"/>
    <w:rsid w:val="2345697C"/>
    <w:rsid w:val="23615042"/>
    <w:rsid w:val="23635DDC"/>
    <w:rsid w:val="237767B0"/>
    <w:rsid w:val="239719A1"/>
    <w:rsid w:val="239E0AF2"/>
    <w:rsid w:val="23AA303F"/>
    <w:rsid w:val="23B9215A"/>
    <w:rsid w:val="23C72A7E"/>
    <w:rsid w:val="23CC2304"/>
    <w:rsid w:val="23CF6F18"/>
    <w:rsid w:val="23DE1C48"/>
    <w:rsid w:val="23EA2B10"/>
    <w:rsid w:val="23EB2553"/>
    <w:rsid w:val="23F709FC"/>
    <w:rsid w:val="240210CD"/>
    <w:rsid w:val="24022BDE"/>
    <w:rsid w:val="240862A3"/>
    <w:rsid w:val="240973F3"/>
    <w:rsid w:val="242F7BA8"/>
    <w:rsid w:val="243203E8"/>
    <w:rsid w:val="244A3B56"/>
    <w:rsid w:val="244A51DD"/>
    <w:rsid w:val="2460438B"/>
    <w:rsid w:val="2471449D"/>
    <w:rsid w:val="24972245"/>
    <w:rsid w:val="24A45816"/>
    <w:rsid w:val="24A65CC9"/>
    <w:rsid w:val="24BF09F7"/>
    <w:rsid w:val="24D71A2A"/>
    <w:rsid w:val="24E33419"/>
    <w:rsid w:val="24F4660E"/>
    <w:rsid w:val="24FA337E"/>
    <w:rsid w:val="25033EF3"/>
    <w:rsid w:val="250863D8"/>
    <w:rsid w:val="250A4EC3"/>
    <w:rsid w:val="25122636"/>
    <w:rsid w:val="251E0397"/>
    <w:rsid w:val="25201145"/>
    <w:rsid w:val="25231D65"/>
    <w:rsid w:val="252D53FE"/>
    <w:rsid w:val="252E7DD2"/>
    <w:rsid w:val="25340B15"/>
    <w:rsid w:val="25396B3D"/>
    <w:rsid w:val="256757B0"/>
    <w:rsid w:val="25701FD8"/>
    <w:rsid w:val="257F01AE"/>
    <w:rsid w:val="25822841"/>
    <w:rsid w:val="258A4999"/>
    <w:rsid w:val="258E0C37"/>
    <w:rsid w:val="258E66E8"/>
    <w:rsid w:val="25BC1FA0"/>
    <w:rsid w:val="25BC2ADF"/>
    <w:rsid w:val="25C91C6F"/>
    <w:rsid w:val="25CC06E2"/>
    <w:rsid w:val="25EC2D81"/>
    <w:rsid w:val="25F27417"/>
    <w:rsid w:val="25FA3E36"/>
    <w:rsid w:val="260057A2"/>
    <w:rsid w:val="261C1073"/>
    <w:rsid w:val="261C26E6"/>
    <w:rsid w:val="261F1C63"/>
    <w:rsid w:val="262B1569"/>
    <w:rsid w:val="264C2EC3"/>
    <w:rsid w:val="264E2D7D"/>
    <w:rsid w:val="266F3D2C"/>
    <w:rsid w:val="268E11C4"/>
    <w:rsid w:val="26953BDC"/>
    <w:rsid w:val="26C34EE3"/>
    <w:rsid w:val="26D125FF"/>
    <w:rsid w:val="26D427EC"/>
    <w:rsid w:val="26E94CCA"/>
    <w:rsid w:val="26F47116"/>
    <w:rsid w:val="26FD356A"/>
    <w:rsid w:val="271E5FEA"/>
    <w:rsid w:val="27260AF5"/>
    <w:rsid w:val="273573C1"/>
    <w:rsid w:val="27361586"/>
    <w:rsid w:val="273E668C"/>
    <w:rsid w:val="27465F90"/>
    <w:rsid w:val="27467CC9"/>
    <w:rsid w:val="274F0CBF"/>
    <w:rsid w:val="275C179D"/>
    <w:rsid w:val="276443A6"/>
    <w:rsid w:val="277057A2"/>
    <w:rsid w:val="2797447D"/>
    <w:rsid w:val="279F27BB"/>
    <w:rsid w:val="27A60506"/>
    <w:rsid w:val="27C46D46"/>
    <w:rsid w:val="27C878D5"/>
    <w:rsid w:val="27D67706"/>
    <w:rsid w:val="27EB2D37"/>
    <w:rsid w:val="27ED0A65"/>
    <w:rsid w:val="27F751B9"/>
    <w:rsid w:val="280F3426"/>
    <w:rsid w:val="28195CE8"/>
    <w:rsid w:val="281D20E0"/>
    <w:rsid w:val="28216B7F"/>
    <w:rsid w:val="282C5A6C"/>
    <w:rsid w:val="284765F1"/>
    <w:rsid w:val="284B60AD"/>
    <w:rsid w:val="28511D8E"/>
    <w:rsid w:val="285D6412"/>
    <w:rsid w:val="2867021A"/>
    <w:rsid w:val="28780117"/>
    <w:rsid w:val="28805469"/>
    <w:rsid w:val="288337F7"/>
    <w:rsid w:val="2889516F"/>
    <w:rsid w:val="28A16D70"/>
    <w:rsid w:val="28AE04EE"/>
    <w:rsid w:val="28BF0F34"/>
    <w:rsid w:val="28C21BB8"/>
    <w:rsid w:val="28C71CF1"/>
    <w:rsid w:val="28CC54AF"/>
    <w:rsid w:val="28DE6DC9"/>
    <w:rsid w:val="28E34CD6"/>
    <w:rsid w:val="28FC1B01"/>
    <w:rsid w:val="29055A73"/>
    <w:rsid w:val="29067F66"/>
    <w:rsid w:val="29106025"/>
    <w:rsid w:val="2913227B"/>
    <w:rsid w:val="29206EB8"/>
    <w:rsid w:val="29352DF4"/>
    <w:rsid w:val="293D2C28"/>
    <w:rsid w:val="294B153D"/>
    <w:rsid w:val="29595666"/>
    <w:rsid w:val="29671ECA"/>
    <w:rsid w:val="296D0E96"/>
    <w:rsid w:val="29842A7C"/>
    <w:rsid w:val="298712B6"/>
    <w:rsid w:val="29874881"/>
    <w:rsid w:val="298D5AF7"/>
    <w:rsid w:val="299535A5"/>
    <w:rsid w:val="29980315"/>
    <w:rsid w:val="299E1E4C"/>
    <w:rsid w:val="29A45F9A"/>
    <w:rsid w:val="29AB118F"/>
    <w:rsid w:val="29AE245A"/>
    <w:rsid w:val="29C8373C"/>
    <w:rsid w:val="29E325E0"/>
    <w:rsid w:val="29E66A9E"/>
    <w:rsid w:val="29FB4868"/>
    <w:rsid w:val="2A0D5E9D"/>
    <w:rsid w:val="2A3E70CF"/>
    <w:rsid w:val="2A40294D"/>
    <w:rsid w:val="2A452503"/>
    <w:rsid w:val="2A58625C"/>
    <w:rsid w:val="2A5A3B8D"/>
    <w:rsid w:val="2A60731E"/>
    <w:rsid w:val="2A683261"/>
    <w:rsid w:val="2A726CCB"/>
    <w:rsid w:val="2A7429BA"/>
    <w:rsid w:val="2A834178"/>
    <w:rsid w:val="2A8D4FF9"/>
    <w:rsid w:val="2A9D0F37"/>
    <w:rsid w:val="2AA109E6"/>
    <w:rsid w:val="2AB7478C"/>
    <w:rsid w:val="2ABB0720"/>
    <w:rsid w:val="2ABB3E95"/>
    <w:rsid w:val="2AC979F1"/>
    <w:rsid w:val="2AD2388A"/>
    <w:rsid w:val="2AD47F32"/>
    <w:rsid w:val="2AD76BDC"/>
    <w:rsid w:val="2ADC466D"/>
    <w:rsid w:val="2AE41052"/>
    <w:rsid w:val="2AE5579D"/>
    <w:rsid w:val="2AED220B"/>
    <w:rsid w:val="2AED3F19"/>
    <w:rsid w:val="2B08148B"/>
    <w:rsid w:val="2B0D39CD"/>
    <w:rsid w:val="2B1074B9"/>
    <w:rsid w:val="2B1C49C1"/>
    <w:rsid w:val="2B1D6CBA"/>
    <w:rsid w:val="2B27609B"/>
    <w:rsid w:val="2B2B3E13"/>
    <w:rsid w:val="2B494F3A"/>
    <w:rsid w:val="2B586ED7"/>
    <w:rsid w:val="2B714236"/>
    <w:rsid w:val="2B7E6ADF"/>
    <w:rsid w:val="2B7F50AE"/>
    <w:rsid w:val="2B844FB6"/>
    <w:rsid w:val="2B971390"/>
    <w:rsid w:val="2BA45CAE"/>
    <w:rsid w:val="2BA936A8"/>
    <w:rsid w:val="2BAF6F2A"/>
    <w:rsid w:val="2BB36061"/>
    <w:rsid w:val="2BBD2276"/>
    <w:rsid w:val="2BC47BDE"/>
    <w:rsid w:val="2BE45A54"/>
    <w:rsid w:val="2BEC66B7"/>
    <w:rsid w:val="2BFC2160"/>
    <w:rsid w:val="2C0232B9"/>
    <w:rsid w:val="2C0C34E6"/>
    <w:rsid w:val="2C1D436A"/>
    <w:rsid w:val="2C293467"/>
    <w:rsid w:val="2C315A5A"/>
    <w:rsid w:val="2C4B1C25"/>
    <w:rsid w:val="2C4F5BEB"/>
    <w:rsid w:val="2C576EAB"/>
    <w:rsid w:val="2C687EAE"/>
    <w:rsid w:val="2C691DED"/>
    <w:rsid w:val="2C711929"/>
    <w:rsid w:val="2C7F71A5"/>
    <w:rsid w:val="2C93195A"/>
    <w:rsid w:val="2C9F38C0"/>
    <w:rsid w:val="2CB45FA8"/>
    <w:rsid w:val="2CD16579"/>
    <w:rsid w:val="2CD46A65"/>
    <w:rsid w:val="2CDC0395"/>
    <w:rsid w:val="2CE16DC2"/>
    <w:rsid w:val="2CF86B3D"/>
    <w:rsid w:val="2CFA1140"/>
    <w:rsid w:val="2D045C37"/>
    <w:rsid w:val="2D067804"/>
    <w:rsid w:val="2D0C5D7C"/>
    <w:rsid w:val="2D103EE5"/>
    <w:rsid w:val="2D1E50AD"/>
    <w:rsid w:val="2D1F3228"/>
    <w:rsid w:val="2D2563A1"/>
    <w:rsid w:val="2D387F28"/>
    <w:rsid w:val="2D4A4B88"/>
    <w:rsid w:val="2D4D0231"/>
    <w:rsid w:val="2D4D44AB"/>
    <w:rsid w:val="2D5F7AEE"/>
    <w:rsid w:val="2D626245"/>
    <w:rsid w:val="2D6906BD"/>
    <w:rsid w:val="2D6E017F"/>
    <w:rsid w:val="2D701C2F"/>
    <w:rsid w:val="2D774672"/>
    <w:rsid w:val="2D791538"/>
    <w:rsid w:val="2D827C3A"/>
    <w:rsid w:val="2D8A353D"/>
    <w:rsid w:val="2D9E56F5"/>
    <w:rsid w:val="2D9F44D9"/>
    <w:rsid w:val="2DA17A44"/>
    <w:rsid w:val="2DB949B3"/>
    <w:rsid w:val="2DCB02BE"/>
    <w:rsid w:val="2DD57BBD"/>
    <w:rsid w:val="2DD8497A"/>
    <w:rsid w:val="2DD92885"/>
    <w:rsid w:val="2DDC7627"/>
    <w:rsid w:val="2DE52E1B"/>
    <w:rsid w:val="2E0E6DB8"/>
    <w:rsid w:val="2E211742"/>
    <w:rsid w:val="2E232EC4"/>
    <w:rsid w:val="2E2C6BA8"/>
    <w:rsid w:val="2E505A84"/>
    <w:rsid w:val="2E5B5962"/>
    <w:rsid w:val="2E6511C5"/>
    <w:rsid w:val="2E667F96"/>
    <w:rsid w:val="2E6830B9"/>
    <w:rsid w:val="2E69100B"/>
    <w:rsid w:val="2E6D71C9"/>
    <w:rsid w:val="2E76551F"/>
    <w:rsid w:val="2E8226AB"/>
    <w:rsid w:val="2E9A50C8"/>
    <w:rsid w:val="2EA757BC"/>
    <w:rsid w:val="2EB040E7"/>
    <w:rsid w:val="2EB172D5"/>
    <w:rsid w:val="2ED059E9"/>
    <w:rsid w:val="2EDD6FE7"/>
    <w:rsid w:val="2EDE6B47"/>
    <w:rsid w:val="2EDF60C1"/>
    <w:rsid w:val="2EE956F3"/>
    <w:rsid w:val="2EE96FD4"/>
    <w:rsid w:val="2EEF3C3E"/>
    <w:rsid w:val="2EFC4E63"/>
    <w:rsid w:val="2EFE0A4A"/>
    <w:rsid w:val="2EFE67A3"/>
    <w:rsid w:val="2F025593"/>
    <w:rsid w:val="2F0D3D87"/>
    <w:rsid w:val="2F0F6C35"/>
    <w:rsid w:val="2F1B06EF"/>
    <w:rsid w:val="2F344385"/>
    <w:rsid w:val="2F3D3BCF"/>
    <w:rsid w:val="2F3E191F"/>
    <w:rsid w:val="2F4A2155"/>
    <w:rsid w:val="2F4E7BE6"/>
    <w:rsid w:val="2F746013"/>
    <w:rsid w:val="2F867C85"/>
    <w:rsid w:val="2F9A05A8"/>
    <w:rsid w:val="2FA51DC0"/>
    <w:rsid w:val="2FB120F1"/>
    <w:rsid w:val="2FC00586"/>
    <w:rsid w:val="2FC24772"/>
    <w:rsid w:val="2FC93395"/>
    <w:rsid w:val="2FCD5903"/>
    <w:rsid w:val="2FD065E6"/>
    <w:rsid w:val="2FD27276"/>
    <w:rsid w:val="2FD900E3"/>
    <w:rsid w:val="2FD96870"/>
    <w:rsid w:val="2FE13C39"/>
    <w:rsid w:val="300C557A"/>
    <w:rsid w:val="301113EA"/>
    <w:rsid w:val="30134B5A"/>
    <w:rsid w:val="301F34FF"/>
    <w:rsid w:val="302A0F0E"/>
    <w:rsid w:val="302E0E17"/>
    <w:rsid w:val="302E56A5"/>
    <w:rsid w:val="302F3D84"/>
    <w:rsid w:val="3030517E"/>
    <w:rsid w:val="30580BC9"/>
    <w:rsid w:val="30686751"/>
    <w:rsid w:val="307D33F2"/>
    <w:rsid w:val="308030EF"/>
    <w:rsid w:val="308F1E61"/>
    <w:rsid w:val="3093452E"/>
    <w:rsid w:val="30993CA3"/>
    <w:rsid w:val="309C3DFE"/>
    <w:rsid w:val="30B73321"/>
    <w:rsid w:val="30D70302"/>
    <w:rsid w:val="30F07E51"/>
    <w:rsid w:val="30F16AD0"/>
    <w:rsid w:val="30F65313"/>
    <w:rsid w:val="30FC4255"/>
    <w:rsid w:val="31026C90"/>
    <w:rsid w:val="31034372"/>
    <w:rsid w:val="31093867"/>
    <w:rsid w:val="310D1869"/>
    <w:rsid w:val="311B3BEB"/>
    <w:rsid w:val="311E2ED7"/>
    <w:rsid w:val="311F54D5"/>
    <w:rsid w:val="311F7ABD"/>
    <w:rsid w:val="312B50A1"/>
    <w:rsid w:val="31377E86"/>
    <w:rsid w:val="313B4D1A"/>
    <w:rsid w:val="315279CC"/>
    <w:rsid w:val="315555EB"/>
    <w:rsid w:val="315619EE"/>
    <w:rsid w:val="31597A5B"/>
    <w:rsid w:val="315C449C"/>
    <w:rsid w:val="315F5810"/>
    <w:rsid w:val="31607E7D"/>
    <w:rsid w:val="316B2774"/>
    <w:rsid w:val="31701370"/>
    <w:rsid w:val="3186598D"/>
    <w:rsid w:val="319E7611"/>
    <w:rsid w:val="31A90426"/>
    <w:rsid w:val="31B41A25"/>
    <w:rsid w:val="31B82709"/>
    <w:rsid w:val="31C11D20"/>
    <w:rsid w:val="31D05482"/>
    <w:rsid w:val="31D259A4"/>
    <w:rsid w:val="31D64455"/>
    <w:rsid w:val="31D87DBC"/>
    <w:rsid w:val="31DB6E39"/>
    <w:rsid w:val="32012958"/>
    <w:rsid w:val="320353CC"/>
    <w:rsid w:val="320D6986"/>
    <w:rsid w:val="321400D8"/>
    <w:rsid w:val="322F1F41"/>
    <w:rsid w:val="323A2BEF"/>
    <w:rsid w:val="323A2C41"/>
    <w:rsid w:val="32400B34"/>
    <w:rsid w:val="324E00CB"/>
    <w:rsid w:val="325562B4"/>
    <w:rsid w:val="326C0D14"/>
    <w:rsid w:val="327311F6"/>
    <w:rsid w:val="32933D30"/>
    <w:rsid w:val="329C7134"/>
    <w:rsid w:val="329E6876"/>
    <w:rsid w:val="32BD2B5B"/>
    <w:rsid w:val="32C372D7"/>
    <w:rsid w:val="32D64EE4"/>
    <w:rsid w:val="32EA6505"/>
    <w:rsid w:val="32F24E6F"/>
    <w:rsid w:val="32F2652B"/>
    <w:rsid w:val="32FC2306"/>
    <w:rsid w:val="33037AA4"/>
    <w:rsid w:val="331B0050"/>
    <w:rsid w:val="331C37EB"/>
    <w:rsid w:val="332D0712"/>
    <w:rsid w:val="333015F2"/>
    <w:rsid w:val="33363DF0"/>
    <w:rsid w:val="333A0650"/>
    <w:rsid w:val="333D379C"/>
    <w:rsid w:val="334754C0"/>
    <w:rsid w:val="334B6320"/>
    <w:rsid w:val="33677A94"/>
    <w:rsid w:val="336D7C97"/>
    <w:rsid w:val="337B4466"/>
    <w:rsid w:val="33957B21"/>
    <w:rsid w:val="33B2468A"/>
    <w:rsid w:val="33B910A8"/>
    <w:rsid w:val="33B93592"/>
    <w:rsid w:val="33D479DF"/>
    <w:rsid w:val="33D934D4"/>
    <w:rsid w:val="33DD277F"/>
    <w:rsid w:val="33E61C2E"/>
    <w:rsid w:val="33EB52C1"/>
    <w:rsid w:val="33F05850"/>
    <w:rsid w:val="33F1007A"/>
    <w:rsid w:val="33F327CE"/>
    <w:rsid w:val="33FE2F6A"/>
    <w:rsid w:val="34056568"/>
    <w:rsid w:val="340844DE"/>
    <w:rsid w:val="340E07E5"/>
    <w:rsid w:val="34227252"/>
    <w:rsid w:val="34235BF7"/>
    <w:rsid w:val="342D14C0"/>
    <w:rsid w:val="34377070"/>
    <w:rsid w:val="343C1304"/>
    <w:rsid w:val="3440531F"/>
    <w:rsid w:val="34436A52"/>
    <w:rsid w:val="34523E2E"/>
    <w:rsid w:val="34601566"/>
    <w:rsid w:val="346040E6"/>
    <w:rsid w:val="3478546D"/>
    <w:rsid w:val="34822016"/>
    <w:rsid w:val="34927A46"/>
    <w:rsid w:val="34BB131C"/>
    <w:rsid w:val="34E97C37"/>
    <w:rsid w:val="34F21118"/>
    <w:rsid w:val="34F376BD"/>
    <w:rsid w:val="34FD6A5B"/>
    <w:rsid w:val="35013DA1"/>
    <w:rsid w:val="35133FB6"/>
    <w:rsid w:val="353537C5"/>
    <w:rsid w:val="353A0493"/>
    <w:rsid w:val="353E39B8"/>
    <w:rsid w:val="35472DDC"/>
    <w:rsid w:val="354B44C7"/>
    <w:rsid w:val="35553E16"/>
    <w:rsid w:val="35677F91"/>
    <w:rsid w:val="356A19F3"/>
    <w:rsid w:val="35715018"/>
    <w:rsid w:val="358929C8"/>
    <w:rsid w:val="358C5FA8"/>
    <w:rsid w:val="35957D9B"/>
    <w:rsid w:val="35A1261F"/>
    <w:rsid w:val="35AC3672"/>
    <w:rsid w:val="35B422BF"/>
    <w:rsid w:val="35C15DF1"/>
    <w:rsid w:val="36050F2A"/>
    <w:rsid w:val="36074A7F"/>
    <w:rsid w:val="362C0C66"/>
    <w:rsid w:val="36360986"/>
    <w:rsid w:val="365872FE"/>
    <w:rsid w:val="366F5EE4"/>
    <w:rsid w:val="368241DF"/>
    <w:rsid w:val="369167D9"/>
    <w:rsid w:val="36923549"/>
    <w:rsid w:val="369619B5"/>
    <w:rsid w:val="36B75FBF"/>
    <w:rsid w:val="36BD0C45"/>
    <w:rsid w:val="36F472FA"/>
    <w:rsid w:val="36F70FAB"/>
    <w:rsid w:val="370360C8"/>
    <w:rsid w:val="370435DD"/>
    <w:rsid w:val="370621EB"/>
    <w:rsid w:val="37070958"/>
    <w:rsid w:val="371B03E1"/>
    <w:rsid w:val="37255039"/>
    <w:rsid w:val="37286A8B"/>
    <w:rsid w:val="372C4753"/>
    <w:rsid w:val="373027E8"/>
    <w:rsid w:val="373A3C52"/>
    <w:rsid w:val="37474BF1"/>
    <w:rsid w:val="374A7D9F"/>
    <w:rsid w:val="374B41A3"/>
    <w:rsid w:val="37561029"/>
    <w:rsid w:val="37562C2F"/>
    <w:rsid w:val="375E497D"/>
    <w:rsid w:val="37683BD7"/>
    <w:rsid w:val="37A8744D"/>
    <w:rsid w:val="37C031B9"/>
    <w:rsid w:val="37CD41E6"/>
    <w:rsid w:val="37DB2616"/>
    <w:rsid w:val="37DE09C5"/>
    <w:rsid w:val="37E00298"/>
    <w:rsid w:val="37EB10DB"/>
    <w:rsid w:val="37F6202C"/>
    <w:rsid w:val="37FE2BE7"/>
    <w:rsid w:val="37FE3887"/>
    <w:rsid w:val="38094DE8"/>
    <w:rsid w:val="380D00E8"/>
    <w:rsid w:val="380D4081"/>
    <w:rsid w:val="38217CA6"/>
    <w:rsid w:val="38260B92"/>
    <w:rsid w:val="38365594"/>
    <w:rsid w:val="3867293F"/>
    <w:rsid w:val="386C5522"/>
    <w:rsid w:val="386D56C0"/>
    <w:rsid w:val="387132EA"/>
    <w:rsid w:val="387358C1"/>
    <w:rsid w:val="387E12CC"/>
    <w:rsid w:val="3883103D"/>
    <w:rsid w:val="38B0510F"/>
    <w:rsid w:val="38B302F9"/>
    <w:rsid w:val="38B457B1"/>
    <w:rsid w:val="38BC3F77"/>
    <w:rsid w:val="38CD5DB5"/>
    <w:rsid w:val="38EA0422"/>
    <w:rsid w:val="38EE77E3"/>
    <w:rsid w:val="38F12CD3"/>
    <w:rsid w:val="38F94775"/>
    <w:rsid w:val="391B74B1"/>
    <w:rsid w:val="392008BC"/>
    <w:rsid w:val="392971ED"/>
    <w:rsid w:val="392C69D8"/>
    <w:rsid w:val="39325651"/>
    <w:rsid w:val="39385196"/>
    <w:rsid w:val="395D13BF"/>
    <w:rsid w:val="395D5632"/>
    <w:rsid w:val="39873EC3"/>
    <w:rsid w:val="398823A4"/>
    <w:rsid w:val="398C2879"/>
    <w:rsid w:val="398C79AA"/>
    <w:rsid w:val="399C7FC1"/>
    <w:rsid w:val="399F2CB6"/>
    <w:rsid w:val="39B2666A"/>
    <w:rsid w:val="39C710E2"/>
    <w:rsid w:val="39C87C2A"/>
    <w:rsid w:val="39D215E2"/>
    <w:rsid w:val="39E438EB"/>
    <w:rsid w:val="39E57807"/>
    <w:rsid w:val="39E72129"/>
    <w:rsid w:val="3A084B7D"/>
    <w:rsid w:val="3A2E1B98"/>
    <w:rsid w:val="3A422E65"/>
    <w:rsid w:val="3A456BEA"/>
    <w:rsid w:val="3A4D600E"/>
    <w:rsid w:val="3A4D674B"/>
    <w:rsid w:val="3A5F3C3F"/>
    <w:rsid w:val="3A7337C1"/>
    <w:rsid w:val="3A7E52C6"/>
    <w:rsid w:val="3A872856"/>
    <w:rsid w:val="3A8F7EA8"/>
    <w:rsid w:val="3A961032"/>
    <w:rsid w:val="3A99571E"/>
    <w:rsid w:val="3AA141D1"/>
    <w:rsid w:val="3AAB0E77"/>
    <w:rsid w:val="3AAC7B51"/>
    <w:rsid w:val="3AB04FC4"/>
    <w:rsid w:val="3AC10392"/>
    <w:rsid w:val="3AD4093B"/>
    <w:rsid w:val="3AD62D48"/>
    <w:rsid w:val="3ADB2718"/>
    <w:rsid w:val="3AE07F36"/>
    <w:rsid w:val="3AE57050"/>
    <w:rsid w:val="3B0C676F"/>
    <w:rsid w:val="3B1406B4"/>
    <w:rsid w:val="3B141CE9"/>
    <w:rsid w:val="3B2F65C0"/>
    <w:rsid w:val="3B3763D1"/>
    <w:rsid w:val="3B384926"/>
    <w:rsid w:val="3B3B25DA"/>
    <w:rsid w:val="3B404E70"/>
    <w:rsid w:val="3B460CA9"/>
    <w:rsid w:val="3B471B5C"/>
    <w:rsid w:val="3B566601"/>
    <w:rsid w:val="3B5B436E"/>
    <w:rsid w:val="3B8073D1"/>
    <w:rsid w:val="3B847A0A"/>
    <w:rsid w:val="3B8C0BCE"/>
    <w:rsid w:val="3B921400"/>
    <w:rsid w:val="3B985F13"/>
    <w:rsid w:val="3BA13BB6"/>
    <w:rsid w:val="3BC031BF"/>
    <w:rsid w:val="3BC2512B"/>
    <w:rsid w:val="3BC31F4F"/>
    <w:rsid w:val="3BCD02B3"/>
    <w:rsid w:val="3BD741C3"/>
    <w:rsid w:val="3BE542A7"/>
    <w:rsid w:val="3BE838C7"/>
    <w:rsid w:val="3BF1401A"/>
    <w:rsid w:val="3BFB148E"/>
    <w:rsid w:val="3C08127A"/>
    <w:rsid w:val="3C0D3A03"/>
    <w:rsid w:val="3C244CC6"/>
    <w:rsid w:val="3C2F6E1E"/>
    <w:rsid w:val="3C391C00"/>
    <w:rsid w:val="3C4F64BA"/>
    <w:rsid w:val="3C571A1A"/>
    <w:rsid w:val="3C6173D7"/>
    <w:rsid w:val="3C8D6390"/>
    <w:rsid w:val="3C941C0F"/>
    <w:rsid w:val="3CAF5C0A"/>
    <w:rsid w:val="3CB95595"/>
    <w:rsid w:val="3CDA245A"/>
    <w:rsid w:val="3CE878DC"/>
    <w:rsid w:val="3CF478DC"/>
    <w:rsid w:val="3D07162A"/>
    <w:rsid w:val="3D1E06B7"/>
    <w:rsid w:val="3D1E4244"/>
    <w:rsid w:val="3D212C57"/>
    <w:rsid w:val="3D223B47"/>
    <w:rsid w:val="3D2E20F7"/>
    <w:rsid w:val="3D3329FA"/>
    <w:rsid w:val="3D394C79"/>
    <w:rsid w:val="3D3D4480"/>
    <w:rsid w:val="3D402D06"/>
    <w:rsid w:val="3D453DB6"/>
    <w:rsid w:val="3D540B90"/>
    <w:rsid w:val="3D5E4C62"/>
    <w:rsid w:val="3D777C5C"/>
    <w:rsid w:val="3D8B5930"/>
    <w:rsid w:val="3D8F21F7"/>
    <w:rsid w:val="3D96011D"/>
    <w:rsid w:val="3DA31CBC"/>
    <w:rsid w:val="3DB45148"/>
    <w:rsid w:val="3DDF28EF"/>
    <w:rsid w:val="3DE2060A"/>
    <w:rsid w:val="3DE338DD"/>
    <w:rsid w:val="3E1157D5"/>
    <w:rsid w:val="3E19279F"/>
    <w:rsid w:val="3E232A8A"/>
    <w:rsid w:val="3E245509"/>
    <w:rsid w:val="3E2A5394"/>
    <w:rsid w:val="3E2D3F94"/>
    <w:rsid w:val="3E330175"/>
    <w:rsid w:val="3E3C6AFA"/>
    <w:rsid w:val="3E41292E"/>
    <w:rsid w:val="3E4319A2"/>
    <w:rsid w:val="3E7C4ADC"/>
    <w:rsid w:val="3E9474B3"/>
    <w:rsid w:val="3E981489"/>
    <w:rsid w:val="3E984DD8"/>
    <w:rsid w:val="3EA41E06"/>
    <w:rsid w:val="3EBE13D5"/>
    <w:rsid w:val="3EC553CA"/>
    <w:rsid w:val="3EC70034"/>
    <w:rsid w:val="3EDA0523"/>
    <w:rsid w:val="3EE46FAC"/>
    <w:rsid w:val="3EFC1D73"/>
    <w:rsid w:val="3F08590D"/>
    <w:rsid w:val="3F3A3719"/>
    <w:rsid w:val="3F516B05"/>
    <w:rsid w:val="3F5174FD"/>
    <w:rsid w:val="3F531AF1"/>
    <w:rsid w:val="3F5B0753"/>
    <w:rsid w:val="3F634D83"/>
    <w:rsid w:val="3F7144A7"/>
    <w:rsid w:val="3F7E78A6"/>
    <w:rsid w:val="3F802924"/>
    <w:rsid w:val="3F953F97"/>
    <w:rsid w:val="3FA73DAF"/>
    <w:rsid w:val="3FAB12CA"/>
    <w:rsid w:val="3FC8475B"/>
    <w:rsid w:val="3FC95973"/>
    <w:rsid w:val="3FD3186A"/>
    <w:rsid w:val="3FF46865"/>
    <w:rsid w:val="3FF836DD"/>
    <w:rsid w:val="40084B08"/>
    <w:rsid w:val="40120F48"/>
    <w:rsid w:val="40136A50"/>
    <w:rsid w:val="401547DC"/>
    <w:rsid w:val="4016492B"/>
    <w:rsid w:val="403232BE"/>
    <w:rsid w:val="40384169"/>
    <w:rsid w:val="40506588"/>
    <w:rsid w:val="406136DF"/>
    <w:rsid w:val="406A67DE"/>
    <w:rsid w:val="40706B87"/>
    <w:rsid w:val="40724A00"/>
    <w:rsid w:val="407A6407"/>
    <w:rsid w:val="407D7824"/>
    <w:rsid w:val="40861333"/>
    <w:rsid w:val="40A623EE"/>
    <w:rsid w:val="40AC0C00"/>
    <w:rsid w:val="40B454D3"/>
    <w:rsid w:val="40CF56AA"/>
    <w:rsid w:val="40D91C18"/>
    <w:rsid w:val="40E25522"/>
    <w:rsid w:val="40E340D5"/>
    <w:rsid w:val="40E66323"/>
    <w:rsid w:val="40F005A0"/>
    <w:rsid w:val="40F23DD0"/>
    <w:rsid w:val="40F70E3F"/>
    <w:rsid w:val="40F77229"/>
    <w:rsid w:val="40FB41F5"/>
    <w:rsid w:val="411C1395"/>
    <w:rsid w:val="412344D1"/>
    <w:rsid w:val="4128652E"/>
    <w:rsid w:val="412D5BD9"/>
    <w:rsid w:val="41317C95"/>
    <w:rsid w:val="413440AB"/>
    <w:rsid w:val="413612B7"/>
    <w:rsid w:val="414C6746"/>
    <w:rsid w:val="414D6427"/>
    <w:rsid w:val="41577BD8"/>
    <w:rsid w:val="416460A6"/>
    <w:rsid w:val="416B7EFF"/>
    <w:rsid w:val="41813A19"/>
    <w:rsid w:val="418E7311"/>
    <w:rsid w:val="418F6723"/>
    <w:rsid w:val="41AF3F12"/>
    <w:rsid w:val="41C94B2F"/>
    <w:rsid w:val="41D475D2"/>
    <w:rsid w:val="41DC05B6"/>
    <w:rsid w:val="41EB3323"/>
    <w:rsid w:val="41F1637D"/>
    <w:rsid w:val="41FB33E2"/>
    <w:rsid w:val="4200449D"/>
    <w:rsid w:val="42042CD7"/>
    <w:rsid w:val="42104432"/>
    <w:rsid w:val="423A3BCC"/>
    <w:rsid w:val="424E57D2"/>
    <w:rsid w:val="425E11D5"/>
    <w:rsid w:val="4273620F"/>
    <w:rsid w:val="42753661"/>
    <w:rsid w:val="42760384"/>
    <w:rsid w:val="427E54BB"/>
    <w:rsid w:val="42851B4D"/>
    <w:rsid w:val="4292401E"/>
    <w:rsid w:val="42937AA8"/>
    <w:rsid w:val="429B3646"/>
    <w:rsid w:val="42A138C9"/>
    <w:rsid w:val="42A86DAD"/>
    <w:rsid w:val="42B26C49"/>
    <w:rsid w:val="42B77BDF"/>
    <w:rsid w:val="42BE295D"/>
    <w:rsid w:val="42BF597F"/>
    <w:rsid w:val="42C121F4"/>
    <w:rsid w:val="42E53B5B"/>
    <w:rsid w:val="42EA18D6"/>
    <w:rsid w:val="43012AE2"/>
    <w:rsid w:val="4303202D"/>
    <w:rsid w:val="430F11B1"/>
    <w:rsid w:val="431540B7"/>
    <w:rsid w:val="431B1935"/>
    <w:rsid w:val="4320607B"/>
    <w:rsid w:val="432664FB"/>
    <w:rsid w:val="43340C91"/>
    <w:rsid w:val="433A6FE6"/>
    <w:rsid w:val="43480868"/>
    <w:rsid w:val="4350713C"/>
    <w:rsid w:val="435E2781"/>
    <w:rsid w:val="436653E0"/>
    <w:rsid w:val="43800A31"/>
    <w:rsid w:val="43873A03"/>
    <w:rsid w:val="43BA52D0"/>
    <w:rsid w:val="43BE7A00"/>
    <w:rsid w:val="43C4431A"/>
    <w:rsid w:val="43EA6B15"/>
    <w:rsid w:val="43FB2A0C"/>
    <w:rsid w:val="44024B29"/>
    <w:rsid w:val="44025D26"/>
    <w:rsid w:val="440460FF"/>
    <w:rsid w:val="442A3BF1"/>
    <w:rsid w:val="443D72A2"/>
    <w:rsid w:val="44433D2F"/>
    <w:rsid w:val="44667D8E"/>
    <w:rsid w:val="44861013"/>
    <w:rsid w:val="44B951CC"/>
    <w:rsid w:val="44CD1324"/>
    <w:rsid w:val="44CD14E0"/>
    <w:rsid w:val="44DA732D"/>
    <w:rsid w:val="44DD3B79"/>
    <w:rsid w:val="44E274F4"/>
    <w:rsid w:val="44F20B0B"/>
    <w:rsid w:val="44F3530C"/>
    <w:rsid w:val="450D1933"/>
    <w:rsid w:val="451664A6"/>
    <w:rsid w:val="452E5F4C"/>
    <w:rsid w:val="45336CAD"/>
    <w:rsid w:val="453A61CD"/>
    <w:rsid w:val="453B6BC2"/>
    <w:rsid w:val="45440D15"/>
    <w:rsid w:val="454958FB"/>
    <w:rsid w:val="455455A1"/>
    <w:rsid w:val="45612018"/>
    <w:rsid w:val="456D21BF"/>
    <w:rsid w:val="456E7916"/>
    <w:rsid w:val="45826571"/>
    <w:rsid w:val="458946E9"/>
    <w:rsid w:val="45905CF2"/>
    <w:rsid w:val="45910975"/>
    <w:rsid w:val="45970D27"/>
    <w:rsid w:val="459B4F7E"/>
    <w:rsid w:val="45A47C0E"/>
    <w:rsid w:val="45C06082"/>
    <w:rsid w:val="45DB35CC"/>
    <w:rsid w:val="45DF1FB7"/>
    <w:rsid w:val="45EA1080"/>
    <w:rsid w:val="45FB6923"/>
    <w:rsid w:val="46013DC3"/>
    <w:rsid w:val="4603548C"/>
    <w:rsid w:val="46054AED"/>
    <w:rsid w:val="46075070"/>
    <w:rsid w:val="46087279"/>
    <w:rsid w:val="460F3276"/>
    <w:rsid w:val="461705D3"/>
    <w:rsid w:val="46171B87"/>
    <w:rsid w:val="461B0C26"/>
    <w:rsid w:val="464C6363"/>
    <w:rsid w:val="46542D80"/>
    <w:rsid w:val="465622A2"/>
    <w:rsid w:val="46577FD6"/>
    <w:rsid w:val="465D7755"/>
    <w:rsid w:val="467D28D5"/>
    <w:rsid w:val="4690408E"/>
    <w:rsid w:val="46B7026A"/>
    <w:rsid w:val="46B96645"/>
    <w:rsid w:val="46D264FF"/>
    <w:rsid w:val="46D946A0"/>
    <w:rsid w:val="46D955A7"/>
    <w:rsid w:val="46E744CF"/>
    <w:rsid w:val="46E7573C"/>
    <w:rsid w:val="46EA223D"/>
    <w:rsid w:val="46EB1ED6"/>
    <w:rsid w:val="46EE10DD"/>
    <w:rsid w:val="46F22126"/>
    <w:rsid w:val="46F44EB6"/>
    <w:rsid w:val="47012C9D"/>
    <w:rsid w:val="47017D3A"/>
    <w:rsid w:val="47061428"/>
    <w:rsid w:val="47133957"/>
    <w:rsid w:val="47171FDF"/>
    <w:rsid w:val="47185334"/>
    <w:rsid w:val="473518EB"/>
    <w:rsid w:val="47454A1F"/>
    <w:rsid w:val="475C411F"/>
    <w:rsid w:val="476329FF"/>
    <w:rsid w:val="47802A7D"/>
    <w:rsid w:val="478745A5"/>
    <w:rsid w:val="478B731D"/>
    <w:rsid w:val="47906FAA"/>
    <w:rsid w:val="47A07E0C"/>
    <w:rsid w:val="47A66237"/>
    <w:rsid w:val="47A90252"/>
    <w:rsid w:val="47BE78C5"/>
    <w:rsid w:val="47DF0354"/>
    <w:rsid w:val="47E30E5E"/>
    <w:rsid w:val="48005001"/>
    <w:rsid w:val="481E3C44"/>
    <w:rsid w:val="48205A65"/>
    <w:rsid w:val="48423D17"/>
    <w:rsid w:val="484B3FCC"/>
    <w:rsid w:val="48541414"/>
    <w:rsid w:val="485A04DE"/>
    <w:rsid w:val="486A15A9"/>
    <w:rsid w:val="486C78B4"/>
    <w:rsid w:val="4870272E"/>
    <w:rsid w:val="48B73FFE"/>
    <w:rsid w:val="48B901BC"/>
    <w:rsid w:val="48BA567C"/>
    <w:rsid w:val="48C04345"/>
    <w:rsid w:val="48CE6F71"/>
    <w:rsid w:val="48D4170F"/>
    <w:rsid w:val="48D530C9"/>
    <w:rsid w:val="48D7258D"/>
    <w:rsid w:val="48E514F9"/>
    <w:rsid w:val="48FB4DE6"/>
    <w:rsid w:val="490911D9"/>
    <w:rsid w:val="490931B6"/>
    <w:rsid w:val="49150A11"/>
    <w:rsid w:val="491751AE"/>
    <w:rsid w:val="493E2B05"/>
    <w:rsid w:val="493F20C4"/>
    <w:rsid w:val="49537797"/>
    <w:rsid w:val="495F1D7B"/>
    <w:rsid w:val="49644955"/>
    <w:rsid w:val="49646445"/>
    <w:rsid w:val="497C32E3"/>
    <w:rsid w:val="497E0C78"/>
    <w:rsid w:val="49921C27"/>
    <w:rsid w:val="49984C16"/>
    <w:rsid w:val="49A448C3"/>
    <w:rsid w:val="49AE4286"/>
    <w:rsid w:val="49BE233C"/>
    <w:rsid w:val="49C15B34"/>
    <w:rsid w:val="49DC7715"/>
    <w:rsid w:val="49F4782C"/>
    <w:rsid w:val="4A023139"/>
    <w:rsid w:val="4A145744"/>
    <w:rsid w:val="4A313DC6"/>
    <w:rsid w:val="4A377071"/>
    <w:rsid w:val="4A3B0ADD"/>
    <w:rsid w:val="4A3E3EDF"/>
    <w:rsid w:val="4A5319C3"/>
    <w:rsid w:val="4A7B576F"/>
    <w:rsid w:val="4A836C59"/>
    <w:rsid w:val="4A8C30E7"/>
    <w:rsid w:val="4A8C31CA"/>
    <w:rsid w:val="4A920AC1"/>
    <w:rsid w:val="4AA323EB"/>
    <w:rsid w:val="4AC12814"/>
    <w:rsid w:val="4AC2698A"/>
    <w:rsid w:val="4AC6084D"/>
    <w:rsid w:val="4AD3298E"/>
    <w:rsid w:val="4AD95E53"/>
    <w:rsid w:val="4AF561A9"/>
    <w:rsid w:val="4AF7583F"/>
    <w:rsid w:val="4AF763FA"/>
    <w:rsid w:val="4B013217"/>
    <w:rsid w:val="4B0C0A20"/>
    <w:rsid w:val="4B1172F2"/>
    <w:rsid w:val="4B127ECB"/>
    <w:rsid w:val="4B247F1C"/>
    <w:rsid w:val="4B3E464A"/>
    <w:rsid w:val="4B4B2455"/>
    <w:rsid w:val="4B551BCF"/>
    <w:rsid w:val="4B572C2D"/>
    <w:rsid w:val="4B6211BE"/>
    <w:rsid w:val="4B7B5AA0"/>
    <w:rsid w:val="4B7F571D"/>
    <w:rsid w:val="4B876058"/>
    <w:rsid w:val="4B911186"/>
    <w:rsid w:val="4BA50A6D"/>
    <w:rsid w:val="4BB40117"/>
    <w:rsid w:val="4BB94988"/>
    <w:rsid w:val="4BBD3AA5"/>
    <w:rsid w:val="4BC13264"/>
    <w:rsid w:val="4BC13FC3"/>
    <w:rsid w:val="4BCB35C4"/>
    <w:rsid w:val="4BDF4C8D"/>
    <w:rsid w:val="4BEA64F0"/>
    <w:rsid w:val="4BFE0B90"/>
    <w:rsid w:val="4C0C5C07"/>
    <w:rsid w:val="4C103C34"/>
    <w:rsid w:val="4C113364"/>
    <w:rsid w:val="4C17113A"/>
    <w:rsid w:val="4C350F69"/>
    <w:rsid w:val="4C3D30C5"/>
    <w:rsid w:val="4C4A0649"/>
    <w:rsid w:val="4C673705"/>
    <w:rsid w:val="4C71272D"/>
    <w:rsid w:val="4C742085"/>
    <w:rsid w:val="4C760506"/>
    <w:rsid w:val="4C79182A"/>
    <w:rsid w:val="4C7E5ECA"/>
    <w:rsid w:val="4C8677BE"/>
    <w:rsid w:val="4C876AA5"/>
    <w:rsid w:val="4C9742CD"/>
    <w:rsid w:val="4CA315ED"/>
    <w:rsid w:val="4CC0176E"/>
    <w:rsid w:val="4CC90623"/>
    <w:rsid w:val="4CDB61B6"/>
    <w:rsid w:val="4CF06CE3"/>
    <w:rsid w:val="4CF73B5D"/>
    <w:rsid w:val="4CF85830"/>
    <w:rsid w:val="4CFD1913"/>
    <w:rsid w:val="4D04290C"/>
    <w:rsid w:val="4D0E00FB"/>
    <w:rsid w:val="4D176606"/>
    <w:rsid w:val="4D1B4BF6"/>
    <w:rsid w:val="4D256C88"/>
    <w:rsid w:val="4D321559"/>
    <w:rsid w:val="4D523D7C"/>
    <w:rsid w:val="4D544BC9"/>
    <w:rsid w:val="4D5924C9"/>
    <w:rsid w:val="4D711D49"/>
    <w:rsid w:val="4D775C55"/>
    <w:rsid w:val="4D80392C"/>
    <w:rsid w:val="4D972AC3"/>
    <w:rsid w:val="4DA45395"/>
    <w:rsid w:val="4DB16F69"/>
    <w:rsid w:val="4DB81940"/>
    <w:rsid w:val="4DD31D92"/>
    <w:rsid w:val="4DEC4FB0"/>
    <w:rsid w:val="4DF008FE"/>
    <w:rsid w:val="4DF2661C"/>
    <w:rsid w:val="4DF71126"/>
    <w:rsid w:val="4E0657C5"/>
    <w:rsid w:val="4E075D8A"/>
    <w:rsid w:val="4E096556"/>
    <w:rsid w:val="4E174F0E"/>
    <w:rsid w:val="4E1C7614"/>
    <w:rsid w:val="4E1F4BBB"/>
    <w:rsid w:val="4E2C5C6C"/>
    <w:rsid w:val="4E553F71"/>
    <w:rsid w:val="4E592651"/>
    <w:rsid w:val="4E750F5F"/>
    <w:rsid w:val="4E751567"/>
    <w:rsid w:val="4E8443BD"/>
    <w:rsid w:val="4E967272"/>
    <w:rsid w:val="4EA01B3E"/>
    <w:rsid w:val="4EAC0CFF"/>
    <w:rsid w:val="4EBB0E74"/>
    <w:rsid w:val="4EC00FAD"/>
    <w:rsid w:val="4ED3133D"/>
    <w:rsid w:val="4EEB2440"/>
    <w:rsid w:val="4EF12AE7"/>
    <w:rsid w:val="4EFA74D9"/>
    <w:rsid w:val="4F232643"/>
    <w:rsid w:val="4F275A41"/>
    <w:rsid w:val="4F2C78FA"/>
    <w:rsid w:val="4F3423BF"/>
    <w:rsid w:val="4F371BAE"/>
    <w:rsid w:val="4F3E6DA2"/>
    <w:rsid w:val="4F791870"/>
    <w:rsid w:val="4F7B05E9"/>
    <w:rsid w:val="4F8922EB"/>
    <w:rsid w:val="4F9843DC"/>
    <w:rsid w:val="4F997EB6"/>
    <w:rsid w:val="4FAD2F16"/>
    <w:rsid w:val="4FC62A8C"/>
    <w:rsid w:val="4FD45D4A"/>
    <w:rsid w:val="4FD76AB3"/>
    <w:rsid w:val="4FDC0E61"/>
    <w:rsid w:val="4FE20F0D"/>
    <w:rsid w:val="4FE51552"/>
    <w:rsid w:val="4FE6207D"/>
    <w:rsid w:val="4FEA62AC"/>
    <w:rsid w:val="4FFC15A0"/>
    <w:rsid w:val="50065AC0"/>
    <w:rsid w:val="500D18E0"/>
    <w:rsid w:val="50194285"/>
    <w:rsid w:val="502F4566"/>
    <w:rsid w:val="504245FA"/>
    <w:rsid w:val="50504C4B"/>
    <w:rsid w:val="5059260D"/>
    <w:rsid w:val="506C0F75"/>
    <w:rsid w:val="5071684A"/>
    <w:rsid w:val="50726AE6"/>
    <w:rsid w:val="50733A62"/>
    <w:rsid w:val="50744017"/>
    <w:rsid w:val="509C6E7C"/>
    <w:rsid w:val="509C7749"/>
    <w:rsid w:val="50AD009D"/>
    <w:rsid w:val="50B87697"/>
    <w:rsid w:val="50BE7C13"/>
    <w:rsid w:val="50C3388C"/>
    <w:rsid w:val="50D0687C"/>
    <w:rsid w:val="50D1096A"/>
    <w:rsid w:val="50E56531"/>
    <w:rsid w:val="50EC4AE4"/>
    <w:rsid w:val="50FD47CD"/>
    <w:rsid w:val="50FE14F1"/>
    <w:rsid w:val="510039BD"/>
    <w:rsid w:val="510724B6"/>
    <w:rsid w:val="51084706"/>
    <w:rsid w:val="51220301"/>
    <w:rsid w:val="51295B34"/>
    <w:rsid w:val="51357238"/>
    <w:rsid w:val="513D3F98"/>
    <w:rsid w:val="51406A1A"/>
    <w:rsid w:val="51410E33"/>
    <w:rsid w:val="51520D42"/>
    <w:rsid w:val="515522A2"/>
    <w:rsid w:val="51555FDD"/>
    <w:rsid w:val="516025A9"/>
    <w:rsid w:val="51603144"/>
    <w:rsid w:val="5162104E"/>
    <w:rsid w:val="51626316"/>
    <w:rsid w:val="51730634"/>
    <w:rsid w:val="518343E6"/>
    <w:rsid w:val="51896EDE"/>
    <w:rsid w:val="51960851"/>
    <w:rsid w:val="51A4340C"/>
    <w:rsid w:val="51A61C2D"/>
    <w:rsid w:val="51AE49E9"/>
    <w:rsid w:val="51AE51DE"/>
    <w:rsid w:val="51C402CA"/>
    <w:rsid w:val="51C54C1C"/>
    <w:rsid w:val="51E0632D"/>
    <w:rsid w:val="51E13E16"/>
    <w:rsid w:val="51EE1396"/>
    <w:rsid w:val="51F75FEF"/>
    <w:rsid w:val="51F85AA4"/>
    <w:rsid w:val="52086449"/>
    <w:rsid w:val="520979C9"/>
    <w:rsid w:val="520C0F03"/>
    <w:rsid w:val="521720FD"/>
    <w:rsid w:val="523429E2"/>
    <w:rsid w:val="52352798"/>
    <w:rsid w:val="523F0461"/>
    <w:rsid w:val="52427C38"/>
    <w:rsid w:val="52451D5B"/>
    <w:rsid w:val="526D6A67"/>
    <w:rsid w:val="52717E29"/>
    <w:rsid w:val="527A3834"/>
    <w:rsid w:val="527C4869"/>
    <w:rsid w:val="52825A30"/>
    <w:rsid w:val="52862B12"/>
    <w:rsid w:val="528B1ED6"/>
    <w:rsid w:val="528E6A2E"/>
    <w:rsid w:val="52954F00"/>
    <w:rsid w:val="52B4432C"/>
    <w:rsid w:val="52DF36B6"/>
    <w:rsid w:val="52E15AA6"/>
    <w:rsid w:val="5301470D"/>
    <w:rsid w:val="530325EF"/>
    <w:rsid w:val="530C129C"/>
    <w:rsid w:val="531F7BD9"/>
    <w:rsid w:val="53261383"/>
    <w:rsid w:val="53601BEF"/>
    <w:rsid w:val="537B6396"/>
    <w:rsid w:val="5389192E"/>
    <w:rsid w:val="539D59C4"/>
    <w:rsid w:val="53A039CC"/>
    <w:rsid w:val="53A1505A"/>
    <w:rsid w:val="53DB7536"/>
    <w:rsid w:val="53EE73CC"/>
    <w:rsid w:val="53FB4EA5"/>
    <w:rsid w:val="54021ED8"/>
    <w:rsid w:val="54063E08"/>
    <w:rsid w:val="540835FD"/>
    <w:rsid w:val="541533F2"/>
    <w:rsid w:val="54300F87"/>
    <w:rsid w:val="543437E8"/>
    <w:rsid w:val="543B7AF9"/>
    <w:rsid w:val="54596070"/>
    <w:rsid w:val="545B76B8"/>
    <w:rsid w:val="548825A7"/>
    <w:rsid w:val="549A0AF6"/>
    <w:rsid w:val="54A16241"/>
    <w:rsid w:val="54A64E01"/>
    <w:rsid w:val="54A714F1"/>
    <w:rsid w:val="54A75DD2"/>
    <w:rsid w:val="54AE3114"/>
    <w:rsid w:val="54BD159C"/>
    <w:rsid w:val="54BE7320"/>
    <w:rsid w:val="54C622A5"/>
    <w:rsid w:val="54CC4AB5"/>
    <w:rsid w:val="54CE17D3"/>
    <w:rsid w:val="54D6016D"/>
    <w:rsid w:val="54E04F8B"/>
    <w:rsid w:val="54E20D8E"/>
    <w:rsid w:val="54F73313"/>
    <w:rsid w:val="54F80955"/>
    <w:rsid w:val="54FA4369"/>
    <w:rsid w:val="54FC70BB"/>
    <w:rsid w:val="55040278"/>
    <w:rsid w:val="55090758"/>
    <w:rsid w:val="550B0C83"/>
    <w:rsid w:val="550C1C51"/>
    <w:rsid w:val="551658F9"/>
    <w:rsid w:val="5535762D"/>
    <w:rsid w:val="5541677B"/>
    <w:rsid w:val="554351CF"/>
    <w:rsid w:val="554B5E12"/>
    <w:rsid w:val="554E1CF2"/>
    <w:rsid w:val="555170A7"/>
    <w:rsid w:val="55750B8F"/>
    <w:rsid w:val="55844593"/>
    <w:rsid w:val="5587536D"/>
    <w:rsid w:val="5596306C"/>
    <w:rsid w:val="559B174B"/>
    <w:rsid w:val="55A9307B"/>
    <w:rsid w:val="55AA6C63"/>
    <w:rsid w:val="55B32A81"/>
    <w:rsid w:val="55BB0BC3"/>
    <w:rsid w:val="55C060A9"/>
    <w:rsid w:val="55CE0CF4"/>
    <w:rsid w:val="55E13DE2"/>
    <w:rsid w:val="55E95892"/>
    <w:rsid w:val="55EF757B"/>
    <w:rsid w:val="55F079A9"/>
    <w:rsid w:val="55F717D2"/>
    <w:rsid w:val="55FF2442"/>
    <w:rsid w:val="56074160"/>
    <w:rsid w:val="560834E7"/>
    <w:rsid w:val="561862F5"/>
    <w:rsid w:val="561D140B"/>
    <w:rsid w:val="56294332"/>
    <w:rsid w:val="562C577E"/>
    <w:rsid w:val="56455863"/>
    <w:rsid w:val="56AC781B"/>
    <w:rsid w:val="56AF3223"/>
    <w:rsid w:val="56B22A9C"/>
    <w:rsid w:val="56C51366"/>
    <w:rsid w:val="56C65AAD"/>
    <w:rsid w:val="56C729CD"/>
    <w:rsid w:val="56D436D0"/>
    <w:rsid w:val="56D53FA8"/>
    <w:rsid w:val="56E146C1"/>
    <w:rsid w:val="56EC424D"/>
    <w:rsid w:val="56F0538B"/>
    <w:rsid w:val="570C3CE7"/>
    <w:rsid w:val="5718346A"/>
    <w:rsid w:val="572172AD"/>
    <w:rsid w:val="5737532A"/>
    <w:rsid w:val="574D6E22"/>
    <w:rsid w:val="575B631B"/>
    <w:rsid w:val="575F1139"/>
    <w:rsid w:val="57623B4D"/>
    <w:rsid w:val="576844AB"/>
    <w:rsid w:val="57722622"/>
    <w:rsid w:val="578008A0"/>
    <w:rsid w:val="57850C09"/>
    <w:rsid w:val="57852FF8"/>
    <w:rsid w:val="579D202F"/>
    <w:rsid w:val="57A3220E"/>
    <w:rsid w:val="57A70A70"/>
    <w:rsid w:val="57B50623"/>
    <w:rsid w:val="57B72A76"/>
    <w:rsid w:val="57BD53B9"/>
    <w:rsid w:val="57C3426C"/>
    <w:rsid w:val="57C44436"/>
    <w:rsid w:val="57CE1F93"/>
    <w:rsid w:val="57CF6F01"/>
    <w:rsid w:val="57D16E60"/>
    <w:rsid w:val="57E73F1A"/>
    <w:rsid w:val="57EA75B6"/>
    <w:rsid w:val="57EC5FCE"/>
    <w:rsid w:val="5808073B"/>
    <w:rsid w:val="58092A1A"/>
    <w:rsid w:val="58116187"/>
    <w:rsid w:val="582708F3"/>
    <w:rsid w:val="58275D0F"/>
    <w:rsid w:val="58291CB1"/>
    <w:rsid w:val="582C5F09"/>
    <w:rsid w:val="582F433A"/>
    <w:rsid w:val="583943A0"/>
    <w:rsid w:val="58497672"/>
    <w:rsid w:val="585022A3"/>
    <w:rsid w:val="585332A8"/>
    <w:rsid w:val="5866745C"/>
    <w:rsid w:val="586E207E"/>
    <w:rsid w:val="58772978"/>
    <w:rsid w:val="587B6C7C"/>
    <w:rsid w:val="587D6765"/>
    <w:rsid w:val="588743D1"/>
    <w:rsid w:val="5887701A"/>
    <w:rsid w:val="588A20A2"/>
    <w:rsid w:val="588B4C9A"/>
    <w:rsid w:val="58A4248E"/>
    <w:rsid w:val="58AD6168"/>
    <w:rsid w:val="58B56380"/>
    <w:rsid w:val="58B74177"/>
    <w:rsid w:val="58BA4CEE"/>
    <w:rsid w:val="58ED5699"/>
    <w:rsid w:val="58FE7875"/>
    <w:rsid w:val="59271254"/>
    <w:rsid w:val="59273E83"/>
    <w:rsid w:val="593111D5"/>
    <w:rsid w:val="59312B07"/>
    <w:rsid w:val="59402EA2"/>
    <w:rsid w:val="59422ECB"/>
    <w:rsid w:val="5960230F"/>
    <w:rsid w:val="5966296C"/>
    <w:rsid w:val="59716A00"/>
    <w:rsid w:val="597A4A53"/>
    <w:rsid w:val="597C07CB"/>
    <w:rsid w:val="598B0F21"/>
    <w:rsid w:val="59964B8B"/>
    <w:rsid w:val="59981AA8"/>
    <w:rsid w:val="59C0439F"/>
    <w:rsid w:val="59D61AE9"/>
    <w:rsid w:val="59DF5DD6"/>
    <w:rsid w:val="59E14147"/>
    <w:rsid w:val="59F926A6"/>
    <w:rsid w:val="5A0D63A6"/>
    <w:rsid w:val="5A18581A"/>
    <w:rsid w:val="5A1A7675"/>
    <w:rsid w:val="5A1D757A"/>
    <w:rsid w:val="5A293AF3"/>
    <w:rsid w:val="5A3351E8"/>
    <w:rsid w:val="5A391C7E"/>
    <w:rsid w:val="5A535943"/>
    <w:rsid w:val="5A545456"/>
    <w:rsid w:val="5A620141"/>
    <w:rsid w:val="5A6237D2"/>
    <w:rsid w:val="5A693F17"/>
    <w:rsid w:val="5A6D1603"/>
    <w:rsid w:val="5A6D3AD8"/>
    <w:rsid w:val="5A794702"/>
    <w:rsid w:val="5A7D37AD"/>
    <w:rsid w:val="5A864AC4"/>
    <w:rsid w:val="5A8F6B44"/>
    <w:rsid w:val="5A9572AA"/>
    <w:rsid w:val="5A99252E"/>
    <w:rsid w:val="5A9F1F15"/>
    <w:rsid w:val="5AA00B93"/>
    <w:rsid w:val="5AA3072E"/>
    <w:rsid w:val="5AA566D8"/>
    <w:rsid w:val="5AB16C1F"/>
    <w:rsid w:val="5AB43CE1"/>
    <w:rsid w:val="5AB72373"/>
    <w:rsid w:val="5ABE2233"/>
    <w:rsid w:val="5AC53B41"/>
    <w:rsid w:val="5AC72C9E"/>
    <w:rsid w:val="5ACE72A7"/>
    <w:rsid w:val="5ADF6723"/>
    <w:rsid w:val="5AE72237"/>
    <w:rsid w:val="5AFE5563"/>
    <w:rsid w:val="5B021D04"/>
    <w:rsid w:val="5B0311A3"/>
    <w:rsid w:val="5B113E40"/>
    <w:rsid w:val="5B3C467D"/>
    <w:rsid w:val="5B451BFB"/>
    <w:rsid w:val="5B4B2B4A"/>
    <w:rsid w:val="5B6767BE"/>
    <w:rsid w:val="5B7976B8"/>
    <w:rsid w:val="5B835BDC"/>
    <w:rsid w:val="5B863B83"/>
    <w:rsid w:val="5BA44A1A"/>
    <w:rsid w:val="5BAD5ED6"/>
    <w:rsid w:val="5BBA0EC4"/>
    <w:rsid w:val="5BCC3C46"/>
    <w:rsid w:val="5BD51CB5"/>
    <w:rsid w:val="5BD709D1"/>
    <w:rsid w:val="5BDB5C7C"/>
    <w:rsid w:val="5BDE751B"/>
    <w:rsid w:val="5BDF5D95"/>
    <w:rsid w:val="5BE84EF3"/>
    <w:rsid w:val="5BF675D9"/>
    <w:rsid w:val="5BFE7528"/>
    <w:rsid w:val="5C061345"/>
    <w:rsid w:val="5C0E4BA9"/>
    <w:rsid w:val="5C1141FD"/>
    <w:rsid w:val="5C1B3BFC"/>
    <w:rsid w:val="5C217836"/>
    <w:rsid w:val="5C384C53"/>
    <w:rsid w:val="5C3A0DB0"/>
    <w:rsid w:val="5C582748"/>
    <w:rsid w:val="5C5C3FD2"/>
    <w:rsid w:val="5C6E7F37"/>
    <w:rsid w:val="5C726CED"/>
    <w:rsid w:val="5C7D534E"/>
    <w:rsid w:val="5C7E2D61"/>
    <w:rsid w:val="5C8775EE"/>
    <w:rsid w:val="5C906B9D"/>
    <w:rsid w:val="5C9402DC"/>
    <w:rsid w:val="5CB24CDC"/>
    <w:rsid w:val="5CC44DE7"/>
    <w:rsid w:val="5CDC7C52"/>
    <w:rsid w:val="5CE541D3"/>
    <w:rsid w:val="5CE7644B"/>
    <w:rsid w:val="5CE86F23"/>
    <w:rsid w:val="5CF215C8"/>
    <w:rsid w:val="5CF67DF7"/>
    <w:rsid w:val="5CF84AEC"/>
    <w:rsid w:val="5CFB2B88"/>
    <w:rsid w:val="5CFD0329"/>
    <w:rsid w:val="5D213B63"/>
    <w:rsid w:val="5D264D68"/>
    <w:rsid w:val="5D46013B"/>
    <w:rsid w:val="5D481A00"/>
    <w:rsid w:val="5D5E0E32"/>
    <w:rsid w:val="5D6F20DF"/>
    <w:rsid w:val="5D777C94"/>
    <w:rsid w:val="5D833AC2"/>
    <w:rsid w:val="5D9E2AD4"/>
    <w:rsid w:val="5DBF66FE"/>
    <w:rsid w:val="5DE42D24"/>
    <w:rsid w:val="5DFA7181"/>
    <w:rsid w:val="5E0051EA"/>
    <w:rsid w:val="5E070BA9"/>
    <w:rsid w:val="5E1824AD"/>
    <w:rsid w:val="5E185F2D"/>
    <w:rsid w:val="5E1D0AF3"/>
    <w:rsid w:val="5E2302DF"/>
    <w:rsid w:val="5E2467F1"/>
    <w:rsid w:val="5E26133C"/>
    <w:rsid w:val="5E27500E"/>
    <w:rsid w:val="5E5C455D"/>
    <w:rsid w:val="5E782A80"/>
    <w:rsid w:val="5E800D5D"/>
    <w:rsid w:val="5E820631"/>
    <w:rsid w:val="5E821110"/>
    <w:rsid w:val="5E8827F2"/>
    <w:rsid w:val="5E8D1EC9"/>
    <w:rsid w:val="5E946C7E"/>
    <w:rsid w:val="5E9B25F0"/>
    <w:rsid w:val="5EB12025"/>
    <w:rsid w:val="5ECB4734"/>
    <w:rsid w:val="5ED13423"/>
    <w:rsid w:val="5ED54C05"/>
    <w:rsid w:val="5EE3004F"/>
    <w:rsid w:val="5F0F18ED"/>
    <w:rsid w:val="5F1635FD"/>
    <w:rsid w:val="5F1A2B43"/>
    <w:rsid w:val="5F296552"/>
    <w:rsid w:val="5F386764"/>
    <w:rsid w:val="5F55026B"/>
    <w:rsid w:val="5F557AF4"/>
    <w:rsid w:val="5F703390"/>
    <w:rsid w:val="5F8E7FB0"/>
    <w:rsid w:val="5F965617"/>
    <w:rsid w:val="5F9A265C"/>
    <w:rsid w:val="5FB3561C"/>
    <w:rsid w:val="5FB837BB"/>
    <w:rsid w:val="5FDB046D"/>
    <w:rsid w:val="5FDF581D"/>
    <w:rsid w:val="5FFA069B"/>
    <w:rsid w:val="6004014B"/>
    <w:rsid w:val="600847F8"/>
    <w:rsid w:val="600A5E8A"/>
    <w:rsid w:val="600D03CE"/>
    <w:rsid w:val="60127637"/>
    <w:rsid w:val="60132DBD"/>
    <w:rsid w:val="60182D25"/>
    <w:rsid w:val="601E50E2"/>
    <w:rsid w:val="60211B97"/>
    <w:rsid w:val="60264272"/>
    <w:rsid w:val="60310561"/>
    <w:rsid w:val="604131B6"/>
    <w:rsid w:val="604A098B"/>
    <w:rsid w:val="604B4B9A"/>
    <w:rsid w:val="60692DB6"/>
    <w:rsid w:val="606C2C1F"/>
    <w:rsid w:val="60747CCC"/>
    <w:rsid w:val="607F37E5"/>
    <w:rsid w:val="608468C2"/>
    <w:rsid w:val="608C53C7"/>
    <w:rsid w:val="60930A3D"/>
    <w:rsid w:val="60973C42"/>
    <w:rsid w:val="609A4F3F"/>
    <w:rsid w:val="60A2320D"/>
    <w:rsid w:val="60A508FE"/>
    <w:rsid w:val="60A63091"/>
    <w:rsid w:val="60AA1643"/>
    <w:rsid w:val="60B65812"/>
    <w:rsid w:val="60C53503"/>
    <w:rsid w:val="60C94C8A"/>
    <w:rsid w:val="60CC405A"/>
    <w:rsid w:val="60D809DC"/>
    <w:rsid w:val="60EA512C"/>
    <w:rsid w:val="60EA6809"/>
    <w:rsid w:val="60EE0456"/>
    <w:rsid w:val="60F75F14"/>
    <w:rsid w:val="60F80A75"/>
    <w:rsid w:val="611A7FB1"/>
    <w:rsid w:val="61206942"/>
    <w:rsid w:val="612075E3"/>
    <w:rsid w:val="612105D5"/>
    <w:rsid w:val="61280739"/>
    <w:rsid w:val="612F3554"/>
    <w:rsid w:val="61302010"/>
    <w:rsid w:val="613227E3"/>
    <w:rsid w:val="6136242B"/>
    <w:rsid w:val="613D0645"/>
    <w:rsid w:val="613F0CA1"/>
    <w:rsid w:val="61596598"/>
    <w:rsid w:val="615D2386"/>
    <w:rsid w:val="61633B29"/>
    <w:rsid w:val="616B6776"/>
    <w:rsid w:val="61720E31"/>
    <w:rsid w:val="6177144A"/>
    <w:rsid w:val="618B3CA1"/>
    <w:rsid w:val="618E791B"/>
    <w:rsid w:val="61A31E32"/>
    <w:rsid w:val="61A62889"/>
    <w:rsid w:val="61A82430"/>
    <w:rsid w:val="61BD24AA"/>
    <w:rsid w:val="61C01F9F"/>
    <w:rsid w:val="61CE1141"/>
    <w:rsid w:val="61E10945"/>
    <w:rsid w:val="61E215D8"/>
    <w:rsid w:val="61ED3F4B"/>
    <w:rsid w:val="62027D9C"/>
    <w:rsid w:val="62103D71"/>
    <w:rsid w:val="62144C0E"/>
    <w:rsid w:val="62171575"/>
    <w:rsid w:val="621B3775"/>
    <w:rsid w:val="62253728"/>
    <w:rsid w:val="62265778"/>
    <w:rsid w:val="622B7232"/>
    <w:rsid w:val="62327D88"/>
    <w:rsid w:val="623441B4"/>
    <w:rsid w:val="62364782"/>
    <w:rsid w:val="623D132F"/>
    <w:rsid w:val="624A590A"/>
    <w:rsid w:val="62513F52"/>
    <w:rsid w:val="625E3862"/>
    <w:rsid w:val="6265192E"/>
    <w:rsid w:val="628E6E8D"/>
    <w:rsid w:val="629619DA"/>
    <w:rsid w:val="629B60E3"/>
    <w:rsid w:val="62AC512F"/>
    <w:rsid w:val="62AE5033"/>
    <w:rsid w:val="62B74125"/>
    <w:rsid w:val="62C16AA9"/>
    <w:rsid w:val="62CC4443"/>
    <w:rsid w:val="62CF0584"/>
    <w:rsid w:val="62D14D1C"/>
    <w:rsid w:val="62D578C9"/>
    <w:rsid w:val="62DA5624"/>
    <w:rsid w:val="62F52659"/>
    <w:rsid w:val="62FF4998"/>
    <w:rsid w:val="630F3D90"/>
    <w:rsid w:val="631E417A"/>
    <w:rsid w:val="63342AA1"/>
    <w:rsid w:val="633A4969"/>
    <w:rsid w:val="634F4C0D"/>
    <w:rsid w:val="636026A2"/>
    <w:rsid w:val="636A6D28"/>
    <w:rsid w:val="636B51F1"/>
    <w:rsid w:val="636D1522"/>
    <w:rsid w:val="6394356A"/>
    <w:rsid w:val="63A270C4"/>
    <w:rsid w:val="63AD5F6D"/>
    <w:rsid w:val="63B05C41"/>
    <w:rsid w:val="63B05E97"/>
    <w:rsid w:val="63C41D4F"/>
    <w:rsid w:val="63C61B2C"/>
    <w:rsid w:val="63CC2B5A"/>
    <w:rsid w:val="63D40BE9"/>
    <w:rsid w:val="63D72CC2"/>
    <w:rsid w:val="63E14908"/>
    <w:rsid w:val="63E16015"/>
    <w:rsid w:val="63E73204"/>
    <w:rsid w:val="64003358"/>
    <w:rsid w:val="6407067A"/>
    <w:rsid w:val="64073665"/>
    <w:rsid w:val="64102431"/>
    <w:rsid w:val="641C5654"/>
    <w:rsid w:val="64214B07"/>
    <w:rsid w:val="64271BF4"/>
    <w:rsid w:val="643A0134"/>
    <w:rsid w:val="643A09C0"/>
    <w:rsid w:val="644B4B53"/>
    <w:rsid w:val="64511D4F"/>
    <w:rsid w:val="64703FA0"/>
    <w:rsid w:val="647E3101"/>
    <w:rsid w:val="648C491B"/>
    <w:rsid w:val="64A175BE"/>
    <w:rsid w:val="64A36253"/>
    <w:rsid w:val="64A5243A"/>
    <w:rsid w:val="64C37C69"/>
    <w:rsid w:val="64D651AE"/>
    <w:rsid w:val="64DE1973"/>
    <w:rsid w:val="64E83A91"/>
    <w:rsid w:val="64EF63A6"/>
    <w:rsid w:val="64F13BD2"/>
    <w:rsid w:val="64F531DE"/>
    <w:rsid w:val="650435C0"/>
    <w:rsid w:val="65064FC2"/>
    <w:rsid w:val="650E072D"/>
    <w:rsid w:val="651F787D"/>
    <w:rsid w:val="65231B32"/>
    <w:rsid w:val="65270F6B"/>
    <w:rsid w:val="65303A38"/>
    <w:rsid w:val="653423A0"/>
    <w:rsid w:val="65373578"/>
    <w:rsid w:val="65590BA1"/>
    <w:rsid w:val="65653EF4"/>
    <w:rsid w:val="65673BF0"/>
    <w:rsid w:val="656D3742"/>
    <w:rsid w:val="657977A6"/>
    <w:rsid w:val="6589334E"/>
    <w:rsid w:val="658E4B81"/>
    <w:rsid w:val="6595051A"/>
    <w:rsid w:val="659766FC"/>
    <w:rsid w:val="659932DF"/>
    <w:rsid w:val="65A37F0E"/>
    <w:rsid w:val="65B7437F"/>
    <w:rsid w:val="65B81E27"/>
    <w:rsid w:val="65D976D1"/>
    <w:rsid w:val="65DF2567"/>
    <w:rsid w:val="65E21DF4"/>
    <w:rsid w:val="65E3736C"/>
    <w:rsid w:val="65E63B9C"/>
    <w:rsid w:val="65F84845"/>
    <w:rsid w:val="660360B4"/>
    <w:rsid w:val="660843E8"/>
    <w:rsid w:val="660B7A41"/>
    <w:rsid w:val="661D05D9"/>
    <w:rsid w:val="66250727"/>
    <w:rsid w:val="662652B6"/>
    <w:rsid w:val="66275971"/>
    <w:rsid w:val="66316396"/>
    <w:rsid w:val="66380072"/>
    <w:rsid w:val="663C113E"/>
    <w:rsid w:val="663E7534"/>
    <w:rsid w:val="665824A4"/>
    <w:rsid w:val="665A25B3"/>
    <w:rsid w:val="66713B3B"/>
    <w:rsid w:val="6672051C"/>
    <w:rsid w:val="667A1FDF"/>
    <w:rsid w:val="667E436D"/>
    <w:rsid w:val="667F18FA"/>
    <w:rsid w:val="668909C3"/>
    <w:rsid w:val="668A07A1"/>
    <w:rsid w:val="66A852F5"/>
    <w:rsid w:val="66B34B54"/>
    <w:rsid w:val="66B8192B"/>
    <w:rsid w:val="66BD4730"/>
    <w:rsid w:val="66BD6692"/>
    <w:rsid w:val="66C66432"/>
    <w:rsid w:val="66C74894"/>
    <w:rsid w:val="66C832A1"/>
    <w:rsid w:val="66C83B7A"/>
    <w:rsid w:val="66CB6949"/>
    <w:rsid w:val="66DC0AFB"/>
    <w:rsid w:val="66F92BDC"/>
    <w:rsid w:val="670348D1"/>
    <w:rsid w:val="67065096"/>
    <w:rsid w:val="670869F1"/>
    <w:rsid w:val="670A2325"/>
    <w:rsid w:val="67112E9A"/>
    <w:rsid w:val="671F124A"/>
    <w:rsid w:val="671F5088"/>
    <w:rsid w:val="675379BE"/>
    <w:rsid w:val="676F7BC1"/>
    <w:rsid w:val="67736BDB"/>
    <w:rsid w:val="677A33C6"/>
    <w:rsid w:val="67884632"/>
    <w:rsid w:val="678C3AE7"/>
    <w:rsid w:val="679C6C08"/>
    <w:rsid w:val="67A26671"/>
    <w:rsid w:val="67AE72A0"/>
    <w:rsid w:val="67B145A7"/>
    <w:rsid w:val="67CE2216"/>
    <w:rsid w:val="67E435C4"/>
    <w:rsid w:val="67E46C6A"/>
    <w:rsid w:val="67EB7247"/>
    <w:rsid w:val="67EF0555"/>
    <w:rsid w:val="67EF4B73"/>
    <w:rsid w:val="67F82416"/>
    <w:rsid w:val="680C79CC"/>
    <w:rsid w:val="68113DE6"/>
    <w:rsid w:val="681F6961"/>
    <w:rsid w:val="682117C8"/>
    <w:rsid w:val="682670D5"/>
    <w:rsid w:val="684D3703"/>
    <w:rsid w:val="685377D2"/>
    <w:rsid w:val="68610A2F"/>
    <w:rsid w:val="68704DD9"/>
    <w:rsid w:val="68805514"/>
    <w:rsid w:val="689305C7"/>
    <w:rsid w:val="68957BCE"/>
    <w:rsid w:val="689D2123"/>
    <w:rsid w:val="68A03C12"/>
    <w:rsid w:val="68D221B5"/>
    <w:rsid w:val="68DC475E"/>
    <w:rsid w:val="68DD0E36"/>
    <w:rsid w:val="68E3707D"/>
    <w:rsid w:val="68E8555A"/>
    <w:rsid w:val="68EE1726"/>
    <w:rsid w:val="68F7360A"/>
    <w:rsid w:val="69074A07"/>
    <w:rsid w:val="690F2D7E"/>
    <w:rsid w:val="6916437F"/>
    <w:rsid w:val="691A6445"/>
    <w:rsid w:val="69287CA3"/>
    <w:rsid w:val="69316E2F"/>
    <w:rsid w:val="69327431"/>
    <w:rsid w:val="693B456C"/>
    <w:rsid w:val="694E2071"/>
    <w:rsid w:val="694F3625"/>
    <w:rsid w:val="695053C9"/>
    <w:rsid w:val="695C5279"/>
    <w:rsid w:val="69610110"/>
    <w:rsid w:val="696574CD"/>
    <w:rsid w:val="696B3E87"/>
    <w:rsid w:val="69766163"/>
    <w:rsid w:val="697849C3"/>
    <w:rsid w:val="697A3B33"/>
    <w:rsid w:val="697F1317"/>
    <w:rsid w:val="69820628"/>
    <w:rsid w:val="699B692C"/>
    <w:rsid w:val="69A90E55"/>
    <w:rsid w:val="69B25660"/>
    <w:rsid w:val="69B606F3"/>
    <w:rsid w:val="69C2047C"/>
    <w:rsid w:val="69CA528A"/>
    <w:rsid w:val="69D44760"/>
    <w:rsid w:val="69D50D8F"/>
    <w:rsid w:val="69E2696D"/>
    <w:rsid w:val="69EE35C6"/>
    <w:rsid w:val="69F124F9"/>
    <w:rsid w:val="69F95EA6"/>
    <w:rsid w:val="6A01572C"/>
    <w:rsid w:val="6A046AB5"/>
    <w:rsid w:val="6A06733F"/>
    <w:rsid w:val="6A114F5F"/>
    <w:rsid w:val="6A520EC7"/>
    <w:rsid w:val="6A6479AD"/>
    <w:rsid w:val="6A6E56CD"/>
    <w:rsid w:val="6A873AA1"/>
    <w:rsid w:val="6A8A201E"/>
    <w:rsid w:val="6A9D3CF6"/>
    <w:rsid w:val="6AA33086"/>
    <w:rsid w:val="6AAF023E"/>
    <w:rsid w:val="6AB01F0B"/>
    <w:rsid w:val="6AB5273A"/>
    <w:rsid w:val="6ABE358C"/>
    <w:rsid w:val="6ACA5531"/>
    <w:rsid w:val="6ACB15B2"/>
    <w:rsid w:val="6ACF2148"/>
    <w:rsid w:val="6AD246EE"/>
    <w:rsid w:val="6AD54ABE"/>
    <w:rsid w:val="6AD9588D"/>
    <w:rsid w:val="6AE6584D"/>
    <w:rsid w:val="6AEC5C58"/>
    <w:rsid w:val="6AF87E20"/>
    <w:rsid w:val="6AF91C7B"/>
    <w:rsid w:val="6B036C8A"/>
    <w:rsid w:val="6B217424"/>
    <w:rsid w:val="6B297E45"/>
    <w:rsid w:val="6B322639"/>
    <w:rsid w:val="6B42798F"/>
    <w:rsid w:val="6B530FAD"/>
    <w:rsid w:val="6B6D63B5"/>
    <w:rsid w:val="6B7543AE"/>
    <w:rsid w:val="6B7A1A05"/>
    <w:rsid w:val="6B7B4D86"/>
    <w:rsid w:val="6B8E3A65"/>
    <w:rsid w:val="6B8F7ACE"/>
    <w:rsid w:val="6BC15256"/>
    <w:rsid w:val="6BCC297A"/>
    <w:rsid w:val="6BD0101C"/>
    <w:rsid w:val="6BDB379E"/>
    <w:rsid w:val="6BEA6CE2"/>
    <w:rsid w:val="6BF012D0"/>
    <w:rsid w:val="6C0164E3"/>
    <w:rsid w:val="6C0C1AF4"/>
    <w:rsid w:val="6C1534B4"/>
    <w:rsid w:val="6C1C598A"/>
    <w:rsid w:val="6C2C6080"/>
    <w:rsid w:val="6C636C38"/>
    <w:rsid w:val="6C747166"/>
    <w:rsid w:val="6C7B6935"/>
    <w:rsid w:val="6C7D7940"/>
    <w:rsid w:val="6C814005"/>
    <w:rsid w:val="6C907D20"/>
    <w:rsid w:val="6C975BF0"/>
    <w:rsid w:val="6CB772C4"/>
    <w:rsid w:val="6CCD60A8"/>
    <w:rsid w:val="6CDB54B6"/>
    <w:rsid w:val="6CE07171"/>
    <w:rsid w:val="6CE3278C"/>
    <w:rsid w:val="6CEA1799"/>
    <w:rsid w:val="6CF06658"/>
    <w:rsid w:val="6D1E6853"/>
    <w:rsid w:val="6D275EA9"/>
    <w:rsid w:val="6D277BE2"/>
    <w:rsid w:val="6D376D78"/>
    <w:rsid w:val="6D41599F"/>
    <w:rsid w:val="6D4D0722"/>
    <w:rsid w:val="6D4F6810"/>
    <w:rsid w:val="6D686B24"/>
    <w:rsid w:val="6D6C11B0"/>
    <w:rsid w:val="6D6E7043"/>
    <w:rsid w:val="6D716596"/>
    <w:rsid w:val="6D7B62AE"/>
    <w:rsid w:val="6D7C0912"/>
    <w:rsid w:val="6D7C403F"/>
    <w:rsid w:val="6D807F5A"/>
    <w:rsid w:val="6D84594D"/>
    <w:rsid w:val="6DA70778"/>
    <w:rsid w:val="6DAA462E"/>
    <w:rsid w:val="6DB34098"/>
    <w:rsid w:val="6DB545B6"/>
    <w:rsid w:val="6DC11598"/>
    <w:rsid w:val="6DC7309A"/>
    <w:rsid w:val="6DD06D5E"/>
    <w:rsid w:val="6DDD5884"/>
    <w:rsid w:val="6DE02FB4"/>
    <w:rsid w:val="6DE76703"/>
    <w:rsid w:val="6DEA3671"/>
    <w:rsid w:val="6E0E3340"/>
    <w:rsid w:val="6E117853"/>
    <w:rsid w:val="6E1730B4"/>
    <w:rsid w:val="6E2E08FB"/>
    <w:rsid w:val="6E320A15"/>
    <w:rsid w:val="6E331AF1"/>
    <w:rsid w:val="6E375F3A"/>
    <w:rsid w:val="6E3A2CD6"/>
    <w:rsid w:val="6E4B4EE4"/>
    <w:rsid w:val="6E4E16B7"/>
    <w:rsid w:val="6E514CED"/>
    <w:rsid w:val="6E640887"/>
    <w:rsid w:val="6E68632A"/>
    <w:rsid w:val="6E7363CF"/>
    <w:rsid w:val="6E8F607F"/>
    <w:rsid w:val="6E9B3052"/>
    <w:rsid w:val="6EAF282F"/>
    <w:rsid w:val="6EB563D5"/>
    <w:rsid w:val="6EC16186"/>
    <w:rsid w:val="6ED10099"/>
    <w:rsid w:val="6ED92677"/>
    <w:rsid w:val="6EEA723F"/>
    <w:rsid w:val="6EEF1E11"/>
    <w:rsid w:val="6EFA4214"/>
    <w:rsid w:val="6F036691"/>
    <w:rsid w:val="6F092A20"/>
    <w:rsid w:val="6F1A4C3D"/>
    <w:rsid w:val="6F1E705B"/>
    <w:rsid w:val="6F225983"/>
    <w:rsid w:val="6F2F5D24"/>
    <w:rsid w:val="6F313B34"/>
    <w:rsid w:val="6F395263"/>
    <w:rsid w:val="6F3E44C9"/>
    <w:rsid w:val="6F4677CD"/>
    <w:rsid w:val="6F4D17FF"/>
    <w:rsid w:val="6F4D5649"/>
    <w:rsid w:val="6F587EA7"/>
    <w:rsid w:val="6F6C5095"/>
    <w:rsid w:val="6F7B135A"/>
    <w:rsid w:val="6F8819A5"/>
    <w:rsid w:val="6F8C57B4"/>
    <w:rsid w:val="6F8C75E8"/>
    <w:rsid w:val="6F913695"/>
    <w:rsid w:val="6F924F82"/>
    <w:rsid w:val="6F965DA5"/>
    <w:rsid w:val="6F9C6742"/>
    <w:rsid w:val="6F9D62EB"/>
    <w:rsid w:val="6FA91A01"/>
    <w:rsid w:val="6FB24499"/>
    <w:rsid w:val="6FBF2CEA"/>
    <w:rsid w:val="6FC01F99"/>
    <w:rsid w:val="6FD81C6E"/>
    <w:rsid w:val="6FDA50F0"/>
    <w:rsid w:val="6FE2325C"/>
    <w:rsid w:val="6FFB38EE"/>
    <w:rsid w:val="6FFC5590"/>
    <w:rsid w:val="6FFD6B8B"/>
    <w:rsid w:val="70115EB7"/>
    <w:rsid w:val="7013685C"/>
    <w:rsid w:val="701C2C04"/>
    <w:rsid w:val="702553AA"/>
    <w:rsid w:val="702D05AE"/>
    <w:rsid w:val="70426348"/>
    <w:rsid w:val="704A449A"/>
    <w:rsid w:val="706B0523"/>
    <w:rsid w:val="706B3924"/>
    <w:rsid w:val="706D1DD0"/>
    <w:rsid w:val="706E0F3A"/>
    <w:rsid w:val="706F3634"/>
    <w:rsid w:val="706F4AEE"/>
    <w:rsid w:val="70763D6E"/>
    <w:rsid w:val="70856B87"/>
    <w:rsid w:val="708A1EB4"/>
    <w:rsid w:val="708C5D84"/>
    <w:rsid w:val="70AA29FF"/>
    <w:rsid w:val="70AE18CE"/>
    <w:rsid w:val="70BA28AF"/>
    <w:rsid w:val="70C20D61"/>
    <w:rsid w:val="70C44AD9"/>
    <w:rsid w:val="70D03051"/>
    <w:rsid w:val="70D527EE"/>
    <w:rsid w:val="70D5326E"/>
    <w:rsid w:val="70DB698D"/>
    <w:rsid w:val="70E562D9"/>
    <w:rsid w:val="70EF13C1"/>
    <w:rsid w:val="70F71124"/>
    <w:rsid w:val="70FD3FB9"/>
    <w:rsid w:val="710D1B1A"/>
    <w:rsid w:val="71160C64"/>
    <w:rsid w:val="71353C17"/>
    <w:rsid w:val="71473015"/>
    <w:rsid w:val="714819F4"/>
    <w:rsid w:val="715343E1"/>
    <w:rsid w:val="715B5300"/>
    <w:rsid w:val="71680919"/>
    <w:rsid w:val="71793B16"/>
    <w:rsid w:val="7179414C"/>
    <w:rsid w:val="71803D53"/>
    <w:rsid w:val="7180618B"/>
    <w:rsid w:val="719623F9"/>
    <w:rsid w:val="71B00E22"/>
    <w:rsid w:val="71B0468A"/>
    <w:rsid w:val="71B07277"/>
    <w:rsid w:val="71B8719C"/>
    <w:rsid w:val="71CC2DFF"/>
    <w:rsid w:val="71CC447E"/>
    <w:rsid w:val="71D27F8A"/>
    <w:rsid w:val="71D97ADA"/>
    <w:rsid w:val="71E77639"/>
    <w:rsid w:val="71E9085D"/>
    <w:rsid w:val="71E92B7A"/>
    <w:rsid w:val="72036B70"/>
    <w:rsid w:val="720C55EC"/>
    <w:rsid w:val="72124E2D"/>
    <w:rsid w:val="721E46BD"/>
    <w:rsid w:val="72233C70"/>
    <w:rsid w:val="72273CA6"/>
    <w:rsid w:val="7229300F"/>
    <w:rsid w:val="724A3982"/>
    <w:rsid w:val="72502AB1"/>
    <w:rsid w:val="72553024"/>
    <w:rsid w:val="725D6F93"/>
    <w:rsid w:val="725F12F5"/>
    <w:rsid w:val="72661C3F"/>
    <w:rsid w:val="72744E02"/>
    <w:rsid w:val="72873C09"/>
    <w:rsid w:val="728F3F08"/>
    <w:rsid w:val="728F4B45"/>
    <w:rsid w:val="729439D9"/>
    <w:rsid w:val="729A4C69"/>
    <w:rsid w:val="72A2668D"/>
    <w:rsid w:val="72AE52AB"/>
    <w:rsid w:val="72C156F8"/>
    <w:rsid w:val="72C62D8B"/>
    <w:rsid w:val="72D034DB"/>
    <w:rsid w:val="72D315A4"/>
    <w:rsid w:val="72D37CA8"/>
    <w:rsid w:val="72E43633"/>
    <w:rsid w:val="72E67063"/>
    <w:rsid w:val="72F52A23"/>
    <w:rsid w:val="72FB2E0C"/>
    <w:rsid w:val="72FF58DD"/>
    <w:rsid w:val="73122968"/>
    <w:rsid w:val="73152EDC"/>
    <w:rsid w:val="731C41B3"/>
    <w:rsid w:val="731F5D5E"/>
    <w:rsid w:val="73227957"/>
    <w:rsid w:val="732A4021"/>
    <w:rsid w:val="732C383A"/>
    <w:rsid w:val="733056FE"/>
    <w:rsid w:val="733C0741"/>
    <w:rsid w:val="736F163B"/>
    <w:rsid w:val="73784B99"/>
    <w:rsid w:val="737D57C4"/>
    <w:rsid w:val="737E661A"/>
    <w:rsid w:val="738734EE"/>
    <w:rsid w:val="73912C7A"/>
    <w:rsid w:val="73971A80"/>
    <w:rsid w:val="739A52D7"/>
    <w:rsid w:val="739B557B"/>
    <w:rsid w:val="73A136BA"/>
    <w:rsid w:val="73A32072"/>
    <w:rsid w:val="73B956A1"/>
    <w:rsid w:val="73BF3EBD"/>
    <w:rsid w:val="73C51AD5"/>
    <w:rsid w:val="73CA3A53"/>
    <w:rsid w:val="73D47729"/>
    <w:rsid w:val="73DD42B8"/>
    <w:rsid w:val="73E11802"/>
    <w:rsid w:val="73E864C6"/>
    <w:rsid w:val="73F52501"/>
    <w:rsid w:val="73F96450"/>
    <w:rsid w:val="73FC0288"/>
    <w:rsid w:val="73FD6422"/>
    <w:rsid w:val="74045844"/>
    <w:rsid w:val="740A55FA"/>
    <w:rsid w:val="740B0B73"/>
    <w:rsid w:val="741E793C"/>
    <w:rsid w:val="74235FBB"/>
    <w:rsid w:val="74424995"/>
    <w:rsid w:val="745E3944"/>
    <w:rsid w:val="7462069C"/>
    <w:rsid w:val="747223A8"/>
    <w:rsid w:val="7476258E"/>
    <w:rsid w:val="74812792"/>
    <w:rsid w:val="748146DD"/>
    <w:rsid w:val="74924E71"/>
    <w:rsid w:val="749D5D6D"/>
    <w:rsid w:val="74A05E78"/>
    <w:rsid w:val="74A11743"/>
    <w:rsid w:val="74A45FE7"/>
    <w:rsid w:val="74C16BB4"/>
    <w:rsid w:val="74C5034B"/>
    <w:rsid w:val="74C760DF"/>
    <w:rsid w:val="74DE0025"/>
    <w:rsid w:val="74F71921"/>
    <w:rsid w:val="75007CF9"/>
    <w:rsid w:val="751A6568"/>
    <w:rsid w:val="753A35BC"/>
    <w:rsid w:val="754A3E72"/>
    <w:rsid w:val="754C736E"/>
    <w:rsid w:val="7550348E"/>
    <w:rsid w:val="75510046"/>
    <w:rsid w:val="75596138"/>
    <w:rsid w:val="756203CB"/>
    <w:rsid w:val="756A78BF"/>
    <w:rsid w:val="757676AC"/>
    <w:rsid w:val="758221F9"/>
    <w:rsid w:val="758C4624"/>
    <w:rsid w:val="75BF6B3A"/>
    <w:rsid w:val="75C06A1C"/>
    <w:rsid w:val="75C36C8B"/>
    <w:rsid w:val="75CD4D4E"/>
    <w:rsid w:val="75CF6DCE"/>
    <w:rsid w:val="75D1113A"/>
    <w:rsid w:val="75F53919"/>
    <w:rsid w:val="75FA46C4"/>
    <w:rsid w:val="75FB1035"/>
    <w:rsid w:val="75FF3D0C"/>
    <w:rsid w:val="7602516D"/>
    <w:rsid w:val="76070849"/>
    <w:rsid w:val="760A7432"/>
    <w:rsid w:val="760E7B6F"/>
    <w:rsid w:val="761310D9"/>
    <w:rsid w:val="76211033"/>
    <w:rsid w:val="76316600"/>
    <w:rsid w:val="7635099D"/>
    <w:rsid w:val="76385D14"/>
    <w:rsid w:val="763A5D56"/>
    <w:rsid w:val="76411F1C"/>
    <w:rsid w:val="764A3CB7"/>
    <w:rsid w:val="76612F61"/>
    <w:rsid w:val="76651A8B"/>
    <w:rsid w:val="76716586"/>
    <w:rsid w:val="7672606A"/>
    <w:rsid w:val="767F16EB"/>
    <w:rsid w:val="76983A8F"/>
    <w:rsid w:val="76A62921"/>
    <w:rsid w:val="76BC5768"/>
    <w:rsid w:val="76C40360"/>
    <w:rsid w:val="76D93857"/>
    <w:rsid w:val="76D938EC"/>
    <w:rsid w:val="76DC56F1"/>
    <w:rsid w:val="76DD08FF"/>
    <w:rsid w:val="76EE0B02"/>
    <w:rsid w:val="7702635B"/>
    <w:rsid w:val="770C62AD"/>
    <w:rsid w:val="770C71A0"/>
    <w:rsid w:val="771458A0"/>
    <w:rsid w:val="77260A78"/>
    <w:rsid w:val="77337DD4"/>
    <w:rsid w:val="77377CBF"/>
    <w:rsid w:val="773F0AF2"/>
    <w:rsid w:val="77403CC3"/>
    <w:rsid w:val="774D4D5F"/>
    <w:rsid w:val="77633972"/>
    <w:rsid w:val="77716CFA"/>
    <w:rsid w:val="77762421"/>
    <w:rsid w:val="77767116"/>
    <w:rsid w:val="77767AE1"/>
    <w:rsid w:val="77983423"/>
    <w:rsid w:val="77B56B1F"/>
    <w:rsid w:val="77C7171D"/>
    <w:rsid w:val="77E81B4F"/>
    <w:rsid w:val="77F85042"/>
    <w:rsid w:val="77F87CD5"/>
    <w:rsid w:val="77FA1DE7"/>
    <w:rsid w:val="77FB5479"/>
    <w:rsid w:val="780F09F4"/>
    <w:rsid w:val="78115CBA"/>
    <w:rsid w:val="781D3024"/>
    <w:rsid w:val="782D11B9"/>
    <w:rsid w:val="78311968"/>
    <w:rsid w:val="783549BE"/>
    <w:rsid w:val="783F26A7"/>
    <w:rsid w:val="78495AF1"/>
    <w:rsid w:val="784D5A20"/>
    <w:rsid w:val="785C54CB"/>
    <w:rsid w:val="786D5C4D"/>
    <w:rsid w:val="7875068F"/>
    <w:rsid w:val="78952F94"/>
    <w:rsid w:val="78960FFE"/>
    <w:rsid w:val="78970048"/>
    <w:rsid w:val="7897354C"/>
    <w:rsid w:val="789E3E62"/>
    <w:rsid w:val="78A42D35"/>
    <w:rsid w:val="78A90480"/>
    <w:rsid w:val="78C1476A"/>
    <w:rsid w:val="78EC4939"/>
    <w:rsid w:val="790E4074"/>
    <w:rsid w:val="79214E4B"/>
    <w:rsid w:val="79437089"/>
    <w:rsid w:val="79501600"/>
    <w:rsid w:val="79522D0F"/>
    <w:rsid w:val="795A69A1"/>
    <w:rsid w:val="795D5ACB"/>
    <w:rsid w:val="796227BE"/>
    <w:rsid w:val="796C1579"/>
    <w:rsid w:val="79702102"/>
    <w:rsid w:val="79782905"/>
    <w:rsid w:val="79952809"/>
    <w:rsid w:val="79A013A7"/>
    <w:rsid w:val="79A75810"/>
    <w:rsid w:val="79DE4E5E"/>
    <w:rsid w:val="79F0482B"/>
    <w:rsid w:val="79F841B4"/>
    <w:rsid w:val="79F91A75"/>
    <w:rsid w:val="79FC172F"/>
    <w:rsid w:val="7A0941C6"/>
    <w:rsid w:val="7A200492"/>
    <w:rsid w:val="7A2346E1"/>
    <w:rsid w:val="7A272C43"/>
    <w:rsid w:val="7A2860D9"/>
    <w:rsid w:val="7A364017"/>
    <w:rsid w:val="7A3B72F7"/>
    <w:rsid w:val="7A422085"/>
    <w:rsid w:val="7A427DD3"/>
    <w:rsid w:val="7A5B1EB9"/>
    <w:rsid w:val="7A725395"/>
    <w:rsid w:val="7A794B87"/>
    <w:rsid w:val="7A7C01D3"/>
    <w:rsid w:val="7A81282B"/>
    <w:rsid w:val="7A8265E1"/>
    <w:rsid w:val="7A871906"/>
    <w:rsid w:val="7AA25BDC"/>
    <w:rsid w:val="7AA754C8"/>
    <w:rsid w:val="7AAD77E9"/>
    <w:rsid w:val="7AB532F2"/>
    <w:rsid w:val="7AC83418"/>
    <w:rsid w:val="7AE96F35"/>
    <w:rsid w:val="7AFB3390"/>
    <w:rsid w:val="7B045B40"/>
    <w:rsid w:val="7B0C144D"/>
    <w:rsid w:val="7B1D29B8"/>
    <w:rsid w:val="7B1F3DA6"/>
    <w:rsid w:val="7B235E55"/>
    <w:rsid w:val="7B3001D6"/>
    <w:rsid w:val="7B3614FE"/>
    <w:rsid w:val="7B3F0C80"/>
    <w:rsid w:val="7B413A9D"/>
    <w:rsid w:val="7B477DF0"/>
    <w:rsid w:val="7B503CAB"/>
    <w:rsid w:val="7B65133A"/>
    <w:rsid w:val="7B686D42"/>
    <w:rsid w:val="7B6B0973"/>
    <w:rsid w:val="7B7C2EF4"/>
    <w:rsid w:val="7B841746"/>
    <w:rsid w:val="7B8C5F01"/>
    <w:rsid w:val="7BA1316D"/>
    <w:rsid w:val="7BAE1E5D"/>
    <w:rsid w:val="7BBD1601"/>
    <w:rsid w:val="7BC64822"/>
    <w:rsid w:val="7BC67F0A"/>
    <w:rsid w:val="7BC938EC"/>
    <w:rsid w:val="7C045D3A"/>
    <w:rsid w:val="7C113699"/>
    <w:rsid w:val="7C15268D"/>
    <w:rsid w:val="7C263B14"/>
    <w:rsid w:val="7C2C196A"/>
    <w:rsid w:val="7C5558F7"/>
    <w:rsid w:val="7C562A3F"/>
    <w:rsid w:val="7C676720"/>
    <w:rsid w:val="7C6A3B60"/>
    <w:rsid w:val="7C6C5AC7"/>
    <w:rsid w:val="7C7202F0"/>
    <w:rsid w:val="7C885555"/>
    <w:rsid w:val="7C9A3FD4"/>
    <w:rsid w:val="7CA81753"/>
    <w:rsid w:val="7CB32D22"/>
    <w:rsid w:val="7CB866CF"/>
    <w:rsid w:val="7CBB5B9A"/>
    <w:rsid w:val="7CBE2B25"/>
    <w:rsid w:val="7CC6544B"/>
    <w:rsid w:val="7CCF7F14"/>
    <w:rsid w:val="7CD82A5B"/>
    <w:rsid w:val="7CED74C6"/>
    <w:rsid w:val="7D0239FF"/>
    <w:rsid w:val="7D0A469C"/>
    <w:rsid w:val="7D0F4ECC"/>
    <w:rsid w:val="7D122256"/>
    <w:rsid w:val="7D1956EA"/>
    <w:rsid w:val="7D2C69B3"/>
    <w:rsid w:val="7D3B3F53"/>
    <w:rsid w:val="7D3D1459"/>
    <w:rsid w:val="7D3F3AAE"/>
    <w:rsid w:val="7D5E40CD"/>
    <w:rsid w:val="7D602610"/>
    <w:rsid w:val="7D700C2B"/>
    <w:rsid w:val="7D837C6E"/>
    <w:rsid w:val="7D8B70AB"/>
    <w:rsid w:val="7D902913"/>
    <w:rsid w:val="7DAC0F2F"/>
    <w:rsid w:val="7DB859C6"/>
    <w:rsid w:val="7DBB54B6"/>
    <w:rsid w:val="7DBF1321"/>
    <w:rsid w:val="7DCD56F2"/>
    <w:rsid w:val="7DD00C0C"/>
    <w:rsid w:val="7DE30AA8"/>
    <w:rsid w:val="7DE33B5A"/>
    <w:rsid w:val="7DE4324D"/>
    <w:rsid w:val="7DF15B48"/>
    <w:rsid w:val="7DF6029C"/>
    <w:rsid w:val="7DFA7D8C"/>
    <w:rsid w:val="7E044AF5"/>
    <w:rsid w:val="7E062607"/>
    <w:rsid w:val="7E321967"/>
    <w:rsid w:val="7E350DC4"/>
    <w:rsid w:val="7E413C0D"/>
    <w:rsid w:val="7E473237"/>
    <w:rsid w:val="7E514641"/>
    <w:rsid w:val="7E53716F"/>
    <w:rsid w:val="7E5E2B88"/>
    <w:rsid w:val="7E6145D2"/>
    <w:rsid w:val="7E692604"/>
    <w:rsid w:val="7E693ADC"/>
    <w:rsid w:val="7E717320"/>
    <w:rsid w:val="7E73011A"/>
    <w:rsid w:val="7E826CDD"/>
    <w:rsid w:val="7E8B7D51"/>
    <w:rsid w:val="7E917AAF"/>
    <w:rsid w:val="7E9401E1"/>
    <w:rsid w:val="7E9F26E2"/>
    <w:rsid w:val="7EC16AFC"/>
    <w:rsid w:val="7EC66204"/>
    <w:rsid w:val="7EDF7CF7"/>
    <w:rsid w:val="7EE10432"/>
    <w:rsid w:val="7EE33C74"/>
    <w:rsid w:val="7EEE23EE"/>
    <w:rsid w:val="7F001CE7"/>
    <w:rsid w:val="7F11692B"/>
    <w:rsid w:val="7F184F6D"/>
    <w:rsid w:val="7F291F4E"/>
    <w:rsid w:val="7F371E5A"/>
    <w:rsid w:val="7F4C0E17"/>
    <w:rsid w:val="7F5160D2"/>
    <w:rsid w:val="7F5779BC"/>
    <w:rsid w:val="7F5A36ED"/>
    <w:rsid w:val="7F691B72"/>
    <w:rsid w:val="7F6B1677"/>
    <w:rsid w:val="7F894563"/>
    <w:rsid w:val="7F8F0E21"/>
    <w:rsid w:val="7F9C6DFE"/>
    <w:rsid w:val="7FB7437C"/>
    <w:rsid w:val="7FC0588E"/>
    <w:rsid w:val="7FC637C6"/>
    <w:rsid w:val="7FC6403B"/>
    <w:rsid w:val="7FDD188D"/>
    <w:rsid w:val="7FE47E50"/>
    <w:rsid w:val="7FF64583"/>
    <w:rsid w:val="7FFD7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5"/>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4"/>
    <w:qFormat/>
    <w:locked/>
    <w:uiPriority w:val="0"/>
    <w:pPr>
      <w:ind w:left="700"/>
      <w:outlineLvl w:val="1"/>
    </w:pPr>
    <w:rPr>
      <w:rFonts w:ascii="宋体" w:hAnsi="宋体" w:cs="宋体"/>
      <w:bCs/>
      <w:kern w:val="0"/>
      <w:sz w:val="24"/>
      <w:lang w:val="zh-CN" w:bidi="zh-CN"/>
    </w:rPr>
  </w:style>
  <w:style w:type="paragraph" w:styleId="4">
    <w:name w:val="heading 3"/>
    <w:basedOn w:val="1"/>
    <w:next w:val="1"/>
    <w:qFormat/>
    <w:locked/>
    <w:uiPriority w:val="0"/>
    <w:pPr>
      <w:keepNext/>
      <w:keepLines/>
      <w:outlineLvl w:val="2"/>
    </w:pPr>
    <w:rPr>
      <w:b/>
      <w:sz w:val="28"/>
      <w:szCs w:val="20"/>
    </w:rPr>
  </w:style>
  <w:style w:type="paragraph" w:styleId="5">
    <w:name w:val="heading 4"/>
    <w:basedOn w:val="1"/>
    <w:next w:val="1"/>
    <w:qFormat/>
    <w:locked/>
    <w:uiPriority w:val="0"/>
    <w:pPr>
      <w:keepNext/>
      <w:keepLines/>
      <w:spacing w:before="280" w:after="290" w:line="376" w:lineRule="auto"/>
      <w:jc w:val="center"/>
      <w:outlineLvl w:val="3"/>
    </w:pPr>
    <w:rPr>
      <w:rFonts w:ascii="Cambria" w:hAnsi="Cambria"/>
      <w:b/>
      <w:bCs/>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0"/>
    <w:pPr>
      <w:spacing w:line="360" w:lineRule="auto"/>
      <w:ind w:firstLine="567"/>
    </w:pPr>
    <w:rPr>
      <w:rFonts w:ascii="宋体"/>
      <w:kern w:val="0"/>
      <w:sz w:val="28"/>
      <w:szCs w:val="20"/>
    </w:rPr>
  </w:style>
  <w:style w:type="paragraph" w:styleId="7">
    <w:name w:val="caption"/>
    <w:basedOn w:val="1"/>
    <w:next w:val="1"/>
    <w:unhideWhenUsed/>
    <w:qFormat/>
    <w:locked/>
    <w:uiPriority w:val="35"/>
    <w:rPr>
      <w:rFonts w:ascii="Arial" w:hAnsi="Arial" w:eastAsia="黑体" w:cs="Arial"/>
      <w:color w:val="000000"/>
      <w:sz w:val="20"/>
      <w:szCs w:val="20"/>
    </w:rPr>
  </w:style>
  <w:style w:type="paragraph" w:styleId="8">
    <w:name w:val="annotation text"/>
    <w:basedOn w:val="9"/>
    <w:link w:val="45"/>
    <w:semiHidden/>
    <w:qFormat/>
    <w:uiPriority w:val="0"/>
    <w:rPr>
      <w:kern w:val="0"/>
      <w:sz w:val="24"/>
    </w:rPr>
  </w:style>
  <w:style w:type="paragraph" w:customStyle="1" w:styleId="9">
    <w:name w:val="文本正文"/>
    <w:basedOn w:val="1"/>
    <w:qFormat/>
    <w:uiPriority w:val="0"/>
    <w:pPr>
      <w:ind w:firstLine="510"/>
      <w:jc w:val="left"/>
    </w:pPr>
    <w:rPr>
      <w:spacing w:val="4"/>
      <w:kern w:val="24"/>
      <w:szCs w:val="20"/>
      <w:lang w:val="zh-CN"/>
    </w:rPr>
  </w:style>
  <w:style w:type="paragraph" w:styleId="10">
    <w:name w:val="Salutation"/>
    <w:basedOn w:val="1"/>
    <w:next w:val="1"/>
    <w:qFormat/>
    <w:locked/>
    <w:uiPriority w:val="0"/>
  </w:style>
  <w:style w:type="paragraph" w:styleId="11">
    <w:name w:val="Body Text"/>
    <w:basedOn w:val="1"/>
    <w:next w:val="1"/>
    <w:link w:val="43"/>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46"/>
    <w:qFormat/>
    <w:uiPriority w:val="0"/>
    <w:pPr>
      <w:spacing w:after="120"/>
      <w:ind w:left="420" w:leftChars="200"/>
    </w:pPr>
    <w:rPr>
      <w:kern w:val="0"/>
      <w:sz w:val="24"/>
      <w:szCs w:val="20"/>
    </w:rPr>
  </w:style>
  <w:style w:type="paragraph" w:customStyle="1" w:styleId="13">
    <w:name w:val="Default"/>
    <w:basedOn w:val="14"/>
    <w:next w:val="15"/>
    <w:qFormat/>
    <w:uiPriority w:val="0"/>
    <w:pPr>
      <w:autoSpaceDE w:val="0"/>
      <w:autoSpaceDN w:val="0"/>
      <w:adjustRightInd w:val="0"/>
      <w:spacing w:line="240" w:lineRule="atLeast"/>
    </w:pPr>
    <w:rPr>
      <w:rFonts w:ascii="黑体" w:eastAsia="黑体" w:cs="黑体"/>
      <w:color w:val="000000"/>
      <w:sz w:val="24"/>
    </w:rPr>
  </w:style>
  <w:style w:type="paragraph" w:customStyle="1" w:styleId="14">
    <w:name w:val="批注文字1"/>
    <w:qFormat/>
    <w:uiPriority w:val="0"/>
    <w:pPr>
      <w:widowControl w:val="0"/>
    </w:pPr>
    <w:rPr>
      <w:rFonts w:ascii="Calibri" w:hAnsi="Calibri" w:eastAsia="Calibri" w:cs="Times New Roman"/>
      <w:color w:val="000000"/>
      <w:kern w:val="2"/>
      <w:sz w:val="21"/>
      <w:szCs w:val="24"/>
      <w:lang w:val="en-US" w:eastAsia="zh-CN" w:bidi="ar-SA"/>
    </w:rPr>
  </w:style>
  <w:style w:type="paragraph" w:styleId="15">
    <w:name w:val="Body Text First Indent 2"/>
    <w:basedOn w:val="12"/>
    <w:next w:val="16"/>
    <w:qFormat/>
    <w:locked/>
    <w:uiPriority w:val="0"/>
    <w:pPr>
      <w:ind w:firstLine="420" w:firstLineChars="200"/>
    </w:pPr>
  </w:style>
  <w:style w:type="paragraph" w:styleId="16">
    <w:name w:val="Body Text First Indent"/>
    <w:basedOn w:val="11"/>
    <w:next w:val="1"/>
    <w:qFormat/>
    <w:locked/>
    <w:uiPriority w:val="0"/>
    <w:pPr>
      <w:ind w:firstLine="420" w:firstLineChars="100"/>
    </w:pPr>
  </w:style>
  <w:style w:type="paragraph" w:styleId="17">
    <w:name w:val="Plain Text"/>
    <w:basedOn w:val="1"/>
    <w:qFormat/>
    <w:locked/>
    <w:uiPriority w:val="0"/>
    <w:pPr>
      <w:adjustRightInd w:val="0"/>
      <w:snapToGrid w:val="0"/>
      <w:spacing w:beforeLines="50" w:line="440" w:lineRule="exact"/>
      <w:ind w:firstLine="480" w:firstLineChars="200"/>
    </w:pPr>
    <w:rPr>
      <w:rFonts w:ascii="宋体" w:hAnsi="宋体" w:eastAsia="Times New Roman"/>
      <w:bCs/>
      <w:color w:val="000000"/>
      <w:sz w:val="24"/>
      <w:szCs w:val="21"/>
    </w:rPr>
  </w:style>
  <w:style w:type="paragraph" w:styleId="18">
    <w:name w:val="List Bullet 5"/>
    <w:basedOn w:val="1"/>
    <w:qFormat/>
    <w:locked/>
    <w:uiPriority w:val="0"/>
    <w:pPr>
      <w:numPr>
        <w:ilvl w:val="0"/>
        <w:numId w:val="1"/>
      </w:numPr>
    </w:pPr>
  </w:style>
  <w:style w:type="paragraph" w:styleId="19">
    <w:name w:val="Date"/>
    <w:basedOn w:val="1"/>
    <w:next w:val="1"/>
    <w:link w:val="48"/>
    <w:qFormat/>
    <w:uiPriority w:val="0"/>
    <w:pPr>
      <w:ind w:left="100" w:leftChars="2500"/>
    </w:pPr>
    <w:rPr>
      <w:kern w:val="0"/>
      <w:sz w:val="24"/>
      <w:szCs w:val="20"/>
    </w:rPr>
  </w:style>
  <w:style w:type="paragraph" w:styleId="20">
    <w:name w:val="Balloon Text"/>
    <w:basedOn w:val="1"/>
    <w:link w:val="49"/>
    <w:semiHidden/>
    <w:qFormat/>
    <w:uiPriority w:val="0"/>
    <w:rPr>
      <w:kern w:val="0"/>
      <w:sz w:val="18"/>
      <w:szCs w:val="20"/>
    </w:rPr>
  </w:style>
  <w:style w:type="paragraph" w:styleId="21">
    <w:name w:val="footer"/>
    <w:basedOn w:val="1"/>
    <w:link w:val="50"/>
    <w:qFormat/>
    <w:uiPriority w:val="99"/>
    <w:pPr>
      <w:tabs>
        <w:tab w:val="center" w:pos="4153"/>
        <w:tab w:val="right" w:pos="8306"/>
      </w:tabs>
      <w:snapToGrid w:val="0"/>
      <w:jc w:val="left"/>
    </w:pPr>
    <w:rPr>
      <w:kern w:val="0"/>
      <w:sz w:val="18"/>
      <w:szCs w:val="20"/>
    </w:rPr>
  </w:style>
  <w:style w:type="paragraph" w:styleId="22">
    <w:name w:val="header"/>
    <w:basedOn w:val="1"/>
    <w:next w:val="23"/>
    <w:link w:val="47"/>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index heading"/>
    <w:basedOn w:val="1"/>
    <w:next w:val="24"/>
    <w:qFormat/>
    <w:locked/>
    <w:uiPriority w:val="0"/>
    <w:rPr>
      <w:rFonts w:ascii="Arial" w:hAnsi="Arial"/>
      <w:b/>
    </w:rPr>
  </w:style>
  <w:style w:type="paragraph" w:styleId="24">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25">
    <w:name w:val="toc 1"/>
    <w:basedOn w:val="1"/>
    <w:next w:val="1"/>
    <w:qFormat/>
    <w:locked/>
    <w:uiPriority w:val="0"/>
  </w:style>
  <w:style w:type="paragraph" w:styleId="26">
    <w:name w:val="Normal (Web)"/>
    <w:basedOn w:val="1"/>
    <w:link w:val="51"/>
    <w:qFormat/>
    <w:uiPriority w:val="99"/>
    <w:pPr>
      <w:widowControl/>
      <w:spacing w:before="100" w:beforeAutospacing="1" w:after="100" w:afterAutospacing="1"/>
      <w:jc w:val="left"/>
    </w:pPr>
    <w:rPr>
      <w:rFonts w:ascii="宋体" w:hAnsi="宋体"/>
      <w:kern w:val="0"/>
      <w:sz w:val="24"/>
      <w:szCs w:val="20"/>
    </w:rPr>
  </w:style>
  <w:style w:type="paragraph" w:styleId="27">
    <w:name w:val="annotation subject"/>
    <w:basedOn w:val="8"/>
    <w:next w:val="8"/>
    <w:link w:val="52"/>
    <w:semiHidden/>
    <w:qFormat/>
    <w:uiPriority w:val="0"/>
    <w:rPr>
      <w:b/>
      <w:kern w:val="2"/>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22"/>
    <w:rPr>
      <w:b/>
      <w:bCs/>
    </w:rPr>
  </w:style>
  <w:style w:type="character" w:styleId="32">
    <w:name w:val="page number"/>
    <w:qFormat/>
    <w:locked/>
    <w:uiPriority w:val="0"/>
  </w:style>
  <w:style w:type="character" w:styleId="33">
    <w:name w:val="Emphasis"/>
    <w:basedOn w:val="30"/>
    <w:qFormat/>
    <w:locked/>
    <w:uiPriority w:val="0"/>
    <w:rPr>
      <w:i/>
    </w:rPr>
  </w:style>
  <w:style w:type="character" w:styleId="34">
    <w:name w:val="Hyperlink"/>
    <w:basedOn w:val="30"/>
    <w:qFormat/>
    <w:locked/>
    <w:uiPriority w:val="0"/>
    <w:rPr>
      <w:color w:val="0000FF"/>
      <w:u w:val="single"/>
    </w:rPr>
  </w:style>
  <w:style w:type="character" w:styleId="35">
    <w:name w:val="annotation reference"/>
    <w:semiHidden/>
    <w:qFormat/>
    <w:uiPriority w:val="0"/>
    <w:rPr>
      <w:sz w:val="21"/>
    </w:rPr>
  </w:style>
  <w:style w:type="paragraph" w:customStyle="1" w:styleId="3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7">
    <w:name w:val="目录 21"/>
    <w:basedOn w:val="1"/>
    <w:next w:val="1"/>
    <w:qFormat/>
    <w:uiPriority w:val="0"/>
    <w:pPr>
      <w:ind w:left="420" w:leftChars="200"/>
    </w:pPr>
    <w:rPr>
      <w:rFonts w:ascii="Times New Roman" w:hAnsi="Times New Roman"/>
      <w:b/>
      <w:kern w:val="0"/>
      <w:sz w:val="28"/>
      <w:szCs w:val="20"/>
    </w:rPr>
  </w:style>
  <w:style w:type="paragraph" w:customStyle="1" w:styleId="38">
    <w:name w:val="样式5"/>
    <w:basedOn w:val="11"/>
    <w:next w:val="1"/>
    <w:qFormat/>
    <w:uiPriority w:val="0"/>
    <w:pPr>
      <w:spacing w:before="62" w:beforeLines="20" w:after="62" w:afterLines="20" w:line="480" w:lineRule="exact"/>
      <w:ind w:firstLine="523" w:firstLineChars="218"/>
    </w:pPr>
    <w:rPr>
      <w:i/>
      <w:iCs/>
      <w:kern w:val="2"/>
      <w:sz w:val="24"/>
    </w:rPr>
  </w:style>
  <w:style w:type="paragraph" w:customStyle="1" w:styleId="39">
    <w:name w:val="Default1"/>
    <w:basedOn w:val="40"/>
    <w:next w:val="1"/>
    <w:qFormat/>
    <w:uiPriority w:val="0"/>
    <w:pPr>
      <w:widowControl w:val="0"/>
      <w:autoSpaceDE w:val="0"/>
      <w:autoSpaceDN w:val="0"/>
      <w:adjustRightInd w:val="0"/>
    </w:pPr>
    <w:rPr>
      <w:rFonts w:ascii="宋体" w:hAnsi="Times New Roman" w:eastAsia="宋体" w:cs="宋体"/>
      <w:color w:val="000000"/>
      <w:sz w:val="24"/>
      <w:szCs w:val="24"/>
      <w:lang w:val="en-US" w:eastAsia="zh-CN"/>
    </w:rPr>
  </w:style>
  <w:style w:type="paragraph" w:customStyle="1" w:styleId="40">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41">
    <w:name w:val="样式 标题 1 + 首行缩进:  0 字符"/>
    <w:basedOn w:val="2"/>
    <w:next w:val="42"/>
    <w:qFormat/>
    <w:uiPriority w:val="99"/>
    <w:pPr>
      <w:spacing w:before="0" w:after="0" w:line="520" w:lineRule="exact"/>
      <w:ind w:firstLine="0"/>
    </w:pPr>
    <w:rPr>
      <w:rFonts w:ascii="Arial" w:hAnsi="Arial" w:cs="宋体"/>
      <w:color w:val="auto"/>
      <w:szCs w:val="20"/>
    </w:rPr>
  </w:style>
  <w:style w:type="paragraph" w:customStyle="1" w:styleId="42">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b/>
      <w:bCs/>
      <w:kern w:val="0"/>
      <w:sz w:val="20"/>
      <w:szCs w:val="20"/>
    </w:rPr>
  </w:style>
  <w:style w:type="character" w:customStyle="1" w:styleId="43">
    <w:name w:val="正文文本 字符"/>
    <w:link w:val="11"/>
    <w:qFormat/>
    <w:locked/>
    <w:uiPriority w:val="0"/>
    <w:rPr>
      <w:sz w:val="18"/>
    </w:rPr>
  </w:style>
  <w:style w:type="character" w:customStyle="1" w:styleId="44">
    <w:name w:val="标题 2 字符"/>
    <w:link w:val="3"/>
    <w:qFormat/>
    <w:uiPriority w:val="0"/>
    <w:rPr>
      <w:rFonts w:ascii="宋体" w:hAnsi="宋体" w:cs="宋体"/>
      <w:b/>
      <w:bCs/>
      <w:kern w:val="0"/>
      <w:sz w:val="24"/>
      <w:lang w:val="zh-CN" w:bidi="zh-CN"/>
    </w:rPr>
  </w:style>
  <w:style w:type="character" w:customStyle="1" w:styleId="45">
    <w:name w:val="批注文字 字符"/>
    <w:link w:val="8"/>
    <w:qFormat/>
    <w:locked/>
    <w:uiPriority w:val="0"/>
    <w:rPr>
      <w:rFonts w:ascii="Times New Roman" w:hAnsi="Times New Roman" w:eastAsia="宋体"/>
      <w:sz w:val="24"/>
    </w:rPr>
  </w:style>
  <w:style w:type="character" w:customStyle="1" w:styleId="46">
    <w:name w:val="正文文本缩进 字符"/>
    <w:link w:val="12"/>
    <w:semiHidden/>
    <w:qFormat/>
    <w:locked/>
    <w:uiPriority w:val="0"/>
    <w:rPr>
      <w:rFonts w:ascii="Times New Roman" w:hAnsi="Times New Roman" w:eastAsia="宋体"/>
      <w:sz w:val="24"/>
    </w:rPr>
  </w:style>
  <w:style w:type="character" w:customStyle="1" w:styleId="47">
    <w:name w:val="页眉 字符"/>
    <w:link w:val="22"/>
    <w:qFormat/>
    <w:locked/>
    <w:uiPriority w:val="0"/>
    <w:rPr>
      <w:sz w:val="18"/>
    </w:rPr>
  </w:style>
  <w:style w:type="character" w:customStyle="1" w:styleId="48">
    <w:name w:val="日期 字符1"/>
    <w:link w:val="19"/>
    <w:qFormat/>
    <w:locked/>
    <w:uiPriority w:val="0"/>
    <w:rPr>
      <w:rFonts w:ascii="Times New Roman" w:hAnsi="Times New Roman" w:eastAsia="宋体"/>
      <w:sz w:val="24"/>
    </w:rPr>
  </w:style>
  <w:style w:type="character" w:customStyle="1" w:styleId="49">
    <w:name w:val="批注框文本 字符"/>
    <w:link w:val="20"/>
    <w:semiHidden/>
    <w:qFormat/>
    <w:locked/>
    <w:uiPriority w:val="0"/>
    <w:rPr>
      <w:rFonts w:ascii="Times New Roman" w:hAnsi="Times New Roman" w:eastAsia="宋体"/>
      <w:sz w:val="18"/>
    </w:rPr>
  </w:style>
  <w:style w:type="character" w:customStyle="1" w:styleId="50">
    <w:name w:val="页脚 字符1"/>
    <w:link w:val="21"/>
    <w:qFormat/>
    <w:locked/>
    <w:uiPriority w:val="99"/>
    <w:rPr>
      <w:sz w:val="18"/>
    </w:rPr>
  </w:style>
  <w:style w:type="character" w:customStyle="1" w:styleId="51">
    <w:name w:val="普通(网站) 字符"/>
    <w:link w:val="26"/>
    <w:qFormat/>
    <w:locked/>
    <w:uiPriority w:val="0"/>
    <w:rPr>
      <w:rFonts w:ascii="宋体" w:hAnsi="宋体" w:eastAsia="宋体"/>
      <w:sz w:val="24"/>
    </w:rPr>
  </w:style>
  <w:style w:type="character" w:customStyle="1" w:styleId="52">
    <w:name w:val="批注主题 字符"/>
    <w:link w:val="27"/>
    <w:semiHidden/>
    <w:qFormat/>
    <w:locked/>
    <w:uiPriority w:val="0"/>
    <w:rPr>
      <w:rFonts w:ascii="Times New Roman" w:hAnsi="Times New Roman" w:eastAsia="宋体"/>
      <w:b/>
      <w:kern w:val="2"/>
      <w:sz w:val="24"/>
    </w:rPr>
  </w:style>
  <w:style w:type="paragraph" w:customStyle="1" w:styleId="53">
    <w:name w:val="样式 正文文本缩进 + 行距: 1.5 倍行距"/>
    <w:basedOn w:val="12"/>
    <w:qFormat/>
    <w:uiPriority w:val="0"/>
    <w:pPr>
      <w:tabs>
        <w:tab w:val="left" w:pos="3600"/>
      </w:tabs>
      <w:spacing w:line="360" w:lineRule="auto"/>
      <w:ind w:left="90" w:leftChars="32" w:firstLine="560" w:firstLineChars="200"/>
    </w:pPr>
    <w:rPr>
      <w:rFonts w:cs="宋体"/>
    </w:rPr>
  </w:style>
  <w:style w:type="paragraph" w:customStyle="1" w:styleId="54">
    <w:name w:val="表头"/>
    <w:basedOn w:val="55"/>
    <w:qFormat/>
    <w:uiPriority w:val="0"/>
    <w:pPr>
      <w:tabs>
        <w:tab w:val="left" w:pos="360"/>
      </w:tabs>
      <w:spacing w:before="50" w:beforeLines="50" w:after="50" w:afterLines="50"/>
      <w:jc w:val="center"/>
    </w:pPr>
    <w:rPr>
      <w:rFonts w:cs="Times New Roman"/>
      <w:b/>
      <w:sz w:val="24"/>
      <w:lang w:val="zh-CN"/>
    </w:rPr>
  </w:style>
  <w:style w:type="paragraph" w:customStyle="1" w:styleId="55">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56">
    <w:name w:val="样式 标题 1 + 四号 段前: 0 磅 段后: 0 磅 行距: 1.5 倍行距"/>
    <w:basedOn w:val="57"/>
    <w:next w:val="9"/>
    <w:qFormat/>
    <w:uiPriority w:val="0"/>
    <w:pPr>
      <w:jc w:val="center"/>
    </w:pPr>
  </w:style>
  <w:style w:type="paragraph" w:customStyle="1" w:styleId="57">
    <w:name w:val="1正文"/>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paragraph" w:customStyle="1" w:styleId="58">
    <w:name w:val="报告表正文"/>
    <w:basedOn w:val="1"/>
    <w:link w:val="59"/>
    <w:qFormat/>
    <w:uiPriority w:val="0"/>
    <w:pPr>
      <w:spacing w:line="312" w:lineRule="auto"/>
      <w:ind w:left="113" w:right="113" w:firstLine="482"/>
      <w:jc w:val="left"/>
      <w:textAlignment w:val="baseline"/>
    </w:pPr>
    <w:rPr>
      <w:kern w:val="0"/>
      <w:sz w:val="24"/>
      <w:szCs w:val="20"/>
    </w:rPr>
  </w:style>
  <w:style w:type="character" w:customStyle="1" w:styleId="59">
    <w:name w:val="报告表正文 Char1"/>
    <w:link w:val="58"/>
    <w:qFormat/>
    <w:uiPriority w:val="0"/>
    <w:rPr>
      <w:kern w:val="0"/>
      <w:sz w:val="24"/>
      <w:szCs w:val="20"/>
    </w:rPr>
  </w:style>
  <w:style w:type="paragraph" w:customStyle="1" w:styleId="60">
    <w:name w:val="正本文字"/>
    <w:basedOn w:val="1"/>
    <w:qFormat/>
    <w:uiPriority w:val="0"/>
    <w:pPr>
      <w:adjustRightInd w:val="0"/>
      <w:snapToGrid w:val="0"/>
      <w:spacing w:line="360" w:lineRule="auto"/>
      <w:ind w:firstLine="200" w:firstLineChars="200"/>
      <w:jc w:val="left"/>
    </w:pPr>
    <w:rPr>
      <w:rFonts w:cs="宋体"/>
      <w:kern w:val="18"/>
      <w:sz w:val="24"/>
      <w:szCs w:val="20"/>
    </w:rPr>
  </w:style>
  <w:style w:type="character" w:customStyle="1" w:styleId="61">
    <w:name w:val="正文文本 字符1"/>
    <w:semiHidden/>
    <w:qFormat/>
    <w:uiPriority w:val="0"/>
    <w:rPr>
      <w:rFonts w:ascii="Times New Roman" w:hAnsi="Times New Roman" w:eastAsia="宋体"/>
      <w:sz w:val="24"/>
    </w:rPr>
  </w:style>
  <w:style w:type="character" w:customStyle="1" w:styleId="62">
    <w:name w:val="表格 Char"/>
    <w:link w:val="63"/>
    <w:qFormat/>
    <w:locked/>
    <w:uiPriority w:val="0"/>
    <w:rPr>
      <w:rFonts w:ascii="宋体"/>
      <w:sz w:val="21"/>
    </w:rPr>
  </w:style>
  <w:style w:type="paragraph" w:customStyle="1" w:styleId="63">
    <w:name w:val="表格"/>
    <w:basedOn w:val="11"/>
    <w:next w:val="1"/>
    <w:link w:val="62"/>
    <w:qFormat/>
    <w:uiPriority w:val="0"/>
    <w:pPr>
      <w:adjustRightInd w:val="0"/>
      <w:snapToGrid w:val="0"/>
      <w:spacing w:beforeLines="10" w:afterLines="10" w:line="259" w:lineRule="auto"/>
      <w:jc w:val="center"/>
    </w:pPr>
    <w:rPr>
      <w:rFonts w:ascii="宋体"/>
      <w:kern w:val="0"/>
      <w:szCs w:val="20"/>
    </w:rPr>
  </w:style>
  <w:style w:type="character" w:customStyle="1" w:styleId="64">
    <w:name w:val="页脚 字符"/>
    <w:qFormat/>
    <w:uiPriority w:val="99"/>
  </w:style>
  <w:style w:type="character" w:customStyle="1" w:styleId="65">
    <w:name w:val="日期 字符"/>
    <w:semiHidden/>
    <w:qFormat/>
    <w:uiPriority w:val="0"/>
    <w:rPr>
      <w:rFonts w:ascii="Times New Roman" w:hAnsi="Times New Roman" w:eastAsia="宋体"/>
      <w:sz w:val="24"/>
    </w:rPr>
  </w:style>
  <w:style w:type="character" w:customStyle="1" w:styleId="66">
    <w:name w:val="批注文字 字符1"/>
    <w:semiHidden/>
    <w:qFormat/>
    <w:uiPriority w:val="0"/>
    <w:rPr>
      <w:rFonts w:ascii="Times New Roman" w:hAnsi="Times New Roman" w:eastAsia="宋体"/>
      <w:sz w:val="24"/>
    </w:rPr>
  </w:style>
  <w:style w:type="paragraph" w:customStyle="1" w:styleId="6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表格文字1"/>
    <w:basedOn w:val="1"/>
    <w:qFormat/>
    <w:uiPriority w:val="0"/>
    <w:pPr>
      <w:adjustRightInd w:val="0"/>
      <w:snapToGrid w:val="0"/>
      <w:ind w:firstLine="422"/>
    </w:pPr>
    <w:rPr>
      <w:rFonts w:ascii="宋体" w:hAnsi="宋体"/>
    </w:rPr>
  </w:style>
  <w:style w:type="character" w:customStyle="1" w:styleId="70">
    <w:name w:val="font01"/>
    <w:basedOn w:val="30"/>
    <w:qFormat/>
    <w:uiPriority w:val="0"/>
    <w:rPr>
      <w:rFonts w:hint="default" w:ascii="Times New Roman" w:hAnsi="Times New Roman" w:cs="Times New Roman"/>
      <w:color w:val="000000"/>
      <w:sz w:val="21"/>
      <w:szCs w:val="21"/>
      <w:u w:val="none"/>
      <w:vertAlign w:val="superscript"/>
    </w:rPr>
  </w:style>
  <w:style w:type="paragraph" w:customStyle="1" w:styleId="71">
    <w:name w:val="iceant内"/>
    <w:basedOn w:val="1"/>
    <w:qFormat/>
    <w:uiPriority w:val="0"/>
    <w:pPr>
      <w:widowControl/>
      <w:jc w:val="center"/>
    </w:pPr>
  </w:style>
  <w:style w:type="paragraph" w:styleId="72">
    <w:name w:val="No Spacing"/>
    <w:qFormat/>
    <w:uiPriority w:val="0"/>
    <w:pPr>
      <w:widowControl w:val="0"/>
      <w:spacing w:line="500" w:lineRule="exact"/>
      <w:ind w:firstLine="200" w:firstLineChars="200"/>
      <w:jc w:val="both"/>
    </w:pPr>
    <w:rPr>
      <w:rFonts w:ascii="Times New Roman" w:hAnsi="Times New Roman" w:eastAsia="宋体" w:cs="Times New Roman"/>
      <w:kern w:val="2"/>
      <w:sz w:val="24"/>
      <w:szCs w:val="22"/>
      <w:lang w:val="en-US" w:eastAsia="zh-CN" w:bidi="ar-SA"/>
    </w:rPr>
  </w:style>
  <w:style w:type="paragraph" w:styleId="73">
    <w:name w:val="List Paragraph"/>
    <w:basedOn w:val="1"/>
    <w:qFormat/>
    <w:uiPriority w:val="99"/>
    <w:pPr>
      <w:ind w:firstLine="420" w:firstLineChars="200"/>
    </w:pPr>
  </w:style>
  <w:style w:type="paragraph" w:customStyle="1" w:styleId="74">
    <w:name w:val="报告"/>
    <w:basedOn w:val="1"/>
    <w:qFormat/>
    <w:uiPriority w:val="0"/>
    <w:pPr>
      <w:adjustRightInd w:val="0"/>
      <w:ind w:firstLine="505"/>
      <w:textAlignment w:val="baseline"/>
    </w:pPr>
    <w:rPr>
      <w:kern w:val="0"/>
    </w:rPr>
  </w:style>
  <w:style w:type="paragraph" w:customStyle="1" w:styleId="75">
    <w:name w:val="Table Paragraph"/>
    <w:basedOn w:val="1"/>
    <w:qFormat/>
    <w:uiPriority w:val="1"/>
    <w:pPr>
      <w:jc w:val="left"/>
    </w:pPr>
    <w:rPr>
      <w:rFonts w:ascii="Calibri" w:hAnsi="Calibri"/>
      <w:kern w:val="0"/>
      <w:sz w:val="22"/>
      <w:szCs w:val="22"/>
      <w:lang w:eastAsia="en-US"/>
    </w:rPr>
  </w:style>
  <w:style w:type="character" w:customStyle="1" w:styleId="76">
    <w:name w:val="公文文号"/>
    <w:qFormat/>
    <w:uiPriority w:val="0"/>
    <w:rPr>
      <w:rFonts w:eastAsia="仿宋_GB2312" w:cs="Times New Roman"/>
      <w:sz w:val="32"/>
    </w:rPr>
  </w:style>
  <w:style w:type="paragraph" w:customStyle="1" w:styleId="77">
    <w:name w:val="正文u"/>
    <w:basedOn w:val="1"/>
    <w:qFormat/>
    <w:uiPriority w:val="0"/>
    <w:pPr>
      <w:spacing w:line="360" w:lineRule="auto"/>
      <w:ind w:firstLine="720" w:firstLineChars="200"/>
      <w:jc w:val="left"/>
    </w:pPr>
    <w:rPr>
      <w:rFonts w:hint="eastAsia"/>
      <w:sz w:val="24"/>
    </w:rPr>
  </w:style>
  <w:style w:type="paragraph" w:customStyle="1" w:styleId="78">
    <w:name w:val="居中表格"/>
    <w:basedOn w:val="1"/>
    <w:qFormat/>
    <w:uiPriority w:val="0"/>
    <w:pPr>
      <w:jc w:val="center"/>
    </w:pPr>
    <w:rPr>
      <w:snapToGrid w:val="0"/>
      <w:kern w:val="0"/>
      <w:szCs w:val="21"/>
    </w:rPr>
  </w:style>
  <w:style w:type="paragraph" w:customStyle="1" w:styleId="79">
    <w:name w:val="小标题"/>
    <w:basedOn w:val="1"/>
    <w:qFormat/>
    <w:uiPriority w:val="0"/>
    <w:pPr>
      <w:spacing w:before="25" w:beforeLines="25" w:after="50" w:afterLines="50"/>
      <w:jc w:val="left"/>
    </w:pPr>
    <w:rPr>
      <w:rFonts w:hint="eastAsia"/>
      <w:b/>
      <w:sz w:val="24"/>
    </w:rPr>
  </w:style>
  <w:style w:type="table" w:customStyle="1" w:styleId="80">
    <w:name w:val="Table Normal"/>
    <w:unhideWhenUsed/>
    <w:qFormat/>
    <w:uiPriority w:val="0"/>
    <w:tblPr>
      <w:tblCellMar>
        <w:top w:w="0" w:type="dxa"/>
        <w:left w:w="0" w:type="dxa"/>
        <w:bottom w:w="0" w:type="dxa"/>
        <w:right w:w="0" w:type="dxa"/>
      </w:tblCellMar>
    </w:tblPr>
  </w:style>
  <w:style w:type="paragraph" w:customStyle="1" w:styleId="81">
    <w:name w:val="书正文"/>
    <w:basedOn w:val="1"/>
    <w:qFormat/>
    <w:uiPriority w:val="0"/>
    <w:pPr>
      <w:keepNext/>
      <w:wordWrap w:val="0"/>
      <w:topLinePunct/>
      <w:spacing w:line="360" w:lineRule="auto"/>
      <w:ind w:firstLine="420" w:firstLineChars="200"/>
    </w:pPr>
    <w:rPr>
      <w:sz w:val="24"/>
    </w:rPr>
  </w:style>
  <w:style w:type="paragraph" w:customStyle="1" w:styleId="82">
    <w:name w:val="表五号"/>
    <w:basedOn w:val="1"/>
    <w:qFormat/>
    <w:uiPriority w:val="0"/>
    <w:pPr>
      <w:widowControl/>
      <w:spacing w:line="312" w:lineRule="auto"/>
      <w:jc w:val="center"/>
    </w:pPr>
    <w:rPr>
      <w:kern w:val="0"/>
      <w:szCs w:val="21"/>
    </w:rPr>
  </w:style>
  <w:style w:type="character" w:customStyle="1" w:styleId="83">
    <w:name w:val="NormalCharacter"/>
    <w:qFormat/>
    <w:uiPriority w:val="0"/>
    <w:rPr>
      <w:rFonts w:ascii="Times New Roman" w:hAnsi="Times New Roman" w:eastAsia="宋体" w:cs="Times New Roman"/>
    </w:rPr>
  </w:style>
  <w:style w:type="paragraph" w:customStyle="1" w:styleId="84">
    <w:name w:val="Char Char Char Char"/>
    <w:basedOn w:val="1"/>
    <w:qFormat/>
    <w:uiPriority w:val="0"/>
    <w:rPr>
      <w:szCs w:val="21"/>
    </w:rPr>
  </w:style>
  <w:style w:type="paragraph" w:customStyle="1" w:styleId="85">
    <w:name w:val="表"/>
    <w:basedOn w:val="54"/>
    <w:qFormat/>
    <w:uiPriority w:val="0"/>
    <w:pPr>
      <w:spacing w:line="240" w:lineRule="auto"/>
      <w:ind w:firstLine="0" w:firstLineChars="0"/>
    </w:pPr>
    <w:rPr>
      <w:b w:val="0"/>
    </w:rPr>
  </w:style>
  <w:style w:type="paragraph" w:customStyle="1" w:styleId="86">
    <w:name w:val="A表内"/>
    <w:basedOn w:val="1"/>
    <w:qFormat/>
    <w:uiPriority w:val="0"/>
    <w:pPr>
      <w:spacing w:line="0" w:lineRule="atLeast"/>
      <w:jc w:val="center"/>
    </w:pPr>
    <w:rPr>
      <w:rFonts w:cs="宋体"/>
      <w:szCs w:val="20"/>
    </w:rPr>
  </w:style>
  <w:style w:type="paragraph" w:customStyle="1" w:styleId="87">
    <w:name w:val="wlm表头"/>
    <w:basedOn w:val="1"/>
    <w:qFormat/>
    <w:uiPriority w:val="0"/>
    <w:pPr>
      <w:jc w:val="center"/>
    </w:pPr>
    <w:rPr>
      <w:b/>
      <w:szCs w:val="21"/>
    </w:rPr>
  </w:style>
  <w:style w:type="paragraph" w:customStyle="1" w:styleId="88">
    <w:name w:val="wlm表格"/>
    <w:basedOn w:val="1"/>
    <w:qFormat/>
    <w:uiPriority w:val="0"/>
    <w:pPr>
      <w:snapToGrid w:val="0"/>
      <w:jc w:val="center"/>
    </w:pPr>
    <w:rPr>
      <w:spacing w:val="2"/>
      <w:szCs w:val="21"/>
    </w:rPr>
  </w:style>
  <w:style w:type="paragraph" w:customStyle="1" w:styleId="89">
    <w:name w:val="环科院正文"/>
    <w:basedOn w:val="1"/>
    <w:qFormat/>
    <w:uiPriority w:val="0"/>
    <w:pPr>
      <w:tabs>
        <w:tab w:val="left" w:pos="5760"/>
      </w:tabs>
      <w:spacing w:line="360" w:lineRule="auto"/>
      <w:ind w:firstLine="480" w:firstLineChars="200"/>
    </w:pPr>
    <w:rPr>
      <w:rFonts w:hAnsi="宋体"/>
      <w:szCs w:val="20"/>
    </w:rPr>
  </w:style>
  <w:style w:type="paragraph" w:customStyle="1" w:styleId="90">
    <w:name w:val="正"/>
    <w:basedOn w:val="1"/>
    <w:qFormat/>
    <w:uiPriority w:val="0"/>
    <w:pPr>
      <w:adjustRightInd w:val="0"/>
      <w:spacing w:line="360" w:lineRule="auto"/>
      <w:ind w:left="23" w:leftChars="11" w:firstLine="480" w:firstLineChars="200"/>
    </w:pPr>
    <w:rPr>
      <w:sz w:val="24"/>
    </w:rPr>
  </w:style>
  <w:style w:type="paragraph" w:customStyle="1" w:styleId="91">
    <w:name w:val="正文缩"/>
    <w:basedOn w:val="1"/>
    <w:qFormat/>
    <w:uiPriority w:val="0"/>
    <w:pPr>
      <w:adjustRightInd w:val="0"/>
      <w:snapToGrid w:val="0"/>
      <w:ind w:firstLine="720" w:firstLineChars="200"/>
    </w:pPr>
    <w:rPr>
      <w:szCs w:val="21"/>
    </w:rPr>
  </w:style>
  <w:style w:type="paragraph" w:customStyle="1" w:styleId="92">
    <w:name w:val="zzzzz"/>
    <w:basedOn w:val="6"/>
    <w:qFormat/>
    <w:uiPriority w:val="0"/>
    <w:pPr>
      <w:ind w:firstLine="480" w:firstLineChars="200"/>
    </w:pPr>
    <w:rPr>
      <w:sz w:val="24"/>
      <w:szCs w:val="24"/>
    </w:rPr>
  </w:style>
  <w:style w:type="paragraph" w:customStyle="1" w:styleId="93">
    <w:name w:val="表文"/>
    <w:basedOn w:val="55"/>
    <w:qFormat/>
    <w:uiPriority w:val="0"/>
    <w:pPr>
      <w:spacing w:line="360" w:lineRule="exact"/>
      <w:ind w:firstLine="0" w:firstLineChars="0"/>
      <w:jc w:val="center"/>
    </w:pPr>
  </w:style>
  <w:style w:type="paragraph" w:customStyle="1" w:styleId="94">
    <w:name w:val="表格目录"/>
    <w:basedOn w:val="1"/>
    <w:qFormat/>
    <w:uiPriority w:val="0"/>
    <w:pPr>
      <w:spacing w:line="264" w:lineRule="auto"/>
      <w:ind w:left="51" w:right="51"/>
      <w:jc w:val="center"/>
    </w:pPr>
    <w:rPr>
      <w:b/>
      <w:bCs/>
      <w:szCs w:val="21"/>
    </w:rPr>
  </w:style>
  <w:style w:type="paragraph" w:customStyle="1" w:styleId="95">
    <w:name w:val="表格文"/>
    <w:basedOn w:val="1"/>
    <w:qFormat/>
    <w:uiPriority w:val="0"/>
    <w:pPr>
      <w:widowControl/>
      <w:jc w:val="center"/>
    </w:pPr>
    <w:rPr>
      <w:rFonts w:cs="宋体"/>
      <w:kern w:val="0"/>
      <w:szCs w:val="21"/>
    </w:rPr>
  </w:style>
  <w:style w:type="character" w:customStyle="1" w:styleId="96">
    <w:name w:val="font11"/>
    <w:basedOn w:val="30"/>
    <w:qFormat/>
    <w:uiPriority w:val="0"/>
    <w:rPr>
      <w:rFonts w:hint="eastAsia" w:ascii="宋体" w:hAnsi="宋体" w:eastAsia="宋体" w:cs="宋体"/>
      <w:color w:val="000000"/>
      <w:sz w:val="24"/>
      <w:szCs w:val="24"/>
      <w:u w:val="none"/>
      <w:vertAlign w:val="superscript"/>
    </w:rPr>
  </w:style>
  <w:style w:type="character" w:customStyle="1" w:styleId="97">
    <w:name w:val="正文01"/>
    <w:qFormat/>
    <w:uiPriority w:val="0"/>
    <w:rPr>
      <w:rFonts w:ascii="Times New Roman" w:hAnsi="Times New Roman" w:eastAsia="宋体"/>
      <w:color w:val="000000"/>
      <w:sz w:val="24"/>
      <w:szCs w:val="24"/>
    </w:rPr>
  </w:style>
  <w:style w:type="paragraph" w:customStyle="1" w:styleId="98">
    <w:name w:val="Table Text"/>
    <w:basedOn w:val="1"/>
    <w:semiHidden/>
    <w:qFormat/>
    <w:uiPriority w:val="0"/>
    <w:rPr>
      <w:rFonts w:ascii="宋体" w:hAnsi="宋体" w:eastAsia="宋体" w:cs="宋体"/>
      <w:sz w:val="22"/>
      <w:szCs w:val="22"/>
      <w:lang w:val="en-US" w:eastAsia="en-US" w:bidi="ar-SA"/>
    </w:rPr>
  </w:style>
  <w:style w:type="paragraph" w:customStyle="1" w:styleId="99">
    <w:name w:val="标题2"/>
    <w:basedOn w:val="1"/>
    <w:qFormat/>
    <w:uiPriority w:val="0"/>
    <w:pPr>
      <w:numPr>
        <w:ilvl w:val="1"/>
        <w:numId w:val="2"/>
      </w:numPr>
    </w:pPr>
  </w:style>
  <w:style w:type="character" w:customStyle="1" w:styleId="100">
    <w:name w:val="font21"/>
    <w:basedOn w:val="30"/>
    <w:autoRedefine/>
    <w:qFormat/>
    <w:uiPriority w:val="0"/>
    <w:rPr>
      <w:rFonts w:hint="default" w:ascii="Times New Roman" w:hAnsi="Times New Roman" w:cs="Times New Roman"/>
      <w:color w:val="000000"/>
      <w:sz w:val="21"/>
      <w:szCs w:val="21"/>
      <w:u w:val="none"/>
    </w:rPr>
  </w:style>
  <w:style w:type="paragraph" w:customStyle="1" w:styleId="101">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02">
    <w:name w:val="文本22"/>
    <w:basedOn w:val="1"/>
    <w:autoRedefine/>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103">
    <w:name w:val="表标题"/>
    <w:basedOn w:val="1"/>
    <w:qFormat/>
    <w:uiPriority w:val="0"/>
    <w:pPr>
      <w:spacing w:line="480" w:lineRule="exact"/>
      <w:ind w:firstLine="0" w:firstLineChars="0"/>
      <w:jc w:val="center"/>
    </w:pPr>
    <w:rPr>
      <w:b/>
      <w:sz w:val="21"/>
      <w:szCs w:val="21"/>
    </w:rPr>
  </w:style>
  <w:style w:type="character" w:customStyle="1" w:styleId="104">
    <w:name w:val="正文文本 Char1"/>
    <w:autoRedefine/>
    <w:qFormat/>
    <w:uiPriority w:val="0"/>
    <w:rPr>
      <w:rFonts w:eastAsia="宋体"/>
      <w:kern w:val="2"/>
      <w:sz w:val="28"/>
      <w:szCs w:val="24"/>
      <w:lang w:val="en-US" w:eastAsia="zh-CN" w:bidi="ar-SA"/>
    </w:rPr>
  </w:style>
  <w:style w:type="character" w:customStyle="1" w:styleId="105">
    <w:name w:val="标题 1 Char"/>
    <w:link w:val="2"/>
    <w:qFormat/>
    <w:uiPriority w:val="99"/>
    <w:rPr>
      <w:rFonts w:eastAsia="黑体"/>
      <w:b/>
      <w:bCs/>
      <w:color w:val="000000"/>
      <w:kern w:val="44"/>
      <w:sz w:val="30"/>
      <w:szCs w:val="30"/>
    </w:rPr>
  </w:style>
  <w:style w:type="paragraph" w:customStyle="1" w:styleId="106">
    <w:name w:val="表格文字"/>
    <w:basedOn w:val="1"/>
    <w:next w:val="1"/>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wmf"/><Relationship Id="rId16" Type="http://schemas.openxmlformats.org/officeDocument/2006/relationships/oleObject" Target="embeddings/oleObject3.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74</Pages>
  <Words>16428</Words>
  <Characters>17574</Characters>
  <Lines>507</Lines>
  <Paragraphs>142</Paragraphs>
  <TotalTime>3</TotalTime>
  <ScaleCrop>false</ScaleCrop>
  <LinksUpToDate>false</LinksUpToDate>
  <CharactersWithSpaces>17601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2021-04-06T12:03:00Z</dcterms:created>
  <dc:creator>lhj</dc:creator>
  <cp:lastModifiedBy>听潮</cp:lastModifiedBy>
  <cp:lastPrinted>2020-12-29T02:43:00Z</cp:lastPrinted>
  <dcterms:modified xsi:type="dcterms:W3CDTF">2025-04-21T01:35:03Z</dcterms:modified>
  <dc:title>附件2</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2F4282E9CBF84F0EA37096970AE3F0EC_13</vt:lpwstr>
  </property>
  <property fmtid="{D5CDD505-2E9C-101B-9397-08002B2CF9AE}" pid="4" name="KSOTemplateDocerSaveRecord">
    <vt:lpwstr>eyJoZGlkIjoiYjU3YWRkZmU5OTJhNGQyMDFmYzgxYmU0MjIxODYxNTUiLCJ1c2VySWQiOiIyNDE4NzAyOTkifQ==</vt:lpwstr>
  </property>
</Properties>
</file>