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06521">
      <w:pPr>
        <w:rPr>
          <w:rFonts w:ascii="仿宋_GB2312" w:hAnsi="仿宋_GB2312" w:eastAsia="仿宋_GB2312" w:cs="仿宋_GB2312"/>
          <w:color w:val="000000" w:themeColor="text1"/>
          <w:sz w:val="36"/>
          <w:szCs w:val="36"/>
          <w14:textFill>
            <w14:solidFill>
              <w14:schemeClr w14:val="tx1"/>
            </w14:solidFill>
          </w14:textFill>
        </w:rPr>
      </w:pPr>
    </w:p>
    <w:p w14:paraId="7CA451D1">
      <w:pPr>
        <w:rPr>
          <w:rFonts w:ascii="仿宋_GB2312" w:hAnsi="仿宋_GB2312" w:eastAsia="仿宋_GB2312" w:cs="仿宋_GB2312"/>
          <w:color w:val="000000" w:themeColor="text1"/>
          <w:sz w:val="36"/>
          <w:szCs w:val="36"/>
          <w14:textFill>
            <w14:solidFill>
              <w14:schemeClr w14:val="tx1"/>
            </w14:solidFill>
          </w14:textFill>
        </w:rPr>
      </w:pPr>
    </w:p>
    <w:p w14:paraId="46E3ACEC">
      <w:pPr>
        <w:rPr>
          <w:rFonts w:ascii="仿宋_GB2312" w:hAnsi="仿宋_GB2312" w:eastAsia="仿宋_GB2312" w:cs="仿宋_GB2312"/>
          <w:color w:val="000000" w:themeColor="text1"/>
          <w:sz w:val="36"/>
          <w:szCs w:val="36"/>
          <w14:textFill>
            <w14:solidFill>
              <w14:schemeClr w14:val="tx1"/>
            </w14:solidFill>
          </w14:textFill>
        </w:rPr>
      </w:pPr>
    </w:p>
    <w:p w14:paraId="276DA617">
      <w:pPr>
        <w:rPr>
          <w:rFonts w:ascii="仿宋_GB2312" w:hAnsi="仿宋_GB2312" w:eastAsia="仿宋_GB2312" w:cs="仿宋_GB2312"/>
          <w:color w:val="000000" w:themeColor="text1"/>
          <w:sz w:val="36"/>
          <w:szCs w:val="36"/>
          <w14:textFill>
            <w14:solidFill>
              <w14:schemeClr w14:val="tx1"/>
            </w14:solidFill>
          </w14:textFill>
        </w:rPr>
      </w:pPr>
    </w:p>
    <w:p w14:paraId="3489775B">
      <w:pPr>
        <w:adjustRightInd w:val="0"/>
        <w:snapToGrid w:val="0"/>
        <w:jc w:val="center"/>
        <w:outlineLvl w:val="0"/>
        <w:rPr>
          <w:bCs/>
          <w:color w:val="000000" w:themeColor="text1"/>
          <w:sz w:val="72"/>
          <w:szCs w:val="72"/>
          <w14:textFill>
            <w14:solidFill>
              <w14:schemeClr w14:val="tx1"/>
            </w14:solidFill>
          </w14:textFill>
        </w:rPr>
      </w:pPr>
      <w:bookmarkStart w:id="0" w:name="_Toc23246"/>
      <w:r>
        <w:rPr>
          <w:rFonts w:hint="eastAsia"/>
          <w:bCs/>
          <w:color w:val="000000" w:themeColor="text1"/>
          <w:sz w:val="72"/>
          <w:szCs w:val="72"/>
          <w14:textFill>
            <w14:solidFill>
              <w14:schemeClr w14:val="tx1"/>
            </w14:solidFill>
          </w14:textFill>
        </w:rPr>
        <w:t>建设项目环境影响报告表</w:t>
      </w:r>
      <w:bookmarkEnd w:id="0"/>
    </w:p>
    <w:p w14:paraId="18B49DFA">
      <w:pPr>
        <w:adjustRightInd w:val="0"/>
        <w:snapToGrid w:val="0"/>
        <w:spacing w:before="192" w:beforeLines="8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（污染影响类）</w:t>
      </w:r>
    </w:p>
    <w:p w14:paraId="641D30F9">
      <w:pPr>
        <w:jc w:val="center"/>
        <w:rPr>
          <w:rFonts w:cs="华文仿宋"/>
          <w:color w:val="000000" w:themeColor="text1"/>
          <w:kern w:val="44"/>
          <w:sz w:val="44"/>
          <w:szCs w:val="44"/>
          <w14:textFill>
            <w14:solidFill>
              <w14:schemeClr w14:val="tx1"/>
            </w14:solidFill>
          </w14:textFill>
        </w:rPr>
      </w:pPr>
    </w:p>
    <w:p w14:paraId="4EECA04A">
      <w:pPr>
        <w:jc w:val="center"/>
        <w:rPr>
          <w:color w:val="000000" w:themeColor="text1"/>
          <w:sz w:val="52"/>
          <w:szCs w:val="52"/>
          <w14:textFill>
            <w14:solidFill>
              <w14:schemeClr w14:val="tx1"/>
            </w14:solidFill>
          </w14:textFill>
        </w:rPr>
      </w:pPr>
    </w:p>
    <w:p w14:paraId="66CE1CEF">
      <w:pPr>
        <w:ind w:firstLine="1040"/>
        <w:rPr>
          <w:color w:val="000000" w:themeColor="text1"/>
          <w:sz w:val="44"/>
          <w:szCs w:val="44"/>
          <w14:textFill>
            <w14:solidFill>
              <w14:schemeClr w14:val="tx1"/>
            </w14:solidFill>
          </w14:textFill>
        </w:rPr>
      </w:pPr>
    </w:p>
    <w:p w14:paraId="0C38E5CD">
      <w:pPr>
        <w:ind w:firstLine="1040"/>
        <w:rPr>
          <w:color w:val="000000" w:themeColor="text1"/>
          <w:sz w:val="44"/>
          <w:szCs w:val="44"/>
          <w14:textFill>
            <w14:solidFill>
              <w14:schemeClr w14:val="tx1"/>
            </w14:solidFill>
          </w14:textFill>
        </w:rPr>
      </w:pPr>
    </w:p>
    <w:p w14:paraId="7DD4AF4D">
      <w:pPr>
        <w:ind w:firstLine="1040"/>
        <w:rPr>
          <w:color w:val="000000" w:themeColor="text1"/>
          <w:sz w:val="44"/>
          <w:szCs w:val="44"/>
          <w14:textFill>
            <w14:solidFill>
              <w14:schemeClr w14:val="tx1"/>
            </w14:solidFill>
          </w14:textFill>
        </w:rPr>
      </w:pPr>
    </w:p>
    <w:p w14:paraId="63562843">
      <w:pPr>
        <w:ind w:firstLine="1040"/>
        <w:rPr>
          <w:color w:val="000000" w:themeColor="text1"/>
          <w:sz w:val="44"/>
          <w:szCs w:val="44"/>
          <w14:textFill>
            <w14:solidFill>
              <w14:schemeClr w14:val="tx1"/>
            </w14:solidFill>
          </w14:textFill>
        </w:rPr>
      </w:pPr>
    </w:p>
    <w:p w14:paraId="7B5385F3">
      <w:pPr>
        <w:adjustRightInd w:val="0"/>
        <w:snapToGrid w:val="0"/>
        <w:spacing w:line="288" w:lineRule="auto"/>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项目名称：</w:t>
      </w:r>
      <w:r>
        <w:rPr>
          <w:rFonts w:hint="eastAsia"/>
          <w:color w:val="000000" w:themeColor="text1"/>
          <w:sz w:val="36"/>
          <w:szCs w:val="36"/>
          <w:u w:val="single"/>
          <w14:textFill>
            <w14:solidFill>
              <w14:schemeClr w14:val="tx1"/>
            </w14:solidFill>
          </w14:textFill>
        </w:rPr>
        <w:t>云南海潮集团听牧肉牛产业股份有限公司50000只/年肉羊屠宰加工及配送系统技术改造项目</w:t>
      </w:r>
    </w:p>
    <w:p w14:paraId="4E46C5E5">
      <w:pPr>
        <w:adjustRightInd w:val="0"/>
        <w:snapToGrid w:val="0"/>
        <w:spacing w:line="288" w:lineRule="auto"/>
        <w:rPr>
          <w:color w:val="000000" w:themeColor="text1"/>
          <w:sz w:val="36"/>
          <w:szCs w:val="36"/>
          <w:u w:val="single"/>
          <w14:textFill>
            <w14:solidFill>
              <w14:schemeClr w14:val="tx1"/>
            </w14:solidFill>
          </w14:textFill>
        </w:rPr>
      </w:pPr>
      <w:r>
        <w:rPr>
          <w:rFonts w:hint="eastAsia"/>
          <w:color w:val="000000" w:themeColor="text1"/>
          <w:sz w:val="36"/>
          <w:szCs w:val="36"/>
          <w14:textFill>
            <w14:solidFill>
              <w14:schemeClr w14:val="tx1"/>
            </w14:solidFill>
          </w14:textFill>
        </w:rPr>
        <w:t>建设单位：</w:t>
      </w:r>
      <w:r>
        <w:rPr>
          <w:rFonts w:hint="eastAsia"/>
          <w:color w:val="000000" w:themeColor="text1"/>
          <w:sz w:val="36"/>
          <w:szCs w:val="36"/>
          <w:u w:val="single"/>
          <w14:textFill>
            <w14:solidFill>
              <w14:schemeClr w14:val="tx1"/>
            </w14:solidFill>
          </w14:textFill>
        </w:rPr>
        <w:t>云南海潮集团听牧肉牛产业股份有限公司</w:t>
      </w:r>
    </w:p>
    <w:p w14:paraId="0C22BD88">
      <w:pPr>
        <w:adjustRightInd w:val="0"/>
        <w:snapToGrid w:val="0"/>
        <w:spacing w:line="288" w:lineRule="auto"/>
        <w:rPr>
          <w:color w:val="000000" w:themeColor="text1"/>
          <w:sz w:val="36"/>
          <w:szCs w:val="36"/>
          <w:u w:val="single"/>
          <w14:textFill>
            <w14:solidFill>
              <w14:schemeClr w14:val="tx1"/>
            </w14:solidFill>
          </w14:textFill>
        </w:rPr>
      </w:pPr>
      <w:r>
        <w:rPr>
          <w:rFonts w:hint="eastAsia"/>
          <w:color w:val="000000" w:themeColor="text1"/>
          <w:sz w:val="36"/>
          <w:szCs w:val="36"/>
          <w14:textFill>
            <w14:solidFill>
              <w14:schemeClr w14:val="tx1"/>
            </w14:solidFill>
          </w14:textFill>
        </w:rPr>
        <w:t>编制日期：</w:t>
      </w:r>
      <w:r>
        <w:rPr>
          <w:rFonts w:hint="eastAsia"/>
          <w:color w:val="000000" w:themeColor="text1"/>
          <w:sz w:val="36"/>
          <w:szCs w:val="36"/>
          <w:u w:val="single"/>
          <w14:textFill>
            <w14:solidFill>
              <w14:schemeClr w14:val="tx1"/>
            </w14:solidFill>
          </w14:textFill>
        </w:rPr>
        <w:t>2025年</w:t>
      </w:r>
      <w:r>
        <w:rPr>
          <w:rFonts w:hint="eastAsia"/>
          <w:color w:val="000000" w:themeColor="text1"/>
          <w:sz w:val="36"/>
          <w:szCs w:val="36"/>
          <w:u w:val="single"/>
          <w:lang w:val="en-US" w:eastAsia="zh-CN"/>
          <w14:textFill>
            <w14:solidFill>
              <w14:schemeClr w14:val="tx1"/>
            </w14:solidFill>
          </w14:textFill>
        </w:rPr>
        <w:t>4</w:t>
      </w:r>
      <w:r>
        <w:rPr>
          <w:rFonts w:hint="eastAsia"/>
          <w:color w:val="000000" w:themeColor="text1"/>
          <w:sz w:val="36"/>
          <w:szCs w:val="36"/>
          <w:u w:val="single"/>
          <w14:textFill>
            <w14:solidFill>
              <w14:schemeClr w14:val="tx1"/>
            </w14:solidFill>
          </w14:textFill>
        </w:rPr>
        <w:t>月</w:t>
      </w:r>
    </w:p>
    <w:p w14:paraId="2BCDCDFE">
      <w:pPr>
        <w:adjustRightInd w:val="0"/>
        <w:snapToGrid w:val="0"/>
        <w:spacing w:line="288" w:lineRule="auto"/>
        <w:ind w:firstLine="1040"/>
        <w:rPr>
          <w:color w:val="000000" w:themeColor="text1"/>
          <w:sz w:val="36"/>
          <w:szCs w:val="36"/>
          <w:u w:val="single"/>
          <w14:textFill>
            <w14:solidFill>
              <w14:schemeClr w14:val="tx1"/>
            </w14:solidFill>
          </w14:textFill>
        </w:rPr>
      </w:pPr>
      <w:bookmarkStart w:id="1" w:name="_Hlk57884087"/>
    </w:p>
    <w:p w14:paraId="11645CF9">
      <w:pPr>
        <w:adjustRightInd w:val="0"/>
        <w:snapToGrid w:val="0"/>
        <w:spacing w:line="288" w:lineRule="auto"/>
        <w:ind w:firstLine="1040"/>
        <w:rPr>
          <w:color w:val="000000" w:themeColor="text1"/>
          <w:sz w:val="36"/>
          <w:szCs w:val="36"/>
          <w14:textFill>
            <w14:solidFill>
              <w14:schemeClr w14:val="tx1"/>
            </w14:solidFill>
          </w14:textFill>
        </w:rPr>
      </w:pPr>
    </w:p>
    <w:p w14:paraId="524F6BD0">
      <w:pPr>
        <w:adjustRightInd w:val="0"/>
        <w:snapToGrid w:val="0"/>
        <w:spacing w:line="288" w:lineRule="auto"/>
        <w:ind w:firstLine="1040"/>
        <w:rPr>
          <w:color w:val="000000" w:themeColor="text1"/>
          <w:sz w:val="36"/>
          <w:szCs w:val="36"/>
          <w14:textFill>
            <w14:solidFill>
              <w14:schemeClr w14:val="tx1"/>
            </w14:solidFill>
          </w14:textFill>
        </w:rPr>
      </w:pPr>
    </w:p>
    <w:p w14:paraId="4BE7DC9C">
      <w:pPr>
        <w:adjustRightInd w:val="0"/>
        <w:snapToGrid w:val="0"/>
        <w:spacing w:line="288" w:lineRule="auto"/>
        <w:ind w:firstLine="1040"/>
        <w:rPr>
          <w:color w:val="000000" w:themeColor="text1"/>
          <w:sz w:val="36"/>
          <w:szCs w:val="36"/>
          <w14:textFill>
            <w14:solidFill>
              <w14:schemeClr w14:val="tx1"/>
            </w14:solidFill>
          </w14:textFill>
        </w:rPr>
      </w:pPr>
    </w:p>
    <w:p w14:paraId="1907228B">
      <w:pPr>
        <w:adjustRightInd w:val="0"/>
        <w:snapToGrid w:val="0"/>
        <w:spacing w:line="288" w:lineRule="auto"/>
        <w:ind w:firstLine="1040"/>
        <w:rPr>
          <w:color w:val="000000" w:themeColor="text1"/>
          <w:sz w:val="36"/>
          <w:szCs w:val="36"/>
          <w14:textFill>
            <w14:solidFill>
              <w14:schemeClr w14:val="tx1"/>
            </w14:solidFill>
          </w14:textFill>
        </w:rPr>
      </w:pPr>
    </w:p>
    <w:bookmarkEnd w:id="1"/>
    <w:p w14:paraId="41C4E81E">
      <w:pPr>
        <w:adjustRightInd w:val="0"/>
        <w:snapToGrid w:val="0"/>
        <w:spacing w:line="288" w:lineRule="auto"/>
        <w:jc w:val="center"/>
        <w:outlineLvl w:val="0"/>
        <w:rPr>
          <w:color w:val="000000" w:themeColor="text1"/>
          <w:sz w:val="36"/>
          <w:szCs w:val="36"/>
          <w14:textFill>
            <w14:solidFill>
              <w14:schemeClr w14:val="tx1"/>
            </w14:solidFill>
          </w14:textFill>
        </w:rPr>
      </w:pPr>
      <w:bookmarkStart w:id="2" w:name="_Toc15368"/>
      <w:r>
        <w:rPr>
          <w:rFonts w:hint="eastAsia"/>
          <w:color w:val="000000" w:themeColor="text1"/>
          <w:sz w:val="36"/>
          <w:szCs w:val="36"/>
          <w14:textFill>
            <w14:solidFill>
              <w14:schemeClr w14:val="tx1"/>
            </w14:solidFill>
          </w14:textFill>
        </w:rPr>
        <w:t>中华人民共和国生态环境部制</w:t>
      </w:r>
      <w:bookmarkEnd w:id="2"/>
    </w:p>
    <w:p w14:paraId="3A099486">
      <w:pPr>
        <w:adjustRightInd w:val="0"/>
        <w:snapToGrid w:val="0"/>
        <w:spacing w:line="288" w:lineRule="auto"/>
        <w:ind w:firstLine="1040"/>
        <w:rPr>
          <w:color w:val="000000" w:themeColor="text1"/>
          <w:sz w:val="36"/>
          <w:szCs w:val="36"/>
          <w14:textFill>
            <w14:solidFill>
              <w14:schemeClr w14:val="tx1"/>
            </w14:solidFill>
          </w14:textFill>
        </w:rPr>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14:paraId="1667C45D">
      <w:pPr>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目录</w:t>
      </w:r>
    </w:p>
    <w:p w14:paraId="25E4EF2A">
      <w:pPr>
        <w:pStyle w:val="33"/>
        <w:tabs>
          <w:tab w:val="right" w:leader="dot" w:pos="8844"/>
        </w:tabs>
        <w:spacing w:line="360" w:lineRule="auto"/>
        <w:rPr>
          <w:color w:val="000000" w:themeColor="text1"/>
          <w:sz w:val="28"/>
          <w:szCs w:val="28"/>
          <w14:textFill>
            <w14:solidFill>
              <w14:schemeClr w14:val="tx1"/>
            </w14:solidFill>
          </w14:textFill>
        </w:rPr>
      </w:pPr>
      <w:r>
        <w:rPr>
          <w:rFonts w:hint="eastAsia"/>
          <w:snapToGrid w:val="0"/>
          <w:color w:val="000000" w:themeColor="text1"/>
          <w:sz w:val="36"/>
          <w:szCs w:val="36"/>
          <w14:textFill>
            <w14:solidFill>
              <w14:schemeClr w14:val="tx1"/>
            </w14:solidFill>
          </w14:textFill>
        </w:rPr>
        <w:fldChar w:fldCharType="begin"/>
      </w:r>
      <w:r>
        <w:rPr>
          <w:rFonts w:hint="eastAsia"/>
          <w:snapToGrid w:val="0"/>
          <w:color w:val="000000" w:themeColor="text1"/>
          <w:sz w:val="36"/>
          <w:szCs w:val="36"/>
          <w14:textFill>
            <w14:solidFill>
              <w14:schemeClr w14:val="tx1"/>
            </w14:solidFill>
          </w14:textFill>
        </w:rPr>
        <w:instrText xml:space="preserve">TOC\o"1-1"\h\u</w:instrText>
      </w:r>
      <w:r>
        <w:rPr>
          <w:rFonts w:hint="eastAsia"/>
          <w:snapToGrid w:val="0"/>
          <w:color w:val="000000" w:themeColor="text1"/>
          <w:sz w:val="36"/>
          <w:szCs w:val="36"/>
          <w14:textFill>
            <w14:solidFill>
              <w14:schemeClr w14:val="tx1"/>
            </w14:solidFill>
          </w14:textFill>
        </w:rPr>
        <w:fldChar w:fldCharType="separate"/>
      </w:r>
      <w:r>
        <w:rPr>
          <w:rFonts w:hint="eastAsia"/>
          <w:snapToGrid w:val="0"/>
          <w:color w:val="000000" w:themeColor="text1"/>
          <w:sz w:val="28"/>
          <w:szCs w:val="28"/>
          <w14:textFill>
            <w14:solidFill>
              <w14:schemeClr w14:val="tx1"/>
            </w14:solidFill>
          </w14:textFill>
        </w:rPr>
        <w:fldChar w:fldCharType="begin"/>
      </w:r>
      <w:r>
        <w:rPr>
          <w:rFonts w:hint="eastAsia"/>
          <w:snapToGrid w:val="0"/>
          <w:color w:val="000000" w:themeColor="text1"/>
          <w:sz w:val="28"/>
          <w:szCs w:val="28"/>
          <w14:textFill>
            <w14:solidFill>
              <w14:schemeClr w14:val="tx1"/>
            </w14:solidFill>
          </w14:textFill>
        </w:rPr>
        <w:instrText xml:space="preserve">HYPERLINK\l_Toc28432</w:instrText>
      </w:r>
      <w:r>
        <w:rPr>
          <w:rFonts w:hint="eastAsia"/>
          <w:snapToGrid w:val="0"/>
          <w:color w:val="000000" w:themeColor="text1"/>
          <w:sz w:val="28"/>
          <w:szCs w:val="28"/>
          <w14:textFill>
            <w14:solidFill>
              <w14:schemeClr w14:val="tx1"/>
            </w14:solidFill>
          </w14:textFill>
        </w:rPr>
        <w:fldChar w:fldCharType="separate"/>
      </w:r>
      <w:r>
        <w:rPr>
          <w:rFonts w:hint="eastAsia"/>
          <w:snapToGrid w:val="0"/>
          <w:color w:val="000000" w:themeColor="text1"/>
          <w:sz w:val="28"/>
          <w:szCs w:val="28"/>
          <w14:textFill>
            <w14:solidFill>
              <w14:schemeClr w14:val="tx1"/>
            </w14:solidFill>
          </w14:textFill>
        </w:rPr>
        <w:t>一、建设项目基本情况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PAGEREF_Toc28432\h</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snapToGrid w:val="0"/>
          <w:color w:val="000000" w:themeColor="text1"/>
          <w:sz w:val="28"/>
          <w:szCs w:val="28"/>
          <w14:textFill>
            <w14:solidFill>
              <w14:schemeClr w14:val="tx1"/>
            </w14:solidFill>
          </w14:textFill>
        </w:rPr>
        <w:fldChar w:fldCharType="end"/>
      </w:r>
    </w:p>
    <w:p w14:paraId="5AB7EDC1">
      <w:pPr>
        <w:pStyle w:val="33"/>
        <w:tabs>
          <w:tab w:val="right" w:leader="dot" w:pos="8844"/>
        </w:tabs>
        <w:spacing w:line="360" w:lineRule="auto"/>
        <w:rPr>
          <w:rFonts w:hint="eastAsia" w:eastAsia="宋体"/>
          <w:color w:val="000000" w:themeColor="text1"/>
          <w:sz w:val="28"/>
          <w:szCs w:val="28"/>
          <w:lang w:eastAsia="zh-CN"/>
          <w14:textFill>
            <w14:solidFill>
              <w14:schemeClr w14:val="tx1"/>
            </w14:solidFill>
          </w14:textFill>
        </w:rPr>
      </w:pPr>
      <w:r>
        <w:rPr>
          <w:rFonts w:hint="eastAsia"/>
          <w:snapToGrid w:val="0"/>
          <w:color w:val="000000" w:themeColor="text1"/>
          <w:sz w:val="28"/>
          <w:szCs w:val="28"/>
          <w14:textFill>
            <w14:solidFill>
              <w14:schemeClr w14:val="tx1"/>
            </w14:solidFill>
          </w14:textFill>
        </w:rPr>
        <w:fldChar w:fldCharType="begin"/>
      </w:r>
      <w:r>
        <w:rPr>
          <w:rFonts w:hint="eastAsia"/>
          <w:snapToGrid w:val="0"/>
          <w:color w:val="000000" w:themeColor="text1"/>
          <w:sz w:val="28"/>
          <w:szCs w:val="28"/>
          <w14:textFill>
            <w14:solidFill>
              <w14:schemeClr w14:val="tx1"/>
            </w14:solidFill>
          </w14:textFill>
        </w:rPr>
        <w:instrText xml:space="preserve">HYPERLINK\l_Toc22085</w:instrText>
      </w:r>
      <w:r>
        <w:rPr>
          <w:rFonts w:hint="eastAsia"/>
          <w:snapToGrid w:val="0"/>
          <w:color w:val="000000" w:themeColor="text1"/>
          <w:sz w:val="28"/>
          <w:szCs w:val="28"/>
          <w14:textFill>
            <w14:solidFill>
              <w14:schemeClr w14:val="tx1"/>
            </w14:solidFill>
          </w14:textFill>
        </w:rPr>
        <w:fldChar w:fldCharType="separate"/>
      </w:r>
      <w:r>
        <w:rPr>
          <w:rFonts w:hint="eastAsia"/>
          <w:snapToGrid w:val="0"/>
          <w:color w:val="000000" w:themeColor="text1"/>
          <w:sz w:val="28"/>
          <w:szCs w:val="28"/>
          <w14:textFill>
            <w14:solidFill>
              <w14:schemeClr w14:val="tx1"/>
            </w14:solidFill>
          </w14:textFill>
        </w:rPr>
        <w:t>二、建设项目工程分析</w:t>
      </w:r>
      <w:r>
        <w:rPr>
          <w:color w:val="000000" w:themeColor="text1"/>
          <w:sz w:val="28"/>
          <w:szCs w:val="28"/>
          <w14:textFill>
            <w14:solidFill>
              <w14:schemeClr w14:val="tx1"/>
            </w14:solidFill>
          </w14:textFill>
        </w:rPr>
        <w:tab/>
      </w:r>
      <w:r>
        <w:rPr>
          <w:rFonts w:hint="eastAsia"/>
          <w:snapToGrid w:val="0"/>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r>
        <w:rPr>
          <w:rFonts w:hint="eastAsia"/>
          <w:color w:val="000000" w:themeColor="text1"/>
          <w:sz w:val="28"/>
          <w:szCs w:val="28"/>
          <w:lang w:val="en-US" w:eastAsia="zh-CN"/>
          <w14:textFill>
            <w14:solidFill>
              <w14:schemeClr w14:val="tx1"/>
            </w14:solidFill>
          </w14:textFill>
        </w:rPr>
        <w:t>9</w:t>
      </w:r>
    </w:p>
    <w:p w14:paraId="5D28FA99">
      <w:pPr>
        <w:pStyle w:val="33"/>
        <w:tabs>
          <w:tab w:val="right" w:leader="dot" w:pos="8844"/>
        </w:tabs>
        <w:spacing w:line="360" w:lineRule="auto"/>
        <w:rPr>
          <w:rFonts w:hint="eastAsia" w:eastAsia="宋体"/>
          <w:color w:val="000000" w:themeColor="text1"/>
          <w:sz w:val="28"/>
          <w:szCs w:val="28"/>
          <w:lang w:eastAsia="zh-CN"/>
          <w14:textFill>
            <w14:solidFill>
              <w14:schemeClr w14:val="tx1"/>
            </w14:solidFill>
          </w14:textFill>
        </w:rPr>
      </w:pPr>
      <w:r>
        <w:rPr>
          <w:rFonts w:hint="eastAsia"/>
          <w:snapToGrid w:val="0"/>
          <w:color w:val="000000" w:themeColor="text1"/>
          <w:sz w:val="28"/>
          <w:szCs w:val="28"/>
          <w14:textFill>
            <w14:solidFill>
              <w14:schemeClr w14:val="tx1"/>
            </w14:solidFill>
          </w14:textFill>
        </w:rPr>
        <w:fldChar w:fldCharType="begin"/>
      </w:r>
      <w:r>
        <w:rPr>
          <w:rFonts w:hint="eastAsia"/>
          <w:snapToGrid w:val="0"/>
          <w:color w:val="000000" w:themeColor="text1"/>
          <w:sz w:val="28"/>
          <w:szCs w:val="28"/>
          <w14:textFill>
            <w14:solidFill>
              <w14:schemeClr w14:val="tx1"/>
            </w14:solidFill>
          </w14:textFill>
        </w:rPr>
        <w:instrText xml:space="preserve">HYPERLINK\l_Toc21103</w:instrText>
      </w:r>
      <w:r>
        <w:rPr>
          <w:rFonts w:hint="eastAsia"/>
          <w:snapToGrid w:val="0"/>
          <w:color w:val="000000" w:themeColor="text1"/>
          <w:sz w:val="28"/>
          <w:szCs w:val="28"/>
          <w14:textFill>
            <w14:solidFill>
              <w14:schemeClr w14:val="tx1"/>
            </w14:solidFill>
          </w14:textFill>
        </w:rPr>
        <w:fldChar w:fldCharType="separate"/>
      </w:r>
      <w:r>
        <w:rPr>
          <w:rFonts w:hint="eastAsia"/>
          <w:snapToGrid w:val="0"/>
          <w:color w:val="000000" w:themeColor="text1"/>
          <w:sz w:val="28"/>
          <w:szCs w:val="28"/>
          <w14:textFill>
            <w14:solidFill>
              <w14:schemeClr w14:val="tx1"/>
            </w14:solidFill>
          </w14:textFill>
        </w:rPr>
        <w:t>三、区域环境质量现状、环境保护目标及评价标准</w:t>
      </w:r>
      <w:r>
        <w:rPr>
          <w:color w:val="000000" w:themeColor="text1"/>
          <w:sz w:val="28"/>
          <w:szCs w:val="28"/>
          <w14:textFill>
            <w14:solidFill>
              <w14:schemeClr w14:val="tx1"/>
            </w14:solidFill>
          </w14:textFill>
        </w:rPr>
        <w:tab/>
      </w:r>
      <w:r>
        <w:rPr>
          <w:rFonts w:hint="eastAsia"/>
          <w:snapToGrid w:val="0"/>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3</w:t>
      </w:r>
      <w:r>
        <w:rPr>
          <w:rFonts w:hint="eastAsia"/>
          <w:color w:val="000000" w:themeColor="text1"/>
          <w:sz w:val="28"/>
          <w:szCs w:val="28"/>
          <w:lang w:val="en-US" w:eastAsia="zh-CN"/>
          <w14:textFill>
            <w14:solidFill>
              <w14:schemeClr w14:val="tx1"/>
            </w14:solidFill>
          </w14:textFill>
        </w:rPr>
        <w:t>7</w:t>
      </w:r>
    </w:p>
    <w:p w14:paraId="0822B898">
      <w:pPr>
        <w:pStyle w:val="33"/>
        <w:tabs>
          <w:tab w:val="right" w:leader="dot" w:pos="8844"/>
        </w:tabs>
        <w:spacing w:line="360" w:lineRule="auto"/>
        <w:rPr>
          <w:rFonts w:hint="eastAsia" w:eastAsia="宋体"/>
          <w:color w:val="000000" w:themeColor="text1"/>
          <w:sz w:val="28"/>
          <w:szCs w:val="28"/>
          <w:lang w:eastAsia="zh-CN"/>
          <w14:textFill>
            <w14:solidFill>
              <w14:schemeClr w14:val="tx1"/>
            </w14:solidFill>
          </w14:textFill>
        </w:rPr>
      </w:pPr>
      <w:r>
        <w:rPr>
          <w:rFonts w:hint="eastAsia"/>
          <w:snapToGrid w:val="0"/>
          <w:color w:val="000000" w:themeColor="text1"/>
          <w:sz w:val="28"/>
          <w:szCs w:val="28"/>
          <w14:textFill>
            <w14:solidFill>
              <w14:schemeClr w14:val="tx1"/>
            </w14:solidFill>
          </w14:textFill>
        </w:rPr>
        <w:fldChar w:fldCharType="begin"/>
      </w:r>
      <w:r>
        <w:rPr>
          <w:rFonts w:hint="eastAsia"/>
          <w:snapToGrid w:val="0"/>
          <w:color w:val="000000" w:themeColor="text1"/>
          <w:sz w:val="28"/>
          <w:szCs w:val="28"/>
          <w14:textFill>
            <w14:solidFill>
              <w14:schemeClr w14:val="tx1"/>
            </w14:solidFill>
          </w14:textFill>
        </w:rPr>
        <w:instrText xml:space="preserve">HYPERLINK\l_Toc28805</w:instrText>
      </w:r>
      <w:r>
        <w:rPr>
          <w:rFonts w:hint="eastAsia"/>
          <w:snapToGrid w:val="0"/>
          <w:color w:val="000000" w:themeColor="text1"/>
          <w:sz w:val="28"/>
          <w:szCs w:val="28"/>
          <w14:textFill>
            <w14:solidFill>
              <w14:schemeClr w14:val="tx1"/>
            </w14:solidFill>
          </w14:textFill>
        </w:rPr>
        <w:fldChar w:fldCharType="separate"/>
      </w:r>
      <w:r>
        <w:rPr>
          <w:rFonts w:hint="eastAsia"/>
          <w:snapToGrid w:val="0"/>
          <w:color w:val="000000" w:themeColor="text1"/>
          <w:sz w:val="28"/>
          <w:szCs w:val="28"/>
          <w14:textFill>
            <w14:solidFill>
              <w14:schemeClr w14:val="tx1"/>
            </w14:solidFill>
          </w14:textFill>
        </w:rPr>
        <w:t>四、主要环境影响和保护措施</w:t>
      </w:r>
      <w:r>
        <w:rPr>
          <w:color w:val="000000" w:themeColor="text1"/>
          <w:sz w:val="28"/>
          <w:szCs w:val="28"/>
          <w14:textFill>
            <w14:solidFill>
              <w14:schemeClr w14:val="tx1"/>
            </w14:solidFill>
          </w14:textFill>
        </w:rPr>
        <w:tab/>
      </w:r>
      <w:r>
        <w:rPr>
          <w:rFonts w:hint="eastAsia"/>
          <w:snapToGrid w:val="0"/>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4</w:t>
      </w:r>
      <w:r>
        <w:rPr>
          <w:rFonts w:hint="eastAsia"/>
          <w:color w:val="000000" w:themeColor="text1"/>
          <w:sz w:val="28"/>
          <w:szCs w:val="28"/>
          <w:lang w:val="en-US" w:eastAsia="zh-CN"/>
          <w14:textFill>
            <w14:solidFill>
              <w14:schemeClr w14:val="tx1"/>
            </w14:solidFill>
          </w14:textFill>
        </w:rPr>
        <w:t>4</w:t>
      </w:r>
    </w:p>
    <w:p w14:paraId="3710601C">
      <w:pPr>
        <w:pStyle w:val="33"/>
        <w:tabs>
          <w:tab w:val="right" w:leader="dot" w:pos="8844"/>
        </w:tabs>
        <w:spacing w:line="360" w:lineRule="auto"/>
        <w:rPr>
          <w:rFonts w:hint="eastAsia" w:eastAsia="宋体"/>
          <w:color w:val="000000" w:themeColor="text1"/>
          <w:sz w:val="28"/>
          <w:szCs w:val="28"/>
          <w:lang w:eastAsia="zh-CN"/>
          <w14:textFill>
            <w14:solidFill>
              <w14:schemeClr w14:val="tx1"/>
            </w14:solidFill>
          </w14:textFill>
        </w:rPr>
      </w:pPr>
      <w:r>
        <w:rPr>
          <w:rFonts w:hint="eastAsia"/>
          <w:snapToGrid w:val="0"/>
          <w:color w:val="000000" w:themeColor="text1"/>
          <w:sz w:val="28"/>
          <w:szCs w:val="28"/>
          <w14:textFill>
            <w14:solidFill>
              <w14:schemeClr w14:val="tx1"/>
            </w14:solidFill>
          </w14:textFill>
        </w:rPr>
        <w:fldChar w:fldCharType="begin"/>
      </w:r>
      <w:r>
        <w:rPr>
          <w:rFonts w:hint="eastAsia"/>
          <w:snapToGrid w:val="0"/>
          <w:color w:val="000000" w:themeColor="text1"/>
          <w:sz w:val="28"/>
          <w:szCs w:val="28"/>
          <w14:textFill>
            <w14:solidFill>
              <w14:schemeClr w14:val="tx1"/>
            </w14:solidFill>
          </w14:textFill>
        </w:rPr>
        <w:instrText xml:space="preserve">HYPERLINK\l_Toc9910</w:instrText>
      </w:r>
      <w:r>
        <w:rPr>
          <w:rFonts w:hint="eastAsia"/>
          <w:snapToGrid w:val="0"/>
          <w:color w:val="000000" w:themeColor="text1"/>
          <w:sz w:val="28"/>
          <w:szCs w:val="28"/>
          <w14:textFill>
            <w14:solidFill>
              <w14:schemeClr w14:val="tx1"/>
            </w14:solidFill>
          </w14:textFill>
        </w:rPr>
        <w:fldChar w:fldCharType="separate"/>
      </w:r>
      <w:r>
        <w:rPr>
          <w:rFonts w:hint="eastAsia"/>
          <w:snapToGrid w:val="0"/>
          <w:color w:val="000000" w:themeColor="text1"/>
          <w:sz w:val="28"/>
          <w:szCs w:val="28"/>
          <w14:textFill>
            <w14:solidFill>
              <w14:schemeClr w14:val="tx1"/>
            </w14:solidFill>
          </w14:textFill>
        </w:rPr>
        <w:t>五、环境保护措施监督检查清单</w:t>
      </w:r>
      <w:r>
        <w:rPr>
          <w:color w:val="000000" w:themeColor="text1"/>
          <w:sz w:val="28"/>
          <w:szCs w:val="28"/>
          <w14:textFill>
            <w14:solidFill>
              <w14:schemeClr w14:val="tx1"/>
            </w14:solidFill>
          </w14:textFill>
        </w:rPr>
        <w:tab/>
      </w:r>
      <w:r>
        <w:rPr>
          <w:rFonts w:hint="eastAsia"/>
          <w:snapToGrid w:val="0"/>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6</w:t>
      </w:r>
      <w:r>
        <w:rPr>
          <w:rFonts w:hint="eastAsia"/>
          <w:color w:val="000000" w:themeColor="text1"/>
          <w:sz w:val="28"/>
          <w:szCs w:val="28"/>
          <w:lang w:val="en-US" w:eastAsia="zh-CN"/>
          <w14:textFill>
            <w14:solidFill>
              <w14:schemeClr w14:val="tx1"/>
            </w14:solidFill>
          </w14:textFill>
        </w:rPr>
        <w:t>5</w:t>
      </w:r>
    </w:p>
    <w:p w14:paraId="0A43D131">
      <w:pPr>
        <w:pStyle w:val="33"/>
        <w:tabs>
          <w:tab w:val="right" w:leader="dot" w:pos="8844"/>
        </w:tabs>
        <w:spacing w:line="360" w:lineRule="auto"/>
        <w:rPr>
          <w:rFonts w:hint="eastAsia" w:eastAsia="宋体"/>
          <w:color w:val="000000" w:themeColor="text1"/>
          <w:sz w:val="28"/>
          <w:szCs w:val="28"/>
          <w:lang w:eastAsia="zh-CN"/>
          <w14:textFill>
            <w14:solidFill>
              <w14:schemeClr w14:val="tx1"/>
            </w14:solidFill>
          </w14:textFill>
        </w:rPr>
      </w:pPr>
      <w:r>
        <w:rPr>
          <w:rFonts w:hint="eastAsia"/>
          <w:snapToGrid w:val="0"/>
          <w:color w:val="000000" w:themeColor="text1"/>
          <w:sz w:val="28"/>
          <w:szCs w:val="28"/>
          <w14:textFill>
            <w14:solidFill>
              <w14:schemeClr w14:val="tx1"/>
            </w14:solidFill>
          </w14:textFill>
        </w:rPr>
        <w:fldChar w:fldCharType="begin"/>
      </w:r>
      <w:r>
        <w:rPr>
          <w:rFonts w:hint="eastAsia"/>
          <w:snapToGrid w:val="0"/>
          <w:color w:val="000000" w:themeColor="text1"/>
          <w:sz w:val="28"/>
          <w:szCs w:val="28"/>
          <w14:textFill>
            <w14:solidFill>
              <w14:schemeClr w14:val="tx1"/>
            </w14:solidFill>
          </w14:textFill>
        </w:rPr>
        <w:instrText xml:space="preserve">HYPERLINK\l_Toc14905</w:instrText>
      </w:r>
      <w:r>
        <w:rPr>
          <w:rFonts w:hint="eastAsia"/>
          <w:snapToGrid w:val="0"/>
          <w:color w:val="000000" w:themeColor="text1"/>
          <w:sz w:val="28"/>
          <w:szCs w:val="28"/>
          <w14:textFill>
            <w14:solidFill>
              <w14:schemeClr w14:val="tx1"/>
            </w14:solidFill>
          </w14:textFill>
        </w:rPr>
        <w:fldChar w:fldCharType="separate"/>
      </w:r>
      <w:r>
        <w:rPr>
          <w:rFonts w:hint="eastAsia"/>
          <w:snapToGrid w:val="0"/>
          <w:color w:val="000000" w:themeColor="text1"/>
          <w:sz w:val="28"/>
          <w:szCs w:val="28"/>
          <w14:textFill>
            <w14:solidFill>
              <w14:schemeClr w14:val="tx1"/>
            </w14:solidFill>
          </w14:textFill>
        </w:rPr>
        <w:t>六、结论</w:t>
      </w:r>
      <w:r>
        <w:rPr>
          <w:color w:val="000000" w:themeColor="text1"/>
          <w:sz w:val="28"/>
          <w:szCs w:val="28"/>
          <w14:textFill>
            <w14:solidFill>
              <w14:schemeClr w14:val="tx1"/>
            </w14:solidFill>
          </w14:textFill>
        </w:rPr>
        <w:tab/>
      </w:r>
      <w:r>
        <w:rPr>
          <w:rFonts w:hint="eastAsia"/>
          <w:snapToGrid w:val="0"/>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6</w:t>
      </w:r>
      <w:r>
        <w:rPr>
          <w:rFonts w:hint="eastAsia"/>
          <w:color w:val="000000" w:themeColor="text1"/>
          <w:sz w:val="28"/>
          <w:szCs w:val="28"/>
          <w:lang w:val="en-US" w:eastAsia="zh-CN"/>
          <w14:textFill>
            <w14:solidFill>
              <w14:schemeClr w14:val="tx1"/>
            </w14:solidFill>
          </w14:textFill>
        </w:rPr>
        <w:t>7</w:t>
      </w:r>
    </w:p>
    <w:p w14:paraId="66BCEF0F">
      <w:pPr>
        <w:pStyle w:val="33"/>
        <w:tabs>
          <w:tab w:val="right" w:leader="dot" w:pos="8844"/>
        </w:tabs>
        <w:spacing w:line="360" w:lineRule="auto"/>
        <w:rPr>
          <w:rFonts w:hint="eastAsia" w:eastAsia="宋体"/>
          <w:color w:val="000000" w:themeColor="text1"/>
          <w:sz w:val="28"/>
          <w:szCs w:val="28"/>
          <w:lang w:eastAsia="zh-CN"/>
          <w14:textFill>
            <w14:solidFill>
              <w14:schemeClr w14:val="tx1"/>
            </w14:solidFill>
          </w14:textFill>
        </w:rPr>
      </w:pPr>
      <w:r>
        <w:rPr>
          <w:rFonts w:hint="eastAsia"/>
          <w:snapToGrid w:val="0"/>
          <w:color w:val="000000" w:themeColor="text1"/>
          <w:sz w:val="28"/>
          <w:szCs w:val="28"/>
          <w14:textFill>
            <w14:solidFill>
              <w14:schemeClr w14:val="tx1"/>
            </w14:solidFill>
          </w14:textFill>
        </w:rPr>
        <w:fldChar w:fldCharType="begin"/>
      </w:r>
      <w:r>
        <w:rPr>
          <w:rFonts w:hint="eastAsia"/>
          <w:snapToGrid w:val="0"/>
          <w:color w:val="000000" w:themeColor="text1"/>
          <w:sz w:val="28"/>
          <w:szCs w:val="28"/>
          <w14:textFill>
            <w14:solidFill>
              <w14:schemeClr w14:val="tx1"/>
            </w14:solidFill>
          </w14:textFill>
        </w:rPr>
        <w:instrText xml:space="preserve">HYPERLINK\l_Toc26397</w:instrText>
      </w:r>
      <w:r>
        <w:rPr>
          <w:rFonts w:hint="eastAsia"/>
          <w:snapToGrid w:val="0"/>
          <w:color w:val="000000" w:themeColor="text1"/>
          <w:sz w:val="28"/>
          <w:szCs w:val="28"/>
          <w14:textFill>
            <w14:solidFill>
              <w14:schemeClr w14:val="tx1"/>
            </w14:solidFill>
          </w14:textFill>
        </w:rPr>
        <w:fldChar w:fldCharType="separate"/>
      </w:r>
      <w:r>
        <w:rPr>
          <w:rFonts w:hint="eastAsia"/>
          <w:b/>
          <w:bCs/>
          <w:snapToGrid w:val="0"/>
          <w:color w:val="000000" w:themeColor="text1"/>
          <w:sz w:val="28"/>
          <w:szCs w:val="28"/>
          <w14:textFill>
            <w14:solidFill>
              <w14:schemeClr w14:val="tx1"/>
            </w14:solidFill>
          </w14:textFill>
        </w:rPr>
        <w:t>附表</w:t>
      </w:r>
      <w:r>
        <w:rPr>
          <w:color w:val="000000" w:themeColor="text1"/>
          <w:sz w:val="28"/>
          <w:szCs w:val="28"/>
          <w14:textFill>
            <w14:solidFill>
              <w14:schemeClr w14:val="tx1"/>
            </w14:solidFill>
          </w14:textFill>
        </w:rPr>
        <w:tab/>
      </w:r>
      <w:r>
        <w:rPr>
          <w:rFonts w:hint="eastAsia"/>
          <w:snapToGrid w:val="0"/>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6</w:t>
      </w:r>
      <w:r>
        <w:rPr>
          <w:rFonts w:hint="eastAsia"/>
          <w:color w:val="000000" w:themeColor="text1"/>
          <w:sz w:val="28"/>
          <w:szCs w:val="28"/>
          <w:lang w:val="en-US" w:eastAsia="zh-CN"/>
          <w14:textFill>
            <w14:solidFill>
              <w14:schemeClr w14:val="tx1"/>
            </w14:solidFill>
          </w14:textFill>
        </w:rPr>
        <w:t>8</w:t>
      </w:r>
    </w:p>
    <w:p w14:paraId="792BFD5E">
      <w:pPr>
        <w:pStyle w:val="33"/>
        <w:tabs>
          <w:tab w:val="right" w:leader="dot" w:pos="8844"/>
        </w:tabs>
        <w:spacing w:line="360" w:lineRule="auto"/>
        <w:rPr>
          <w:rFonts w:hint="eastAsia" w:eastAsia="宋体"/>
          <w:color w:val="000000" w:themeColor="text1"/>
          <w:lang w:eastAsia="zh-CN"/>
          <w14:textFill>
            <w14:solidFill>
              <w14:schemeClr w14:val="tx1"/>
            </w14:solidFill>
          </w14:textFill>
        </w:rPr>
      </w:pPr>
      <w:r>
        <w:rPr>
          <w:rFonts w:hint="eastAsia"/>
          <w:snapToGrid w:val="0"/>
          <w:color w:val="000000" w:themeColor="text1"/>
          <w:sz w:val="28"/>
          <w:szCs w:val="28"/>
          <w14:textFill>
            <w14:solidFill>
              <w14:schemeClr w14:val="tx1"/>
            </w14:solidFill>
          </w14:textFill>
        </w:rPr>
        <w:fldChar w:fldCharType="begin"/>
      </w:r>
      <w:r>
        <w:rPr>
          <w:rFonts w:hint="eastAsia"/>
          <w:snapToGrid w:val="0"/>
          <w:color w:val="000000" w:themeColor="text1"/>
          <w:sz w:val="28"/>
          <w:szCs w:val="28"/>
          <w14:textFill>
            <w14:solidFill>
              <w14:schemeClr w14:val="tx1"/>
            </w14:solidFill>
          </w14:textFill>
        </w:rPr>
        <w:instrText xml:space="preserve">HYPERLINK\l_Toc19740</w:instrText>
      </w:r>
      <w:r>
        <w:rPr>
          <w:rFonts w:hint="eastAsia"/>
          <w:snapToGrid w:val="0"/>
          <w:color w:val="000000" w:themeColor="text1"/>
          <w:sz w:val="28"/>
          <w:szCs w:val="28"/>
          <w14:textFill>
            <w14:solidFill>
              <w14:schemeClr w14:val="tx1"/>
            </w14:solidFill>
          </w14:textFill>
        </w:rPr>
        <w:fldChar w:fldCharType="separate"/>
      </w:r>
      <w:r>
        <w:rPr>
          <w:rFonts w:hint="eastAsia"/>
          <w:snapToGrid w:val="0"/>
          <w:color w:val="000000" w:themeColor="text1"/>
          <w:sz w:val="28"/>
          <w:szCs w:val="28"/>
          <w14:textFill>
            <w14:solidFill>
              <w14:schemeClr w14:val="tx1"/>
            </w14:solidFill>
          </w14:textFill>
        </w:rPr>
        <w:t>建设项目污染物排放量汇总表</w:t>
      </w:r>
      <w:r>
        <w:rPr>
          <w:color w:val="000000" w:themeColor="text1"/>
          <w:sz w:val="28"/>
          <w:szCs w:val="28"/>
          <w14:textFill>
            <w14:solidFill>
              <w14:schemeClr w14:val="tx1"/>
            </w14:solidFill>
          </w14:textFill>
        </w:rPr>
        <w:tab/>
      </w:r>
      <w:r>
        <w:rPr>
          <w:rFonts w:hint="eastAsia"/>
          <w:snapToGrid w:val="0"/>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6</w:t>
      </w:r>
      <w:r>
        <w:rPr>
          <w:rFonts w:hint="eastAsia"/>
          <w:color w:val="000000" w:themeColor="text1"/>
          <w:sz w:val="28"/>
          <w:szCs w:val="28"/>
          <w:lang w:val="en-US" w:eastAsia="zh-CN"/>
          <w14:textFill>
            <w14:solidFill>
              <w14:schemeClr w14:val="tx1"/>
            </w14:solidFill>
          </w14:textFill>
        </w:rPr>
        <w:t>8</w:t>
      </w:r>
    </w:p>
    <w:p w14:paraId="27A40712">
      <w:pPr>
        <w:pStyle w:val="16"/>
        <w:spacing w:before="0" w:beforeAutospacing="0" w:after="0" w:afterAutospacing="0"/>
        <w:jc w:val="center"/>
        <w:rPr>
          <w:rFonts w:ascii="Times New Roman" w:hAnsi="Times New Roman"/>
          <w:snapToGrid w:val="0"/>
          <w:color w:val="000000" w:themeColor="text1"/>
          <w:szCs w:val="36"/>
          <w14:textFill>
            <w14:solidFill>
              <w14:schemeClr w14:val="tx1"/>
            </w14:solidFill>
          </w14:textFill>
        </w:rPr>
      </w:pPr>
      <w:r>
        <w:rPr>
          <w:rFonts w:hint="eastAsia" w:ascii="Times New Roman" w:hAnsi="Times New Roman"/>
          <w:snapToGrid w:val="0"/>
          <w:color w:val="000000" w:themeColor="text1"/>
          <w:szCs w:val="36"/>
          <w14:textFill>
            <w14:solidFill>
              <w14:schemeClr w14:val="tx1"/>
            </w14:solidFill>
          </w14:textFill>
        </w:rPr>
        <w:fldChar w:fldCharType="end"/>
      </w:r>
    </w:p>
    <w:p w14:paraId="5AB00432">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b/>
          <w:bCs/>
          <w:snapToGrid w:val="0"/>
          <w:color w:val="000000" w:themeColor="text1"/>
          <w:sz w:val="28"/>
          <w:szCs w:val="28"/>
          <w14:textFill>
            <w14:solidFill>
              <w14:schemeClr w14:val="tx1"/>
            </w14:solidFill>
          </w14:textFill>
        </w:rPr>
        <w:t>附件</w:t>
      </w:r>
      <w:r>
        <w:rPr>
          <w:rFonts w:hint="eastAsia" w:ascii="Times New Roman" w:hAnsi="Times New Roman"/>
          <w:snapToGrid w:val="0"/>
          <w:color w:val="000000" w:themeColor="text1"/>
          <w:sz w:val="28"/>
          <w:szCs w:val="28"/>
          <w14:textFill>
            <w14:solidFill>
              <w14:schemeClr w14:val="tx1"/>
            </w14:solidFill>
          </w14:textFill>
        </w:rPr>
        <w:t>：</w:t>
      </w:r>
    </w:p>
    <w:p w14:paraId="2D9DD705">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附件1：委托书</w:t>
      </w:r>
    </w:p>
    <w:p w14:paraId="1B4EA107">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附件2：建设单位营业执照</w:t>
      </w:r>
    </w:p>
    <w:p w14:paraId="32844496">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附件3：法人身份证</w:t>
      </w:r>
    </w:p>
    <w:p w14:paraId="17480D6E">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附件4：云南海潮集团听牧肉牛产业股份有限公司50000只/年肉羊屠宰加工及配送系统技术改造项目备案证</w:t>
      </w:r>
    </w:p>
    <w:p w14:paraId="4237EDC2">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附件5：用地手续</w:t>
      </w:r>
    </w:p>
    <w:p w14:paraId="76A8F92D">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附件6：30000头肉牛屠宰项目影响报告表的批复</w:t>
      </w:r>
    </w:p>
    <w:p w14:paraId="4B6C1B0C">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附件7：10000吨年优质牛肉精深加工配送系统改扩建项目批复</w:t>
      </w:r>
    </w:p>
    <w:p w14:paraId="0D568430">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附件8：10000吨年优质牛肉精深加工配送系统改扩建项目竣工验收监测报告</w:t>
      </w:r>
    </w:p>
    <w:p w14:paraId="4B19DD55">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附件9：活畜交易市场搬迁通知</w:t>
      </w:r>
    </w:p>
    <w:p w14:paraId="3A4CF30D">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附件10：排污许可证</w:t>
      </w:r>
    </w:p>
    <w:p w14:paraId="35150627">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附件11：排污许可证自行监测</w:t>
      </w:r>
    </w:p>
    <w:p w14:paraId="0299C423">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附件12：危险废物处置单位依托协议</w:t>
      </w:r>
    </w:p>
    <w:p w14:paraId="60062E82">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附件13：无害化处理协议</w:t>
      </w:r>
    </w:p>
    <w:p w14:paraId="6833091E">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附件14：牛粪销售合同</w:t>
      </w:r>
    </w:p>
    <w:p w14:paraId="08F1B737">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附件15：项目生态环境管控分区查询结果</w:t>
      </w:r>
    </w:p>
    <w:p w14:paraId="3C0E815D">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附件16：环评报告表编制20问（污染类+生态类）</w:t>
      </w:r>
    </w:p>
    <w:p w14:paraId="13859219">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附件17：</w:t>
      </w:r>
      <w:r>
        <w:rPr>
          <w:rFonts w:ascii="Times New Roman" w:hAnsi="Times New Roman"/>
          <w:snapToGrid w:val="0"/>
          <w:color w:val="000000" w:themeColor="text1"/>
          <w:sz w:val="28"/>
          <w:szCs w:val="28"/>
          <w14:textFill>
            <w14:solidFill>
              <w14:schemeClr w14:val="tx1"/>
            </w14:solidFill>
          </w14:textFill>
        </w:rPr>
        <w:t>现状监测报告</w:t>
      </w:r>
    </w:p>
    <w:p w14:paraId="06427D3C">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附件18：环评合同</w:t>
      </w:r>
    </w:p>
    <w:p w14:paraId="3FCB2A75">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附件19：</w:t>
      </w:r>
      <w:r>
        <w:rPr>
          <w:rFonts w:ascii="Times New Roman" w:hAnsi="Times New Roman"/>
          <w:snapToGrid w:val="0"/>
          <w:color w:val="000000" w:themeColor="text1"/>
          <w:sz w:val="28"/>
          <w:szCs w:val="28"/>
          <w14:textFill>
            <w14:solidFill>
              <w14:schemeClr w14:val="tx1"/>
            </w14:solidFill>
          </w14:textFill>
        </w:rPr>
        <w:t>项目内审单</w:t>
      </w:r>
    </w:p>
    <w:p w14:paraId="0D6AACC3">
      <w:pPr>
        <w:pStyle w:val="16"/>
        <w:spacing w:before="0" w:beforeAutospacing="0" w:after="0" w:afterAutospacing="0" w:line="360" w:lineRule="auto"/>
        <w:jc w:val="both"/>
        <w:rPr>
          <w:rFonts w:hint="default" w:ascii="Times New Roman" w:hAnsi="Times New Roman" w:eastAsia="宋体"/>
          <w:snapToGrid w:val="0"/>
          <w:color w:val="000000" w:themeColor="text1"/>
          <w:sz w:val="28"/>
          <w:szCs w:val="28"/>
          <w:lang w:val="en-US" w:eastAsia="zh-CN"/>
          <w14:textFill>
            <w14:solidFill>
              <w14:schemeClr w14:val="tx1"/>
            </w14:solidFill>
          </w14:textFill>
        </w:rPr>
      </w:pPr>
      <w:r>
        <w:rPr>
          <w:rFonts w:hint="eastAsia" w:ascii="Times New Roman" w:hAnsi="Times New Roman"/>
          <w:snapToGrid w:val="0"/>
          <w:color w:val="000000" w:themeColor="text1"/>
          <w:sz w:val="28"/>
          <w:szCs w:val="28"/>
          <w:lang w:val="en-US" w:eastAsia="zh-CN"/>
          <w14:textFill>
            <w14:solidFill>
              <w14:schemeClr w14:val="tx1"/>
            </w14:solidFill>
          </w14:textFill>
        </w:rPr>
        <w:t>附件20：项目进度管理表</w:t>
      </w:r>
    </w:p>
    <w:p w14:paraId="62553437">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p>
    <w:p w14:paraId="79C11AD6">
      <w:pPr>
        <w:pStyle w:val="16"/>
        <w:spacing w:before="0" w:beforeAutospacing="0" w:after="0" w:afterAutospacing="0" w:line="360" w:lineRule="auto"/>
        <w:jc w:val="both"/>
        <w:rPr>
          <w:rFonts w:ascii="Times New Roman" w:hAnsi="Times New Roman"/>
          <w:b/>
          <w:bCs/>
          <w:snapToGrid w:val="0"/>
          <w:color w:val="000000" w:themeColor="text1"/>
          <w:sz w:val="28"/>
          <w:szCs w:val="28"/>
          <w:highlight w:val="yellow"/>
          <w14:textFill>
            <w14:solidFill>
              <w14:schemeClr w14:val="tx1"/>
            </w14:solidFill>
          </w14:textFill>
        </w:rPr>
      </w:pPr>
      <w:r>
        <w:rPr>
          <w:rFonts w:hint="eastAsia" w:ascii="Times New Roman" w:hAnsi="Times New Roman"/>
          <w:b/>
          <w:bCs/>
          <w:snapToGrid w:val="0"/>
          <w:color w:val="000000" w:themeColor="text1"/>
          <w:sz w:val="28"/>
          <w:szCs w:val="28"/>
          <w14:textFill>
            <w14:solidFill>
              <w14:schemeClr w14:val="tx1"/>
            </w14:solidFill>
          </w14:textFill>
        </w:rPr>
        <w:t>附图</w:t>
      </w:r>
    </w:p>
    <w:p w14:paraId="002F836D">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hint="eastAsia" w:ascii="Times New Roman" w:hAnsi="Times New Roman"/>
          <w:snapToGrid w:val="0"/>
          <w:color w:val="000000" w:themeColor="text1"/>
          <w:sz w:val="28"/>
          <w:szCs w:val="28"/>
          <w14:textFill>
            <w14:solidFill>
              <w14:schemeClr w14:val="tx1"/>
            </w14:solidFill>
          </w14:textFill>
        </w:rPr>
        <w:t>附图1：项目地理位置图</w:t>
      </w:r>
    </w:p>
    <w:p w14:paraId="39D18D7E">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ascii="Times New Roman" w:hAnsi="Times New Roman"/>
          <w:snapToGrid w:val="0"/>
          <w:color w:val="000000" w:themeColor="text1"/>
          <w:sz w:val="28"/>
          <w:szCs w:val="28"/>
          <w14:textFill>
            <w14:solidFill>
              <w14:schemeClr w14:val="tx1"/>
            </w14:solidFill>
          </w14:textFill>
        </w:rPr>
        <w:t>附图2：项目区水系图</w:t>
      </w:r>
    </w:p>
    <w:p w14:paraId="372DEAA6">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ascii="Times New Roman" w:hAnsi="Times New Roman"/>
          <w:snapToGrid w:val="0"/>
          <w:color w:val="000000" w:themeColor="text1"/>
          <w:sz w:val="28"/>
          <w:szCs w:val="28"/>
          <w14:textFill>
            <w14:solidFill>
              <w14:schemeClr w14:val="tx1"/>
            </w14:solidFill>
          </w14:textFill>
        </w:rPr>
        <w:t>附图3：项目</w:t>
      </w:r>
      <w:r>
        <w:rPr>
          <w:rFonts w:hint="eastAsia" w:ascii="Times New Roman" w:hAnsi="Times New Roman"/>
          <w:snapToGrid w:val="0"/>
          <w:color w:val="000000" w:themeColor="text1"/>
          <w:sz w:val="28"/>
          <w:szCs w:val="28"/>
          <w:lang w:val="en-US" w:eastAsia="zh-CN"/>
          <w14:textFill>
            <w14:solidFill>
              <w14:schemeClr w14:val="tx1"/>
            </w14:solidFill>
          </w14:textFill>
        </w:rPr>
        <w:t>屠宰车间</w:t>
      </w:r>
      <w:r>
        <w:rPr>
          <w:rFonts w:ascii="Times New Roman" w:hAnsi="Times New Roman"/>
          <w:snapToGrid w:val="0"/>
          <w:color w:val="000000" w:themeColor="text1"/>
          <w:sz w:val="28"/>
          <w:szCs w:val="28"/>
          <w14:textFill>
            <w14:solidFill>
              <w14:schemeClr w14:val="tx1"/>
            </w14:solidFill>
          </w14:textFill>
        </w:rPr>
        <w:t>平面布置图</w:t>
      </w:r>
    </w:p>
    <w:p w14:paraId="778FBC4A">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ascii="Times New Roman" w:hAnsi="Times New Roman"/>
          <w:snapToGrid w:val="0"/>
          <w:color w:val="000000" w:themeColor="text1"/>
          <w:sz w:val="28"/>
          <w:szCs w:val="28"/>
          <w14:textFill>
            <w14:solidFill>
              <w14:schemeClr w14:val="tx1"/>
            </w14:solidFill>
          </w14:textFill>
        </w:rPr>
        <w:t>附图4：</w:t>
      </w:r>
      <w:r>
        <w:rPr>
          <w:rFonts w:hint="eastAsia" w:ascii="Times New Roman" w:hAnsi="Times New Roman"/>
          <w:snapToGrid w:val="0"/>
          <w:color w:val="000000" w:themeColor="text1"/>
          <w:sz w:val="28"/>
          <w:szCs w:val="28"/>
          <w14:textFill>
            <w14:solidFill>
              <w14:schemeClr w14:val="tx1"/>
            </w14:solidFill>
          </w14:textFill>
        </w:rPr>
        <w:t>厂区</w:t>
      </w:r>
      <w:r>
        <w:rPr>
          <w:rFonts w:hint="eastAsia" w:ascii="Times New Roman" w:hAnsi="Times New Roman"/>
          <w:snapToGrid w:val="0"/>
          <w:color w:val="000000" w:themeColor="text1"/>
          <w:sz w:val="28"/>
          <w:szCs w:val="28"/>
          <w:lang w:val="en-US" w:eastAsia="zh-CN"/>
          <w14:textFill>
            <w14:solidFill>
              <w14:schemeClr w14:val="tx1"/>
            </w14:solidFill>
          </w14:textFill>
        </w:rPr>
        <w:t>总</w:t>
      </w:r>
      <w:r>
        <w:rPr>
          <w:rFonts w:hint="eastAsia" w:ascii="Times New Roman" w:hAnsi="Times New Roman"/>
          <w:snapToGrid w:val="0"/>
          <w:color w:val="000000" w:themeColor="text1"/>
          <w:sz w:val="28"/>
          <w:szCs w:val="28"/>
          <w14:textFill>
            <w14:solidFill>
              <w14:schemeClr w14:val="tx1"/>
            </w14:solidFill>
          </w14:textFill>
        </w:rPr>
        <w:t>平面布置图</w:t>
      </w:r>
    </w:p>
    <w:p w14:paraId="603768DA">
      <w:pPr>
        <w:pStyle w:val="16"/>
        <w:spacing w:before="0" w:beforeAutospacing="0" w:after="0" w:afterAutospacing="0" w:line="360" w:lineRule="auto"/>
        <w:jc w:val="both"/>
        <w:rPr>
          <w:rFonts w:ascii="Times New Roman" w:hAnsi="Times New Roman"/>
          <w:snapToGrid w:val="0"/>
          <w:color w:val="000000" w:themeColor="text1"/>
          <w:sz w:val="28"/>
          <w:szCs w:val="28"/>
          <w14:textFill>
            <w14:solidFill>
              <w14:schemeClr w14:val="tx1"/>
            </w14:solidFill>
          </w14:textFill>
        </w:rPr>
      </w:pPr>
      <w:r>
        <w:rPr>
          <w:rFonts w:ascii="Times New Roman" w:hAnsi="Times New Roman"/>
          <w:snapToGrid w:val="0"/>
          <w:color w:val="000000" w:themeColor="text1"/>
          <w:sz w:val="28"/>
          <w:szCs w:val="28"/>
          <w14:textFill>
            <w14:solidFill>
              <w14:schemeClr w14:val="tx1"/>
            </w14:solidFill>
          </w14:textFill>
        </w:rPr>
        <w:t>附图5：项目周边关系图</w:t>
      </w:r>
    </w:p>
    <w:p w14:paraId="30EB2FD9">
      <w:pPr>
        <w:pStyle w:val="16"/>
        <w:spacing w:before="0" w:beforeAutospacing="0" w:after="0" w:afterAutospacing="0" w:line="360" w:lineRule="auto"/>
        <w:jc w:val="both"/>
        <w:rPr>
          <w:rFonts w:hint="default" w:ascii="Times New Roman" w:hAnsi="Times New Roman" w:eastAsia="宋体"/>
          <w:snapToGrid w:val="0"/>
          <w:color w:val="000000" w:themeColor="text1"/>
          <w:sz w:val="28"/>
          <w:szCs w:val="28"/>
          <w:lang w:val="en-US" w:eastAsia="zh-CN"/>
          <w14:textFill>
            <w14:solidFill>
              <w14:schemeClr w14:val="tx1"/>
            </w14:solidFill>
          </w14:textFill>
        </w:rPr>
      </w:pPr>
      <w:r>
        <w:rPr>
          <w:rFonts w:ascii="Times New Roman" w:hAnsi="Times New Roman"/>
          <w:snapToGrid w:val="0"/>
          <w:color w:val="000000" w:themeColor="text1"/>
          <w:sz w:val="28"/>
          <w:szCs w:val="28"/>
          <w14:textFill>
            <w14:solidFill>
              <w14:schemeClr w14:val="tx1"/>
            </w14:solidFill>
          </w14:textFill>
        </w:rPr>
        <w:t>附图6：</w:t>
      </w:r>
      <w:r>
        <w:rPr>
          <w:rFonts w:hint="eastAsia" w:ascii="Times New Roman" w:hAnsi="Times New Roman"/>
          <w:snapToGrid w:val="0"/>
          <w:color w:val="000000" w:themeColor="text1"/>
          <w:sz w:val="28"/>
          <w:szCs w:val="28"/>
          <w:lang w:val="en-US" w:eastAsia="zh-CN"/>
          <w14:textFill>
            <w14:solidFill>
              <w14:schemeClr w14:val="tx1"/>
            </w14:solidFill>
          </w14:textFill>
        </w:rPr>
        <w:t>项目雨污管网图</w:t>
      </w:r>
    </w:p>
    <w:p w14:paraId="48BE6AB5">
      <w:pPr>
        <w:pStyle w:val="16"/>
        <w:spacing w:before="0" w:beforeAutospacing="0" w:after="0" w:afterAutospacing="0" w:line="360" w:lineRule="auto"/>
        <w:jc w:val="both"/>
        <w:rPr>
          <w:rFonts w:ascii="Times New Roman" w:hAnsi="Times New Roman"/>
          <w:snapToGrid w:val="0"/>
          <w:color w:val="000000" w:themeColor="text1"/>
          <w:szCs w:val="36"/>
          <w14:textFill>
            <w14:solidFill>
              <w14:schemeClr w14:val="tx1"/>
            </w14:solidFill>
          </w14:textFill>
        </w:rPr>
      </w:pPr>
      <w:r>
        <w:rPr>
          <w:rFonts w:ascii="Times New Roman" w:hAnsi="Times New Roman"/>
          <w:snapToGrid w:val="0"/>
          <w:color w:val="000000" w:themeColor="text1"/>
          <w:sz w:val="28"/>
          <w:szCs w:val="28"/>
          <w14:textFill>
            <w14:solidFill>
              <w14:schemeClr w14:val="tx1"/>
            </w14:solidFill>
          </w14:textFill>
        </w:rPr>
        <w:t>附图</w:t>
      </w:r>
      <w:r>
        <w:rPr>
          <w:rFonts w:hint="eastAsia" w:ascii="Times New Roman" w:hAnsi="Times New Roman"/>
          <w:snapToGrid w:val="0"/>
          <w:color w:val="000000" w:themeColor="text1"/>
          <w:sz w:val="28"/>
          <w:szCs w:val="28"/>
          <w:lang w:val="en-US" w:eastAsia="zh-CN"/>
          <w14:textFill>
            <w14:solidFill>
              <w14:schemeClr w14:val="tx1"/>
            </w14:solidFill>
          </w14:textFill>
        </w:rPr>
        <w:t>7</w:t>
      </w:r>
      <w:r>
        <w:rPr>
          <w:rFonts w:ascii="Times New Roman" w:hAnsi="Times New Roman"/>
          <w:snapToGrid w:val="0"/>
          <w:color w:val="000000" w:themeColor="text1"/>
          <w:sz w:val="28"/>
          <w:szCs w:val="28"/>
          <w14:textFill>
            <w14:solidFill>
              <w14:schemeClr w14:val="tx1"/>
            </w14:solidFill>
          </w14:textFill>
        </w:rPr>
        <w:t>：现状监测点位图</w:t>
      </w:r>
    </w:p>
    <w:p w14:paraId="728AD512">
      <w:pPr>
        <w:pStyle w:val="16"/>
        <w:spacing w:before="0" w:beforeAutospacing="0" w:after="0" w:afterAutospacing="0"/>
        <w:jc w:val="center"/>
        <w:rPr>
          <w:rFonts w:ascii="Times New Roman" w:hAnsi="Times New Roman"/>
          <w:snapToGrid w:val="0"/>
          <w:color w:val="000000" w:themeColor="text1"/>
          <w:szCs w:val="36"/>
          <w14:textFill>
            <w14:solidFill>
              <w14:schemeClr w14:val="tx1"/>
            </w14:solidFill>
          </w14:textFill>
        </w:rPr>
      </w:pPr>
    </w:p>
    <w:p w14:paraId="531CF82B">
      <w:pPr>
        <w:pStyle w:val="16"/>
        <w:spacing w:before="0" w:beforeAutospacing="0" w:after="0" w:afterAutospacing="0"/>
        <w:jc w:val="center"/>
        <w:rPr>
          <w:rFonts w:ascii="Times New Roman" w:hAnsi="Times New Roman"/>
          <w:snapToGrid w:val="0"/>
          <w:color w:val="000000" w:themeColor="text1"/>
          <w:szCs w:val="36"/>
          <w14:textFill>
            <w14:solidFill>
              <w14:schemeClr w14:val="tx1"/>
            </w14:solidFill>
          </w14:textFill>
        </w:rPr>
        <w:sectPr>
          <w:footerReference r:id="rId6" w:type="default"/>
          <w:pgSz w:w="11906" w:h="16838"/>
          <w:pgMar w:top="1701" w:right="1531" w:bottom="1701" w:left="1531" w:header="851" w:footer="1077" w:gutter="0"/>
          <w:pgNumType w:start="1"/>
          <w:cols w:space="720" w:num="1"/>
          <w:docGrid w:linePitch="312" w:charSpace="0"/>
        </w:sectPr>
      </w:pPr>
    </w:p>
    <w:p w14:paraId="1969615D">
      <w:pPr>
        <w:pStyle w:val="16"/>
        <w:spacing w:before="0" w:beforeAutospacing="0" w:after="0" w:afterAutospacing="0"/>
        <w:jc w:val="center"/>
        <w:outlineLvl w:val="0"/>
        <w:rPr>
          <w:rFonts w:ascii="Times New Roman" w:hAnsi="Times New Roman"/>
          <w:snapToGrid w:val="0"/>
          <w:color w:val="000000" w:themeColor="text1"/>
          <w:sz w:val="36"/>
          <w:szCs w:val="36"/>
          <w14:textFill>
            <w14:solidFill>
              <w14:schemeClr w14:val="tx1"/>
            </w14:solidFill>
          </w14:textFill>
        </w:rPr>
      </w:pPr>
      <w:bookmarkStart w:id="3" w:name="_Toc28432"/>
      <w:r>
        <w:rPr>
          <w:rFonts w:hint="eastAsia" w:ascii="Times New Roman" w:hAnsi="Times New Roman"/>
          <w:snapToGrid w:val="0"/>
          <w:color w:val="000000" w:themeColor="text1"/>
          <w:sz w:val="36"/>
          <w:szCs w:val="36"/>
          <w14:textFill>
            <w14:solidFill>
              <w14:schemeClr w14:val="tx1"/>
            </w14:solidFill>
          </w14:textFill>
        </w:rPr>
        <w:t>一、建设项目基本情况</w:t>
      </w:r>
      <w:bookmarkEnd w:id="3"/>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78"/>
        <w:gridCol w:w="2301"/>
        <w:gridCol w:w="1824"/>
        <w:gridCol w:w="3667"/>
      </w:tblGrid>
      <w:tr w14:paraId="50D99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7AC8FB28">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建设项目名称</w:t>
            </w:r>
          </w:p>
        </w:tc>
        <w:tc>
          <w:tcPr>
            <w:tcW w:w="7792" w:type="dxa"/>
            <w:gridSpan w:val="3"/>
            <w:vAlign w:val="center"/>
          </w:tcPr>
          <w:p w14:paraId="0B582D96">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云南海潮集团听牧肉牛产业股份有限公司50000只/年肉羊屠宰加工及配送系统技术改造项目</w:t>
            </w:r>
          </w:p>
        </w:tc>
      </w:tr>
      <w:tr w14:paraId="0942E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468E4D93">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项目代码</w:t>
            </w:r>
          </w:p>
        </w:tc>
        <w:tc>
          <w:tcPr>
            <w:tcW w:w="7792" w:type="dxa"/>
            <w:gridSpan w:val="3"/>
            <w:vAlign w:val="center"/>
          </w:tcPr>
          <w:p w14:paraId="5C42C9C1">
            <w:pPr>
              <w:adjustRightInd w:val="0"/>
              <w:snapToGrid w:val="0"/>
              <w:jc w:val="center"/>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w:t>
            </w:r>
          </w:p>
        </w:tc>
      </w:tr>
      <w:tr w14:paraId="040D9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6730AD9B">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建设单位联系人</w:t>
            </w:r>
          </w:p>
        </w:tc>
        <w:tc>
          <w:tcPr>
            <w:tcW w:w="2301" w:type="dxa"/>
            <w:vAlign w:val="center"/>
          </w:tcPr>
          <w:p w14:paraId="51810234">
            <w:pPr>
              <w:adjustRightInd w:val="0"/>
              <w:snapToGrid w:val="0"/>
              <w:jc w:val="center"/>
              <w:rPr>
                <w:rFonts w:hint="eastAsia" w:eastAsia="宋体" w:cs="宋体"/>
                <w:color w:val="000000" w:themeColor="text1"/>
                <w:sz w:val="24"/>
                <w:lang w:eastAsia="zh-CN"/>
                <w14:textFill>
                  <w14:solidFill>
                    <w14:schemeClr w14:val="tx1"/>
                  </w14:solidFill>
                </w14:textFill>
              </w:rPr>
            </w:pPr>
            <w:r>
              <w:rPr>
                <w:rFonts w:hint="eastAsia"/>
                <w:sz w:val="24"/>
                <w:lang w:val="en-US" w:eastAsia="zh-CN"/>
              </w:rPr>
              <w:t>/</w:t>
            </w:r>
          </w:p>
        </w:tc>
        <w:tc>
          <w:tcPr>
            <w:tcW w:w="1824" w:type="dxa"/>
            <w:vAlign w:val="center"/>
          </w:tcPr>
          <w:p w14:paraId="5D3E5822">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联系方式</w:t>
            </w:r>
          </w:p>
        </w:tc>
        <w:tc>
          <w:tcPr>
            <w:tcW w:w="3667" w:type="dxa"/>
            <w:vAlign w:val="center"/>
          </w:tcPr>
          <w:p w14:paraId="3BC808FD">
            <w:pPr>
              <w:adjustRightInd w:val="0"/>
              <w:snapToGrid w:val="0"/>
              <w:jc w:val="center"/>
              <w:rPr>
                <w:rFonts w:hint="eastAsia" w:eastAsia="宋体" w:cs="宋体"/>
                <w:color w:val="000000" w:themeColor="text1"/>
                <w:sz w:val="24"/>
                <w:lang w:eastAsia="zh-CN"/>
                <w14:textFill>
                  <w14:solidFill>
                    <w14:schemeClr w14:val="tx1"/>
                  </w14:solidFill>
                </w14:textFill>
              </w:rPr>
            </w:pPr>
            <w:r>
              <w:rPr>
                <w:rFonts w:hint="eastAsia"/>
                <w:sz w:val="24"/>
                <w:lang w:val="en-US" w:eastAsia="zh-CN"/>
              </w:rPr>
              <w:t>/</w:t>
            </w:r>
          </w:p>
        </w:tc>
      </w:tr>
      <w:tr w14:paraId="789DF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184C9B69">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建设地点</w:t>
            </w:r>
          </w:p>
        </w:tc>
        <w:tc>
          <w:tcPr>
            <w:tcW w:w="7792" w:type="dxa"/>
            <w:gridSpan w:val="3"/>
            <w:vAlign w:val="center"/>
          </w:tcPr>
          <w:p w14:paraId="4DF2D9E5">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云南省昆明市寻甸县羊街镇龙池村</w:t>
            </w:r>
          </w:p>
        </w:tc>
      </w:tr>
      <w:tr w14:paraId="66490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5FE72AEA">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地理坐标</w:t>
            </w:r>
          </w:p>
        </w:tc>
        <w:tc>
          <w:tcPr>
            <w:tcW w:w="7792" w:type="dxa"/>
            <w:gridSpan w:val="3"/>
            <w:vAlign w:val="center"/>
          </w:tcPr>
          <w:p w14:paraId="42663696">
            <w:pPr>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（103度08分01.726秒，25度26分47.729秒）</w:t>
            </w:r>
          </w:p>
        </w:tc>
      </w:tr>
      <w:tr w14:paraId="65844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19D2BE0B">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国民经济行业类别</w:t>
            </w:r>
          </w:p>
        </w:tc>
        <w:tc>
          <w:tcPr>
            <w:tcW w:w="2301" w:type="dxa"/>
            <w:vAlign w:val="center"/>
          </w:tcPr>
          <w:p w14:paraId="44D15E33">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C135屠宰及肉类加工</w:t>
            </w:r>
          </w:p>
        </w:tc>
        <w:tc>
          <w:tcPr>
            <w:tcW w:w="1824" w:type="dxa"/>
            <w:vAlign w:val="center"/>
          </w:tcPr>
          <w:p w14:paraId="2F1798D4">
            <w:pPr>
              <w:adjustRightInd w:val="0"/>
              <w:snapToGrid w:val="0"/>
              <w:jc w:val="center"/>
              <w:rPr>
                <w:rFonts w:cs="宋体"/>
                <w:color w:val="000000" w:themeColor="text1"/>
                <w:sz w:val="24"/>
                <w14:textFill>
                  <w14:solidFill>
                    <w14:schemeClr w14:val="tx1"/>
                  </w14:solidFill>
                </w14:textFill>
              </w:rPr>
            </w:pPr>
            <w:bookmarkStart w:id="4" w:name="_Hlk49843745"/>
            <w:r>
              <w:rPr>
                <w:rFonts w:hint="eastAsia" w:cs="宋体"/>
                <w:color w:val="000000" w:themeColor="text1"/>
                <w:sz w:val="24"/>
                <w14:textFill>
                  <w14:solidFill>
                    <w14:schemeClr w14:val="tx1"/>
                  </w14:solidFill>
                </w14:textFill>
              </w:rPr>
              <w:t>建设项目行业类别</w:t>
            </w:r>
            <w:bookmarkEnd w:id="4"/>
          </w:p>
        </w:tc>
        <w:tc>
          <w:tcPr>
            <w:tcW w:w="3667" w:type="dxa"/>
            <w:vAlign w:val="center"/>
          </w:tcPr>
          <w:p w14:paraId="374ECFBD">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十、农副食品加工业</w:t>
            </w:r>
            <w:r>
              <w:rPr>
                <w:rFonts w:hint="eastAsia" w:cs="宋体"/>
                <w:color w:val="000000" w:themeColor="text1"/>
                <w:sz w:val="24"/>
                <w:lang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18</w:t>
            </w:r>
            <w:r>
              <w:rPr>
                <w:rFonts w:hint="eastAsia" w:cs="宋体"/>
                <w:color w:val="000000" w:themeColor="text1"/>
                <w:sz w:val="24"/>
                <w14:textFill>
                  <w14:solidFill>
                    <w14:schemeClr w14:val="tx1"/>
                  </w14:solidFill>
                </w14:textFill>
              </w:rPr>
              <w:t>屠宰及肉类加工135（其他屠宰；年加工2万吨及以上的肉类加工）</w:t>
            </w:r>
          </w:p>
        </w:tc>
      </w:tr>
      <w:tr w14:paraId="1002E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1F9EA236">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建设性质</w:t>
            </w:r>
          </w:p>
        </w:tc>
        <w:tc>
          <w:tcPr>
            <w:tcW w:w="2301" w:type="dxa"/>
            <w:vAlign w:val="center"/>
          </w:tcPr>
          <w:p w14:paraId="23C1C29E">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□新建（迁建）</w:t>
            </w:r>
          </w:p>
          <w:p w14:paraId="5B53E86F">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☑改建</w:t>
            </w:r>
          </w:p>
          <w:p w14:paraId="3D08DDA4">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□扩建</w:t>
            </w:r>
          </w:p>
          <w:p w14:paraId="182BA4F6">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□技术改造</w:t>
            </w:r>
          </w:p>
        </w:tc>
        <w:tc>
          <w:tcPr>
            <w:tcW w:w="1824" w:type="dxa"/>
            <w:vAlign w:val="center"/>
          </w:tcPr>
          <w:p w14:paraId="5D6436AD">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建设项目申报情形</w:t>
            </w:r>
          </w:p>
        </w:tc>
        <w:tc>
          <w:tcPr>
            <w:tcW w:w="3667" w:type="dxa"/>
            <w:vAlign w:val="center"/>
          </w:tcPr>
          <w:p w14:paraId="6892655C">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52"/>
            </w:r>
            <w:r>
              <w:rPr>
                <w:rFonts w:hint="eastAsia" w:cs="宋体"/>
                <w:color w:val="000000" w:themeColor="text1"/>
                <w:sz w:val="24"/>
                <w14:textFill>
                  <w14:solidFill>
                    <w14:schemeClr w14:val="tx1"/>
                  </w14:solidFill>
                </w14:textFill>
              </w:rPr>
              <w:t>首次申报项目</w:t>
            </w:r>
          </w:p>
          <w:p w14:paraId="53476472">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□不予批准后再次申报项目</w:t>
            </w:r>
          </w:p>
          <w:p w14:paraId="74E54413">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超五年重新审核项目</w:t>
            </w:r>
          </w:p>
          <w:p w14:paraId="1A7184DD">
            <w:pPr>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□重大变动重新报批项目</w:t>
            </w:r>
          </w:p>
        </w:tc>
      </w:tr>
      <w:tr w14:paraId="3C127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5A0FA5F8">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项目审批（核准</w:t>
            </w:r>
            <w:r>
              <w:rPr>
                <w:rFonts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备案）部门（选填）</w:t>
            </w:r>
          </w:p>
        </w:tc>
        <w:tc>
          <w:tcPr>
            <w:tcW w:w="2301" w:type="dxa"/>
            <w:vAlign w:val="center"/>
          </w:tcPr>
          <w:p w14:paraId="255F08B7">
            <w:pPr>
              <w:adjustRightInd w:val="0"/>
              <w:snapToGrid w:val="0"/>
              <w:jc w:val="center"/>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w:t>
            </w:r>
          </w:p>
        </w:tc>
        <w:tc>
          <w:tcPr>
            <w:tcW w:w="1824" w:type="dxa"/>
            <w:vAlign w:val="center"/>
          </w:tcPr>
          <w:p w14:paraId="49DE245B">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项目审批（核准</w:t>
            </w:r>
            <w:r>
              <w:rPr>
                <w:rFonts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备案）文号（选填）</w:t>
            </w:r>
          </w:p>
        </w:tc>
        <w:tc>
          <w:tcPr>
            <w:tcW w:w="3667" w:type="dxa"/>
            <w:vAlign w:val="center"/>
          </w:tcPr>
          <w:p w14:paraId="6A2582A9">
            <w:pPr>
              <w:adjustRightInd w:val="0"/>
              <w:snapToGrid w:val="0"/>
              <w:jc w:val="center"/>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w:t>
            </w:r>
          </w:p>
        </w:tc>
      </w:tr>
      <w:tr w14:paraId="45507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2AA4883C">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总投资（万元）</w:t>
            </w:r>
          </w:p>
        </w:tc>
        <w:tc>
          <w:tcPr>
            <w:tcW w:w="2301" w:type="dxa"/>
            <w:vAlign w:val="center"/>
          </w:tcPr>
          <w:p w14:paraId="050B3992">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515.44</w:t>
            </w:r>
          </w:p>
        </w:tc>
        <w:tc>
          <w:tcPr>
            <w:tcW w:w="1824" w:type="dxa"/>
            <w:tcMar>
              <w:top w:w="16" w:type="dxa"/>
              <w:left w:w="16" w:type="dxa"/>
              <w:right w:w="16" w:type="dxa"/>
            </w:tcMar>
            <w:vAlign w:val="center"/>
          </w:tcPr>
          <w:p w14:paraId="1AAC4C5D">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环保投资（万元）</w:t>
            </w:r>
          </w:p>
        </w:tc>
        <w:tc>
          <w:tcPr>
            <w:tcW w:w="3667" w:type="dxa"/>
            <w:vAlign w:val="center"/>
          </w:tcPr>
          <w:p w14:paraId="5EFA59B6">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23</w:t>
            </w:r>
          </w:p>
        </w:tc>
      </w:tr>
      <w:tr w14:paraId="3F159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3A19B2E2">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环保投资占比（</w:t>
            </w:r>
            <w:r>
              <w:rPr>
                <w:rFonts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p>
        </w:tc>
        <w:tc>
          <w:tcPr>
            <w:tcW w:w="2301" w:type="dxa"/>
            <w:vAlign w:val="center"/>
          </w:tcPr>
          <w:p w14:paraId="06F0677D">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4.46%</w:t>
            </w:r>
          </w:p>
        </w:tc>
        <w:tc>
          <w:tcPr>
            <w:tcW w:w="1824" w:type="dxa"/>
            <w:tcMar>
              <w:top w:w="16" w:type="dxa"/>
              <w:left w:w="16" w:type="dxa"/>
              <w:right w:w="16" w:type="dxa"/>
            </w:tcMar>
            <w:vAlign w:val="center"/>
          </w:tcPr>
          <w:p w14:paraId="4FBEE2A7">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施工工期</w:t>
            </w:r>
          </w:p>
        </w:tc>
        <w:tc>
          <w:tcPr>
            <w:tcW w:w="3667" w:type="dxa"/>
            <w:vAlign w:val="center"/>
          </w:tcPr>
          <w:p w14:paraId="6909FC01">
            <w:pPr>
              <w:adjustRightInd w:val="0"/>
              <w:snapToGrid w:val="0"/>
              <w:jc w:val="center"/>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w:t>
            </w:r>
          </w:p>
        </w:tc>
      </w:tr>
      <w:tr w14:paraId="7FBBD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8" w:type="dxa"/>
            <w:tcMar>
              <w:top w:w="16" w:type="dxa"/>
              <w:left w:w="16" w:type="dxa"/>
              <w:right w:w="16" w:type="dxa"/>
            </w:tcMar>
            <w:vAlign w:val="center"/>
          </w:tcPr>
          <w:p w14:paraId="3B1A7CC2">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是否开工建设</w:t>
            </w:r>
          </w:p>
        </w:tc>
        <w:tc>
          <w:tcPr>
            <w:tcW w:w="2301" w:type="dxa"/>
            <w:vAlign w:val="center"/>
          </w:tcPr>
          <w:p w14:paraId="0230F433">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52"/>
            </w:r>
            <w:r>
              <w:rPr>
                <w:rFonts w:hint="eastAsia" w:cs="宋体"/>
                <w:color w:val="000000" w:themeColor="text1"/>
                <w:sz w:val="24"/>
                <w14:textFill>
                  <w14:solidFill>
                    <w14:schemeClr w14:val="tx1"/>
                  </w14:solidFill>
                </w14:textFill>
              </w:rPr>
              <w:t>否</w:t>
            </w:r>
          </w:p>
          <w:p w14:paraId="2B14F436">
            <w:pPr>
              <w:adjustRightInd w:val="0"/>
              <w:snapToGrid w:val="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sym w:font="Wingdings 2" w:char="00A3"/>
            </w:r>
            <w:r>
              <w:rPr>
                <w:rFonts w:hint="eastAsia" w:cs="宋体"/>
                <w:color w:val="000000" w:themeColor="text1"/>
                <w:sz w:val="24"/>
                <w14:textFill>
                  <w14:solidFill>
                    <w14:schemeClr w14:val="tx1"/>
                  </w14:solidFill>
                </w14:textFill>
              </w:rPr>
              <w:t>是：</w:t>
            </w:r>
          </w:p>
        </w:tc>
        <w:tc>
          <w:tcPr>
            <w:tcW w:w="1824" w:type="dxa"/>
            <w:tcMar>
              <w:top w:w="16" w:type="dxa"/>
              <w:left w:w="16" w:type="dxa"/>
              <w:right w:w="16" w:type="dxa"/>
            </w:tcMar>
            <w:vAlign w:val="center"/>
          </w:tcPr>
          <w:p w14:paraId="5DE9917C">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pacing w:val="-6"/>
                <w:sz w:val="24"/>
                <w14:textFill>
                  <w14:solidFill>
                    <w14:schemeClr w14:val="tx1"/>
                  </w14:solidFill>
                </w14:textFill>
              </w:rPr>
              <w:t>用地（用海）面积（</w:t>
            </w:r>
            <w:r>
              <w:rPr>
                <w:rFonts w:cs="宋体"/>
                <w:color w:val="000000" w:themeColor="text1"/>
                <w:spacing w:val="-6"/>
                <w:sz w:val="24"/>
                <w14:textFill>
                  <w14:solidFill>
                    <w14:schemeClr w14:val="tx1"/>
                  </w14:solidFill>
                </w14:textFill>
              </w:rPr>
              <w:t>m</w:t>
            </w:r>
            <w:r>
              <w:rPr>
                <w:rFonts w:cs="宋体"/>
                <w:color w:val="000000" w:themeColor="text1"/>
                <w:spacing w:val="-6"/>
                <w:sz w:val="24"/>
                <w:vertAlign w:val="superscript"/>
                <w14:textFill>
                  <w14:solidFill>
                    <w14:schemeClr w14:val="tx1"/>
                  </w14:solidFill>
                </w14:textFill>
              </w:rPr>
              <w:t>2</w:t>
            </w:r>
            <w:r>
              <w:rPr>
                <w:rFonts w:hint="eastAsia" w:cs="宋体"/>
                <w:color w:val="000000" w:themeColor="text1"/>
                <w:spacing w:val="-6"/>
                <w:sz w:val="24"/>
                <w14:textFill>
                  <w14:solidFill>
                    <w14:schemeClr w14:val="tx1"/>
                  </w14:solidFill>
                </w14:textFill>
              </w:rPr>
              <w:t>）</w:t>
            </w:r>
          </w:p>
        </w:tc>
        <w:tc>
          <w:tcPr>
            <w:tcW w:w="3667" w:type="dxa"/>
            <w:vAlign w:val="center"/>
          </w:tcPr>
          <w:p w14:paraId="647F3908">
            <w:pPr>
              <w:adjustRightInd w:val="0"/>
              <w:snapToGrid w:val="0"/>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2314m</w:t>
            </w:r>
            <w:r>
              <w:rPr>
                <w:rFonts w:hint="eastAsia" w:cs="宋体"/>
                <w:color w:val="000000" w:themeColor="text1"/>
                <w:sz w:val="24"/>
                <w:vertAlign w:val="superscript"/>
                <w14:textFill>
                  <w14:solidFill>
                    <w14:schemeClr w14:val="tx1"/>
                  </w14:solidFill>
                </w14:textFill>
              </w:rPr>
              <w:t>2</w:t>
            </w:r>
          </w:p>
        </w:tc>
      </w:tr>
      <w:tr w14:paraId="6ECC1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8" w:type="dxa"/>
            <w:vAlign w:val="center"/>
          </w:tcPr>
          <w:p w14:paraId="6393F092">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专项评价设置情况</w:t>
            </w:r>
          </w:p>
        </w:tc>
        <w:tc>
          <w:tcPr>
            <w:tcW w:w="7792" w:type="dxa"/>
            <w:gridSpan w:val="3"/>
            <w:vAlign w:val="center"/>
          </w:tcPr>
          <w:p w14:paraId="3D80FE0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根据《建设项目环境影响报告表编制技术指南（污染影响类）》（试行）中表1确定是否设置项目专项评价。</w:t>
            </w:r>
          </w:p>
          <w:p w14:paraId="189F6A4E">
            <w:pPr>
              <w:pStyle w:val="30"/>
              <w:rPr>
                <w:rFonts w:hint="default"/>
                <w:highlight w:val="none"/>
              </w:rPr>
            </w:pPr>
            <w:r>
              <w:rPr>
                <w:rFonts w:hint="default"/>
                <w:highlight w:val="none"/>
              </w:rPr>
              <w:t>表1-1专项评价设置原则表</w:t>
            </w:r>
          </w:p>
          <w:tbl>
            <w:tblPr>
              <w:tblStyle w:val="20"/>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6"/>
              <w:gridCol w:w="2603"/>
              <w:gridCol w:w="3360"/>
              <w:gridCol w:w="924"/>
            </w:tblGrid>
            <w:tr w14:paraId="53E5E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 w:hRule="atLeast"/>
              </w:trPr>
              <w:tc>
                <w:tcPr>
                  <w:tcW w:w="441" w:type="pct"/>
                  <w:tcBorders>
                    <w:bottom w:val="single" w:color="000000" w:sz="4" w:space="0"/>
                    <w:right w:val="single" w:color="000000" w:sz="4" w:space="0"/>
                  </w:tcBorders>
                  <w:vAlign w:val="center"/>
                </w:tcPr>
                <w:p w14:paraId="36BDF88B">
                  <w:pPr>
                    <w:pStyle w:val="28"/>
                    <w:rPr>
                      <w:b/>
                      <w:bCs/>
                      <w:highlight w:val="none"/>
                    </w:rPr>
                  </w:pPr>
                  <w:r>
                    <w:rPr>
                      <w:b/>
                      <w:bCs/>
                      <w:highlight w:val="none"/>
                    </w:rPr>
                    <w:t>专项评价的类别</w:t>
                  </w:r>
                </w:p>
              </w:tc>
              <w:tc>
                <w:tcPr>
                  <w:tcW w:w="1723" w:type="pct"/>
                  <w:tcBorders>
                    <w:left w:val="single" w:color="000000" w:sz="4" w:space="0"/>
                    <w:bottom w:val="single" w:color="000000" w:sz="4" w:space="0"/>
                  </w:tcBorders>
                  <w:vAlign w:val="center"/>
                </w:tcPr>
                <w:p w14:paraId="30F4CDE7">
                  <w:pPr>
                    <w:pStyle w:val="28"/>
                    <w:rPr>
                      <w:b/>
                      <w:bCs/>
                      <w:highlight w:val="none"/>
                    </w:rPr>
                  </w:pPr>
                  <w:r>
                    <w:rPr>
                      <w:b/>
                      <w:bCs/>
                      <w:highlight w:val="none"/>
                    </w:rPr>
                    <w:t>设置原则</w:t>
                  </w:r>
                </w:p>
              </w:tc>
              <w:tc>
                <w:tcPr>
                  <w:tcW w:w="2224" w:type="pct"/>
                  <w:tcBorders>
                    <w:left w:val="single" w:color="000000" w:sz="4" w:space="0"/>
                    <w:bottom w:val="single" w:color="000000" w:sz="4" w:space="0"/>
                  </w:tcBorders>
                  <w:vAlign w:val="center"/>
                </w:tcPr>
                <w:p w14:paraId="3A8BF5DA">
                  <w:pPr>
                    <w:pStyle w:val="28"/>
                    <w:rPr>
                      <w:b/>
                      <w:bCs/>
                      <w:highlight w:val="none"/>
                    </w:rPr>
                  </w:pPr>
                  <w:r>
                    <w:rPr>
                      <w:b/>
                      <w:bCs/>
                      <w:highlight w:val="none"/>
                    </w:rPr>
                    <w:t>本项目情况</w:t>
                  </w:r>
                </w:p>
              </w:tc>
              <w:tc>
                <w:tcPr>
                  <w:tcW w:w="609" w:type="pct"/>
                  <w:tcBorders>
                    <w:left w:val="single" w:color="000000" w:sz="4" w:space="0"/>
                    <w:bottom w:val="single" w:color="000000" w:sz="4" w:space="0"/>
                  </w:tcBorders>
                  <w:vAlign w:val="center"/>
                </w:tcPr>
                <w:p w14:paraId="26638B5B">
                  <w:pPr>
                    <w:pStyle w:val="28"/>
                    <w:rPr>
                      <w:b/>
                      <w:bCs/>
                      <w:highlight w:val="none"/>
                    </w:rPr>
                  </w:pPr>
                  <w:r>
                    <w:rPr>
                      <w:b/>
                      <w:bCs/>
                      <w:highlight w:val="none"/>
                    </w:rPr>
                    <w:t>专项评价设置情况</w:t>
                  </w:r>
                </w:p>
              </w:tc>
            </w:tr>
            <w:tr w14:paraId="39E0B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 w:hRule="atLeast"/>
              </w:trPr>
              <w:tc>
                <w:tcPr>
                  <w:tcW w:w="441" w:type="pct"/>
                  <w:tcBorders>
                    <w:top w:val="single" w:color="000000" w:sz="4" w:space="0"/>
                    <w:bottom w:val="single" w:color="000000" w:sz="4" w:space="0"/>
                    <w:right w:val="single" w:color="000000" w:sz="4" w:space="0"/>
                  </w:tcBorders>
                  <w:vAlign w:val="center"/>
                </w:tcPr>
                <w:p w14:paraId="372BCD2E">
                  <w:pPr>
                    <w:pStyle w:val="28"/>
                    <w:rPr>
                      <w:highlight w:val="none"/>
                    </w:rPr>
                  </w:pPr>
                  <w:r>
                    <w:rPr>
                      <w:highlight w:val="none"/>
                    </w:rPr>
                    <w:t>大气</w:t>
                  </w:r>
                </w:p>
              </w:tc>
              <w:tc>
                <w:tcPr>
                  <w:tcW w:w="1723" w:type="pct"/>
                  <w:tcBorders>
                    <w:top w:val="single" w:color="000000" w:sz="4" w:space="0"/>
                    <w:left w:val="single" w:color="000000" w:sz="4" w:space="0"/>
                    <w:bottom w:val="single" w:color="000000" w:sz="4" w:space="0"/>
                  </w:tcBorders>
                  <w:vAlign w:val="center"/>
                </w:tcPr>
                <w:p w14:paraId="266B202D">
                  <w:pPr>
                    <w:pStyle w:val="28"/>
                    <w:rPr>
                      <w:highlight w:val="none"/>
                    </w:rPr>
                  </w:pPr>
                  <w:r>
                    <w:rPr>
                      <w:highlight w:val="none"/>
                    </w:rPr>
                    <w:t>排放废气含有毒有害污染物1、二噁英、苯并[a]芘、氰化物、氯气且厂界外500米范围内有环境空气保护目标的建设项目</w:t>
                  </w:r>
                </w:p>
              </w:tc>
              <w:tc>
                <w:tcPr>
                  <w:tcW w:w="2224" w:type="pct"/>
                  <w:tcBorders>
                    <w:top w:val="single" w:color="000000" w:sz="4" w:space="0"/>
                    <w:left w:val="single" w:color="000000" w:sz="4" w:space="0"/>
                    <w:bottom w:val="single" w:color="000000" w:sz="4" w:space="0"/>
                  </w:tcBorders>
                  <w:vAlign w:val="center"/>
                </w:tcPr>
                <w:p w14:paraId="76BE163E">
                  <w:pPr>
                    <w:pStyle w:val="28"/>
                    <w:rPr>
                      <w:highlight w:val="none"/>
                    </w:rPr>
                  </w:pPr>
                  <w:r>
                    <w:rPr>
                      <w:rFonts w:hint="eastAsia"/>
                      <w:highlight w:val="none"/>
                    </w:rPr>
                    <w:t>本</w:t>
                  </w:r>
                  <w:r>
                    <w:rPr>
                      <w:highlight w:val="none"/>
                      <w:lang w:val="zh-CN"/>
                    </w:rPr>
                    <w:t>项目排放的废气不涉及有毒有害污染物、</w:t>
                  </w:r>
                  <w:r>
                    <w:rPr>
                      <w:highlight w:val="none"/>
                    </w:rPr>
                    <w:t>二噁英、苯并[a]芘</w:t>
                  </w:r>
                  <w:r>
                    <w:rPr>
                      <w:highlight w:val="none"/>
                      <w:lang w:val="zh-CN"/>
                    </w:rPr>
                    <w:t>、氰化物、氯气，因此项目无需进行大气专项评价。</w:t>
                  </w:r>
                </w:p>
              </w:tc>
              <w:tc>
                <w:tcPr>
                  <w:tcW w:w="609" w:type="pct"/>
                  <w:tcBorders>
                    <w:top w:val="single" w:color="000000" w:sz="4" w:space="0"/>
                    <w:left w:val="single" w:color="000000" w:sz="4" w:space="0"/>
                    <w:bottom w:val="single" w:color="000000" w:sz="4" w:space="0"/>
                  </w:tcBorders>
                  <w:vAlign w:val="center"/>
                </w:tcPr>
                <w:p w14:paraId="756835B1">
                  <w:pPr>
                    <w:pStyle w:val="28"/>
                    <w:rPr>
                      <w:highlight w:val="none"/>
                    </w:rPr>
                  </w:pPr>
                  <w:r>
                    <w:rPr>
                      <w:highlight w:val="none"/>
                    </w:rPr>
                    <w:t>不设置</w:t>
                  </w:r>
                </w:p>
              </w:tc>
            </w:tr>
            <w:tr w14:paraId="09236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 w:hRule="atLeast"/>
              </w:trPr>
              <w:tc>
                <w:tcPr>
                  <w:tcW w:w="441" w:type="pct"/>
                  <w:tcBorders>
                    <w:top w:val="single" w:color="000000" w:sz="4" w:space="0"/>
                    <w:bottom w:val="single" w:color="000000" w:sz="4" w:space="0"/>
                    <w:right w:val="single" w:color="000000" w:sz="4" w:space="0"/>
                  </w:tcBorders>
                  <w:vAlign w:val="center"/>
                </w:tcPr>
                <w:p w14:paraId="7D52C8A0">
                  <w:pPr>
                    <w:pStyle w:val="28"/>
                    <w:rPr>
                      <w:highlight w:val="none"/>
                    </w:rPr>
                  </w:pPr>
                  <w:r>
                    <w:rPr>
                      <w:highlight w:val="none"/>
                    </w:rPr>
                    <w:t>地表水</w:t>
                  </w:r>
                </w:p>
              </w:tc>
              <w:tc>
                <w:tcPr>
                  <w:tcW w:w="1723" w:type="pct"/>
                  <w:tcBorders>
                    <w:top w:val="single" w:color="000000" w:sz="4" w:space="0"/>
                    <w:left w:val="single" w:color="000000" w:sz="4" w:space="0"/>
                    <w:bottom w:val="single" w:color="000000" w:sz="4" w:space="0"/>
                  </w:tcBorders>
                  <w:vAlign w:val="center"/>
                </w:tcPr>
                <w:p w14:paraId="6BE7AD7D">
                  <w:pPr>
                    <w:pStyle w:val="28"/>
                    <w:rPr>
                      <w:highlight w:val="none"/>
                      <w:lang w:val="zh-CN"/>
                    </w:rPr>
                  </w:pPr>
                  <w:r>
                    <w:rPr>
                      <w:highlight w:val="none"/>
                      <w:lang w:val="zh-CN"/>
                    </w:rPr>
                    <w:t>新增工业废水直排建设项目（槽罐车外送污水处理厂的除外）；新增废水直排的污水集中处理厂</w:t>
                  </w:r>
                </w:p>
              </w:tc>
              <w:tc>
                <w:tcPr>
                  <w:tcW w:w="2224" w:type="pct"/>
                  <w:tcBorders>
                    <w:top w:val="single" w:color="000000" w:sz="4" w:space="0"/>
                    <w:left w:val="single" w:color="000000" w:sz="4" w:space="0"/>
                    <w:bottom w:val="single" w:color="000000" w:sz="4" w:space="0"/>
                  </w:tcBorders>
                  <w:vAlign w:val="center"/>
                </w:tcPr>
                <w:p w14:paraId="0132A69D">
                  <w:pPr>
                    <w:pStyle w:val="28"/>
                    <w:rPr>
                      <w:highlight w:val="none"/>
                    </w:rPr>
                  </w:pPr>
                  <w:r>
                    <w:rPr>
                      <w:rFonts w:hint="eastAsia"/>
                      <w:highlight w:val="none"/>
                    </w:rPr>
                    <w:t>本</w:t>
                  </w:r>
                  <w:r>
                    <w:rPr>
                      <w:highlight w:val="none"/>
                    </w:rPr>
                    <w:t>项目</w:t>
                  </w:r>
                  <w:r>
                    <w:rPr>
                      <w:rFonts w:hint="eastAsia"/>
                      <w:highlight w:val="none"/>
                    </w:rPr>
                    <w:t>不</w:t>
                  </w:r>
                  <w:r>
                    <w:rPr>
                      <w:highlight w:val="none"/>
                    </w:rPr>
                    <w:t>产生</w:t>
                  </w:r>
                  <w:r>
                    <w:rPr>
                      <w:rFonts w:hint="eastAsia"/>
                      <w:highlight w:val="none"/>
                    </w:rPr>
                    <w:t>工业</w:t>
                  </w:r>
                  <w:r>
                    <w:rPr>
                      <w:highlight w:val="none"/>
                    </w:rPr>
                    <w:t>废水</w:t>
                  </w:r>
                  <w:r>
                    <w:rPr>
                      <w:rFonts w:hint="eastAsia"/>
                      <w:highlight w:val="none"/>
                    </w:rPr>
                    <w:t>，生产废水及</w:t>
                  </w:r>
                  <w:r>
                    <w:rPr>
                      <w:highlight w:val="none"/>
                    </w:rPr>
                    <w:t>生活污水经</w:t>
                  </w:r>
                  <w:r>
                    <w:rPr>
                      <w:rFonts w:hint="eastAsia"/>
                      <w:highlight w:val="none"/>
                    </w:rPr>
                    <w:t>厂区现有污水处理系统处理达标后回用于绿化浇灌，清洁卫生和喷洒扬尘等</w:t>
                  </w:r>
                  <w:r>
                    <w:rPr>
                      <w:highlight w:val="none"/>
                    </w:rPr>
                    <w:t>，故不开展专项评价。</w:t>
                  </w:r>
                </w:p>
                <w:p w14:paraId="58A2DF9D">
                  <w:pPr>
                    <w:rPr>
                      <w:lang w:val="zh-CN"/>
                    </w:rPr>
                  </w:pPr>
                </w:p>
              </w:tc>
              <w:tc>
                <w:tcPr>
                  <w:tcW w:w="609" w:type="pct"/>
                  <w:tcBorders>
                    <w:top w:val="single" w:color="000000" w:sz="4" w:space="0"/>
                    <w:left w:val="single" w:color="000000" w:sz="4" w:space="0"/>
                    <w:bottom w:val="single" w:color="000000" w:sz="4" w:space="0"/>
                  </w:tcBorders>
                  <w:vAlign w:val="center"/>
                </w:tcPr>
                <w:p w14:paraId="0F2E9554">
                  <w:pPr>
                    <w:pStyle w:val="28"/>
                    <w:rPr>
                      <w:highlight w:val="none"/>
                    </w:rPr>
                  </w:pPr>
                  <w:r>
                    <w:rPr>
                      <w:highlight w:val="none"/>
                    </w:rPr>
                    <w:t>不设置</w:t>
                  </w:r>
                </w:p>
              </w:tc>
            </w:tr>
            <w:tr w14:paraId="06E82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 w:hRule="atLeast"/>
              </w:trPr>
              <w:tc>
                <w:tcPr>
                  <w:tcW w:w="441" w:type="pct"/>
                  <w:tcBorders>
                    <w:top w:val="single" w:color="000000" w:sz="4" w:space="0"/>
                    <w:bottom w:val="single" w:color="000000" w:sz="4" w:space="0"/>
                    <w:right w:val="single" w:color="000000" w:sz="4" w:space="0"/>
                  </w:tcBorders>
                  <w:vAlign w:val="center"/>
                </w:tcPr>
                <w:p w14:paraId="2DEC3989">
                  <w:pPr>
                    <w:pStyle w:val="28"/>
                    <w:rPr>
                      <w:highlight w:val="none"/>
                    </w:rPr>
                  </w:pPr>
                  <w:r>
                    <w:rPr>
                      <w:highlight w:val="none"/>
                    </w:rPr>
                    <w:t>环境风险</w:t>
                  </w:r>
                </w:p>
              </w:tc>
              <w:tc>
                <w:tcPr>
                  <w:tcW w:w="1723" w:type="pct"/>
                  <w:tcBorders>
                    <w:top w:val="single" w:color="000000" w:sz="4" w:space="0"/>
                    <w:left w:val="single" w:color="000000" w:sz="4" w:space="0"/>
                    <w:bottom w:val="single" w:color="000000" w:sz="4" w:space="0"/>
                  </w:tcBorders>
                  <w:vAlign w:val="center"/>
                </w:tcPr>
                <w:p w14:paraId="5A680CFB">
                  <w:pPr>
                    <w:pStyle w:val="28"/>
                    <w:rPr>
                      <w:highlight w:val="none"/>
                      <w:lang w:val="zh-CN"/>
                    </w:rPr>
                  </w:pPr>
                  <w:r>
                    <w:rPr>
                      <w:highlight w:val="none"/>
                      <w:lang w:val="zh-CN"/>
                    </w:rPr>
                    <w:t>有毒有害和易燃易爆危险物质存储量超过临界量的建设项目</w:t>
                  </w:r>
                </w:p>
              </w:tc>
              <w:tc>
                <w:tcPr>
                  <w:tcW w:w="2224" w:type="pct"/>
                  <w:tcBorders>
                    <w:top w:val="single" w:color="000000" w:sz="4" w:space="0"/>
                    <w:left w:val="single" w:color="000000" w:sz="4" w:space="0"/>
                    <w:bottom w:val="single" w:color="000000" w:sz="4" w:space="0"/>
                  </w:tcBorders>
                  <w:vAlign w:val="center"/>
                </w:tcPr>
                <w:p w14:paraId="64C6D0F6">
                  <w:pPr>
                    <w:pStyle w:val="28"/>
                    <w:rPr>
                      <w:highlight w:val="none"/>
                      <w:lang w:val="zh-CN"/>
                    </w:rPr>
                  </w:pPr>
                  <w:r>
                    <w:rPr>
                      <w:rFonts w:hint="eastAsia"/>
                      <w:highlight w:val="none"/>
                    </w:rPr>
                    <w:t>本</w:t>
                  </w:r>
                  <w:r>
                    <w:rPr>
                      <w:highlight w:val="none"/>
                    </w:rPr>
                    <w:t>项目</w:t>
                  </w:r>
                  <w:r>
                    <w:rPr>
                      <w:rFonts w:hint="eastAsia"/>
                      <w:highlight w:val="none"/>
                    </w:rPr>
                    <w:t>的有毒有害和</w:t>
                  </w:r>
                  <w:r>
                    <w:rPr>
                      <w:highlight w:val="none"/>
                    </w:rPr>
                    <w:t>易燃易爆物质存储量不超过临界量，</w:t>
                  </w:r>
                  <w:r>
                    <w:rPr>
                      <w:highlight w:val="none"/>
                      <w:lang w:val="zh-CN"/>
                    </w:rPr>
                    <w:t>故不开展环境风险专项评价。</w:t>
                  </w:r>
                </w:p>
                <w:tbl>
                  <w:tblPr>
                    <w:tblStyle w:val="20"/>
                    <w:tblW w:w="3486" w:type="dxa"/>
                    <w:tblInd w:w="0" w:type="dxa"/>
                    <w:tblLayout w:type="fixed"/>
                    <w:tblCellMar>
                      <w:top w:w="0" w:type="dxa"/>
                      <w:left w:w="108" w:type="dxa"/>
                      <w:bottom w:w="0" w:type="dxa"/>
                      <w:right w:w="108" w:type="dxa"/>
                    </w:tblCellMar>
                  </w:tblPr>
                  <w:tblGrid>
                    <w:gridCol w:w="317"/>
                    <w:gridCol w:w="633"/>
                    <w:gridCol w:w="632"/>
                    <w:gridCol w:w="900"/>
                    <w:gridCol w:w="1004"/>
                  </w:tblGrid>
                  <w:tr w14:paraId="786F91E9">
                    <w:tblPrEx>
                      <w:tblCellMar>
                        <w:top w:w="0" w:type="dxa"/>
                        <w:left w:w="108" w:type="dxa"/>
                        <w:bottom w:w="0" w:type="dxa"/>
                        <w:right w:w="108" w:type="dxa"/>
                      </w:tblCellMar>
                    </w:tblPrEx>
                    <w:trPr>
                      <w:trHeight w:val="340" w:hRule="atLeast"/>
                    </w:trPr>
                    <w:tc>
                      <w:tcPr>
                        <w:tcW w:w="454" w:type="pct"/>
                        <w:tcBorders>
                          <w:top w:val="single" w:color="000000" w:sz="4" w:space="0"/>
                          <w:left w:val="single" w:color="000000" w:sz="4" w:space="0"/>
                          <w:bottom w:val="single" w:color="000000" w:sz="4" w:space="0"/>
                          <w:right w:val="single" w:color="000000" w:sz="4" w:space="0"/>
                        </w:tcBorders>
                        <w:vAlign w:val="center"/>
                      </w:tcPr>
                      <w:p w14:paraId="3A4B525F">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序号</w:t>
                        </w:r>
                      </w:p>
                    </w:tc>
                    <w:tc>
                      <w:tcPr>
                        <w:tcW w:w="907" w:type="pct"/>
                        <w:tcBorders>
                          <w:top w:val="single" w:color="000000" w:sz="4" w:space="0"/>
                          <w:left w:val="single" w:color="000000" w:sz="4" w:space="0"/>
                          <w:bottom w:val="single" w:color="000000" w:sz="4" w:space="0"/>
                          <w:right w:val="single" w:color="000000" w:sz="4" w:space="0"/>
                        </w:tcBorders>
                        <w:vAlign w:val="center"/>
                      </w:tcPr>
                      <w:p w14:paraId="76A3DAA7">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危险物质</w:t>
                        </w:r>
                      </w:p>
                    </w:tc>
                    <w:tc>
                      <w:tcPr>
                        <w:tcW w:w="906" w:type="pct"/>
                        <w:tcBorders>
                          <w:top w:val="single" w:color="000000" w:sz="4" w:space="0"/>
                          <w:left w:val="single" w:color="000000" w:sz="4" w:space="0"/>
                          <w:bottom w:val="single" w:color="000000" w:sz="4" w:space="0"/>
                          <w:right w:val="single" w:color="000000" w:sz="4" w:space="0"/>
                        </w:tcBorders>
                        <w:vAlign w:val="center"/>
                      </w:tcPr>
                      <w:p w14:paraId="07083833">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临界量</w:t>
                        </w:r>
                        <w:r>
                          <w:rPr>
                            <w:rFonts w:hint="eastAsia" w:cs="宋体"/>
                            <w:b/>
                            <w:bCs/>
                            <w:color w:val="000000" w:themeColor="text1"/>
                            <w:kern w:val="0"/>
                            <w:szCs w:val="21"/>
                            <w:highlight w:val="none"/>
                            <w:lang w:bidi="ar"/>
                            <w14:textFill>
                              <w14:solidFill>
                                <w14:schemeClr w14:val="tx1"/>
                              </w14:solidFill>
                            </w14:textFill>
                          </w:rPr>
                          <w:t>（</w:t>
                        </w:r>
                        <w:r>
                          <w:rPr>
                            <w:rFonts w:cs="宋体"/>
                            <w:b/>
                            <w:bCs/>
                            <w:color w:val="000000" w:themeColor="text1"/>
                            <w:kern w:val="0"/>
                            <w:szCs w:val="21"/>
                            <w:highlight w:val="none"/>
                            <w:lang w:bidi="ar"/>
                            <w14:textFill>
                              <w14:solidFill>
                                <w14:schemeClr w14:val="tx1"/>
                              </w14:solidFill>
                            </w14:textFill>
                          </w:rPr>
                          <w:t>t</w:t>
                        </w:r>
                        <w:r>
                          <w:rPr>
                            <w:rFonts w:hint="eastAsia" w:cs="宋体"/>
                            <w:b/>
                            <w:bCs/>
                            <w:color w:val="000000" w:themeColor="text1"/>
                            <w:kern w:val="0"/>
                            <w:szCs w:val="21"/>
                            <w:highlight w:val="none"/>
                            <w:lang w:bidi="ar"/>
                            <w14:textFill>
                              <w14:solidFill>
                                <w14:schemeClr w14:val="tx1"/>
                              </w14:solidFill>
                            </w14:textFill>
                          </w:rPr>
                          <w:t>）</w:t>
                        </w:r>
                      </w:p>
                    </w:tc>
                    <w:tc>
                      <w:tcPr>
                        <w:tcW w:w="1290" w:type="pct"/>
                        <w:tcBorders>
                          <w:top w:val="single" w:color="000000" w:sz="4" w:space="0"/>
                          <w:left w:val="single" w:color="000000" w:sz="4" w:space="0"/>
                          <w:bottom w:val="single" w:color="000000" w:sz="4" w:space="0"/>
                          <w:right w:val="single" w:color="000000" w:sz="4" w:space="0"/>
                        </w:tcBorders>
                        <w:vAlign w:val="center"/>
                      </w:tcPr>
                      <w:p w14:paraId="6160B5FF">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最大存储量</w:t>
                        </w:r>
                        <w:r>
                          <w:rPr>
                            <w:rFonts w:hint="eastAsia" w:cs="宋体"/>
                            <w:b/>
                            <w:bCs/>
                            <w:color w:val="000000" w:themeColor="text1"/>
                            <w:kern w:val="0"/>
                            <w:szCs w:val="21"/>
                            <w:highlight w:val="none"/>
                            <w:lang w:bidi="ar"/>
                            <w14:textFill>
                              <w14:solidFill>
                                <w14:schemeClr w14:val="tx1"/>
                              </w14:solidFill>
                            </w14:textFill>
                          </w:rPr>
                          <w:t>（</w:t>
                        </w:r>
                        <w:r>
                          <w:rPr>
                            <w:rFonts w:cs="宋体"/>
                            <w:b/>
                            <w:bCs/>
                            <w:color w:val="000000" w:themeColor="text1"/>
                            <w:kern w:val="0"/>
                            <w:szCs w:val="21"/>
                            <w:highlight w:val="none"/>
                            <w:lang w:bidi="ar"/>
                            <w14:textFill>
                              <w14:solidFill>
                                <w14:schemeClr w14:val="tx1"/>
                              </w14:solidFill>
                            </w14:textFill>
                          </w:rPr>
                          <w:t>t</w:t>
                        </w:r>
                        <w:r>
                          <w:rPr>
                            <w:rFonts w:hint="eastAsia" w:cs="宋体"/>
                            <w:b/>
                            <w:bCs/>
                            <w:color w:val="000000" w:themeColor="text1"/>
                            <w:kern w:val="0"/>
                            <w:szCs w:val="21"/>
                            <w:highlight w:val="none"/>
                            <w:lang w:bidi="ar"/>
                            <w14:textFill>
                              <w14:solidFill>
                                <w14:schemeClr w14:val="tx1"/>
                              </w14:solidFill>
                            </w14:textFill>
                          </w:rPr>
                          <w:t>）</w:t>
                        </w:r>
                      </w:p>
                    </w:tc>
                    <w:tc>
                      <w:tcPr>
                        <w:tcW w:w="1440" w:type="pct"/>
                        <w:tcBorders>
                          <w:top w:val="single" w:color="000000" w:sz="4" w:space="0"/>
                          <w:left w:val="single" w:color="000000" w:sz="4" w:space="0"/>
                          <w:bottom w:val="single" w:color="000000" w:sz="4" w:space="0"/>
                          <w:right w:val="single" w:color="000000" w:sz="4" w:space="0"/>
                        </w:tcBorders>
                        <w:vAlign w:val="center"/>
                      </w:tcPr>
                      <w:p w14:paraId="5632DDB0">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q/Q</w:t>
                        </w:r>
                      </w:p>
                    </w:tc>
                  </w:tr>
                  <w:tr w14:paraId="30076D29">
                    <w:tblPrEx>
                      <w:tblCellMar>
                        <w:top w:w="0" w:type="dxa"/>
                        <w:left w:w="108" w:type="dxa"/>
                        <w:bottom w:w="0" w:type="dxa"/>
                        <w:right w:w="108" w:type="dxa"/>
                      </w:tblCellMar>
                    </w:tblPrEx>
                    <w:trPr>
                      <w:trHeight w:val="340" w:hRule="atLeast"/>
                    </w:trPr>
                    <w:tc>
                      <w:tcPr>
                        <w:tcW w:w="454" w:type="pct"/>
                        <w:tcBorders>
                          <w:top w:val="single" w:color="000000" w:sz="4" w:space="0"/>
                          <w:left w:val="single" w:color="000000" w:sz="4" w:space="0"/>
                          <w:bottom w:val="single" w:color="000000" w:sz="4" w:space="0"/>
                          <w:right w:val="single" w:color="000000" w:sz="4" w:space="0"/>
                        </w:tcBorders>
                        <w:vAlign w:val="center"/>
                      </w:tcPr>
                      <w:p w14:paraId="6B3D83D7">
                        <w:pPr>
                          <w:widowControl/>
                          <w:jc w:val="center"/>
                          <w:textAlignment w:val="top"/>
                          <w:rPr>
                            <w:rFonts w:cs="宋体"/>
                            <w:color w:val="000000" w:themeColor="text1"/>
                            <w:szCs w:val="21"/>
                            <w:highlight w:val="none"/>
                            <w14:textFill>
                              <w14:solidFill>
                                <w14:schemeClr w14:val="tx1"/>
                              </w14:solidFill>
                            </w14:textFill>
                          </w:rPr>
                        </w:pPr>
                        <w:r>
                          <w:rPr>
                            <w:rFonts w:cs="宋体"/>
                            <w:color w:val="000000" w:themeColor="text1"/>
                            <w:kern w:val="0"/>
                            <w:szCs w:val="21"/>
                            <w:highlight w:val="none"/>
                            <w:lang w:bidi="ar"/>
                            <w14:textFill>
                              <w14:solidFill>
                                <w14:schemeClr w14:val="tx1"/>
                              </w14:solidFill>
                            </w14:textFill>
                          </w:rPr>
                          <w:t>1</w:t>
                        </w:r>
                      </w:p>
                    </w:tc>
                    <w:tc>
                      <w:tcPr>
                        <w:tcW w:w="907" w:type="pct"/>
                        <w:tcBorders>
                          <w:top w:val="single" w:color="000000" w:sz="4" w:space="0"/>
                          <w:left w:val="single" w:color="000000" w:sz="4" w:space="0"/>
                          <w:bottom w:val="single" w:color="000000" w:sz="4" w:space="0"/>
                          <w:right w:val="single" w:color="000000" w:sz="4" w:space="0"/>
                        </w:tcBorders>
                        <w:vAlign w:val="center"/>
                      </w:tcPr>
                      <w:p w14:paraId="31F7B409">
                        <w:pPr>
                          <w:widowControl/>
                          <w:jc w:val="center"/>
                          <w:textAlignment w:val="top"/>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废</w:t>
                        </w:r>
                        <w:r>
                          <w:rPr>
                            <w:rFonts w:hint="eastAsia" w:cs="宋体"/>
                            <w:color w:val="000000" w:themeColor="text1"/>
                            <w:szCs w:val="21"/>
                            <w:highlight w:val="none"/>
                            <w:lang w:val="en-US" w:eastAsia="zh-CN"/>
                            <w14:textFill>
                              <w14:solidFill>
                                <w14:schemeClr w14:val="tx1"/>
                              </w14:solidFill>
                            </w14:textFill>
                          </w:rPr>
                          <w:t>润滑油</w:t>
                        </w:r>
                      </w:p>
                    </w:tc>
                    <w:tc>
                      <w:tcPr>
                        <w:tcW w:w="906" w:type="pct"/>
                        <w:tcBorders>
                          <w:top w:val="single" w:color="000000" w:sz="4" w:space="0"/>
                          <w:left w:val="single" w:color="000000" w:sz="4" w:space="0"/>
                          <w:bottom w:val="single" w:color="000000" w:sz="4" w:space="0"/>
                          <w:right w:val="single" w:color="000000" w:sz="4" w:space="0"/>
                        </w:tcBorders>
                        <w:vAlign w:val="center"/>
                      </w:tcPr>
                      <w:p w14:paraId="06C28A86">
                        <w:pPr>
                          <w:widowControl/>
                          <w:jc w:val="center"/>
                          <w:textAlignment w:val="top"/>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2500</w:t>
                        </w:r>
                      </w:p>
                    </w:tc>
                    <w:tc>
                      <w:tcPr>
                        <w:tcW w:w="1290" w:type="pct"/>
                        <w:tcBorders>
                          <w:top w:val="single" w:color="000000" w:sz="4" w:space="0"/>
                          <w:left w:val="single" w:color="000000" w:sz="4" w:space="0"/>
                          <w:bottom w:val="single" w:color="000000" w:sz="4" w:space="0"/>
                          <w:right w:val="single" w:color="000000" w:sz="4" w:space="0"/>
                        </w:tcBorders>
                        <w:vAlign w:val="center"/>
                      </w:tcPr>
                      <w:p w14:paraId="7048F491">
                        <w:pPr>
                          <w:widowControl/>
                          <w:jc w:val="center"/>
                          <w:textAlignment w:val="top"/>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0.5</w:t>
                        </w:r>
                      </w:p>
                    </w:tc>
                    <w:tc>
                      <w:tcPr>
                        <w:tcW w:w="1440" w:type="pct"/>
                        <w:tcBorders>
                          <w:top w:val="single" w:color="000000" w:sz="4" w:space="0"/>
                          <w:left w:val="single" w:color="000000" w:sz="4" w:space="0"/>
                          <w:bottom w:val="single" w:color="000000" w:sz="4" w:space="0"/>
                          <w:right w:val="single" w:color="000000" w:sz="4" w:space="0"/>
                        </w:tcBorders>
                        <w:vAlign w:val="center"/>
                      </w:tcPr>
                      <w:p w14:paraId="39DB603A">
                        <w:pPr>
                          <w:widowControl/>
                          <w:jc w:val="center"/>
                          <w:textAlignment w:val="top"/>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0.0002</w:t>
                        </w:r>
                      </w:p>
                    </w:tc>
                  </w:tr>
                  <w:tr w14:paraId="7ED4C03B">
                    <w:tblPrEx>
                      <w:tblCellMar>
                        <w:top w:w="0" w:type="dxa"/>
                        <w:left w:w="108" w:type="dxa"/>
                        <w:bottom w:w="0" w:type="dxa"/>
                        <w:right w:w="108" w:type="dxa"/>
                      </w:tblCellMar>
                    </w:tblPrEx>
                    <w:trPr>
                      <w:trHeight w:val="340" w:hRule="atLeast"/>
                    </w:trPr>
                    <w:tc>
                      <w:tcPr>
                        <w:tcW w:w="3559" w:type="pct"/>
                        <w:gridSpan w:val="4"/>
                        <w:tcBorders>
                          <w:top w:val="single" w:color="000000" w:sz="4" w:space="0"/>
                          <w:left w:val="single" w:color="000000" w:sz="4" w:space="0"/>
                          <w:bottom w:val="single" w:color="000000" w:sz="4" w:space="0"/>
                          <w:right w:val="single" w:color="000000" w:sz="4" w:space="0"/>
                        </w:tcBorders>
                        <w:vAlign w:val="center"/>
                      </w:tcPr>
                      <w:p w14:paraId="27F37A70">
                        <w:pPr>
                          <w:widowControl/>
                          <w:jc w:val="center"/>
                          <w:textAlignment w:val="center"/>
                          <w:rPr>
                            <w:rFonts w:cs="宋体"/>
                            <w:color w:val="000000" w:themeColor="text1"/>
                            <w:szCs w:val="21"/>
                            <w:highlight w:val="none"/>
                            <w14:textFill>
                              <w14:solidFill>
                                <w14:schemeClr w14:val="tx1"/>
                              </w14:solidFill>
                            </w14:textFill>
                          </w:rPr>
                        </w:pPr>
                        <w:r>
                          <w:rPr>
                            <w:rFonts w:cs="宋体"/>
                            <w:color w:val="000000" w:themeColor="text1"/>
                            <w:kern w:val="0"/>
                            <w:szCs w:val="21"/>
                            <w:highlight w:val="none"/>
                            <w:lang w:bidi="ar"/>
                            <w14:textFill>
                              <w14:solidFill>
                                <w14:schemeClr w14:val="tx1"/>
                              </w14:solidFill>
                            </w14:textFill>
                          </w:rPr>
                          <w:t>Q值</w:t>
                        </w:r>
                      </w:p>
                    </w:tc>
                    <w:tc>
                      <w:tcPr>
                        <w:tcW w:w="1440" w:type="pct"/>
                        <w:tcBorders>
                          <w:top w:val="single" w:color="000000" w:sz="4" w:space="0"/>
                          <w:left w:val="single" w:color="000000" w:sz="4" w:space="0"/>
                          <w:bottom w:val="single" w:color="000000" w:sz="4" w:space="0"/>
                          <w:right w:val="single" w:color="000000" w:sz="4" w:space="0"/>
                        </w:tcBorders>
                        <w:vAlign w:val="center"/>
                      </w:tcPr>
                      <w:p w14:paraId="42ACEB89">
                        <w:pPr>
                          <w:widowControl/>
                          <w:jc w:val="center"/>
                          <w:textAlignment w:val="top"/>
                          <w:rPr>
                            <w:rFonts w:cs="宋体"/>
                            <w:color w:val="000000" w:themeColor="text1"/>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0.0002</w:t>
                        </w:r>
                      </w:p>
                    </w:tc>
                  </w:tr>
                </w:tbl>
                <w:p w14:paraId="42DF92FE">
                  <w:pPr>
                    <w:rPr>
                      <w:highlight w:val="none"/>
                      <w:lang w:val="zh-CN"/>
                    </w:rPr>
                  </w:pPr>
                </w:p>
              </w:tc>
              <w:tc>
                <w:tcPr>
                  <w:tcW w:w="609" w:type="pct"/>
                  <w:tcBorders>
                    <w:top w:val="single" w:color="000000" w:sz="4" w:space="0"/>
                    <w:left w:val="single" w:color="000000" w:sz="4" w:space="0"/>
                    <w:bottom w:val="single" w:color="000000" w:sz="4" w:space="0"/>
                  </w:tcBorders>
                  <w:vAlign w:val="center"/>
                </w:tcPr>
                <w:p w14:paraId="1616E1FC">
                  <w:pPr>
                    <w:pStyle w:val="28"/>
                    <w:rPr>
                      <w:highlight w:val="none"/>
                    </w:rPr>
                  </w:pPr>
                  <w:r>
                    <w:rPr>
                      <w:highlight w:val="none"/>
                    </w:rPr>
                    <w:t>不设置</w:t>
                  </w:r>
                </w:p>
              </w:tc>
            </w:tr>
            <w:tr w14:paraId="0FDBC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 w:hRule="atLeast"/>
              </w:trPr>
              <w:tc>
                <w:tcPr>
                  <w:tcW w:w="441" w:type="pct"/>
                  <w:tcBorders>
                    <w:top w:val="single" w:color="000000" w:sz="4" w:space="0"/>
                    <w:bottom w:val="single" w:color="000000" w:sz="4" w:space="0"/>
                    <w:right w:val="single" w:color="000000" w:sz="4" w:space="0"/>
                  </w:tcBorders>
                  <w:vAlign w:val="center"/>
                </w:tcPr>
                <w:p w14:paraId="1426871B">
                  <w:pPr>
                    <w:pStyle w:val="28"/>
                    <w:rPr>
                      <w:highlight w:val="none"/>
                    </w:rPr>
                  </w:pPr>
                  <w:r>
                    <w:rPr>
                      <w:highlight w:val="none"/>
                    </w:rPr>
                    <w:t>生态</w:t>
                  </w:r>
                </w:p>
              </w:tc>
              <w:tc>
                <w:tcPr>
                  <w:tcW w:w="1723" w:type="pct"/>
                  <w:tcBorders>
                    <w:top w:val="single" w:color="000000" w:sz="4" w:space="0"/>
                    <w:left w:val="single" w:color="000000" w:sz="4" w:space="0"/>
                    <w:bottom w:val="single" w:color="000000" w:sz="4" w:space="0"/>
                  </w:tcBorders>
                  <w:vAlign w:val="center"/>
                </w:tcPr>
                <w:p w14:paraId="2519D719">
                  <w:pPr>
                    <w:pStyle w:val="28"/>
                    <w:rPr>
                      <w:highlight w:val="none"/>
                      <w:lang w:val="zh-CN"/>
                    </w:rPr>
                  </w:pPr>
                  <w:r>
                    <w:rPr>
                      <w:highlight w:val="none"/>
                      <w:lang w:val="zh-CN"/>
                    </w:rPr>
                    <w:t>取水口下游500米范围内有重要水生生物的自然产卵场、索饵场、越冬场和洄游通道的新增河道取水的污染类建设项目</w:t>
                  </w:r>
                </w:p>
              </w:tc>
              <w:tc>
                <w:tcPr>
                  <w:tcW w:w="2224" w:type="pct"/>
                  <w:tcBorders>
                    <w:top w:val="single" w:color="000000" w:sz="4" w:space="0"/>
                    <w:left w:val="single" w:color="000000" w:sz="4" w:space="0"/>
                    <w:bottom w:val="single" w:color="000000" w:sz="4" w:space="0"/>
                  </w:tcBorders>
                  <w:vAlign w:val="center"/>
                </w:tcPr>
                <w:p w14:paraId="6B5DAE13">
                  <w:pPr>
                    <w:pStyle w:val="28"/>
                    <w:rPr>
                      <w:highlight w:val="none"/>
                      <w:lang w:val="zh-CN"/>
                    </w:rPr>
                  </w:pPr>
                  <w:r>
                    <w:rPr>
                      <w:highlight w:val="none"/>
                    </w:rPr>
                    <w:t>本项目用水由</w:t>
                  </w:r>
                  <w:r>
                    <w:rPr>
                      <w:rFonts w:hint="eastAsia"/>
                      <w:highlight w:val="none"/>
                    </w:rPr>
                    <w:t>厂区内已经建设的水塔、管网</w:t>
                  </w:r>
                  <w:r>
                    <w:rPr>
                      <w:highlight w:val="none"/>
                    </w:rPr>
                    <w:t>供给，</w:t>
                  </w:r>
                  <w:r>
                    <w:rPr>
                      <w:rFonts w:hint="eastAsia"/>
                      <w:highlight w:val="none"/>
                    </w:rPr>
                    <w:t>给水能够满足施工及生产、生活用水需要。</w:t>
                  </w:r>
                  <w:r>
                    <w:rPr>
                      <w:highlight w:val="none"/>
                    </w:rPr>
                    <w:t>不涉及河道取水，故不开展生态专项评价。</w:t>
                  </w:r>
                </w:p>
              </w:tc>
              <w:tc>
                <w:tcPr>
                  <w:tcW w:w="609" w:type="pct"/>
                  <w:tcBorders>
                    <w:top w:val="single" w:color="000000" w:sz="4" w:space="0"/>
                    <w:left w:val="single" w:color="000000" w:sz="4" w:space="0"/>
                    <w:bottom w:val="single" w:color="000000" w:sz="4" w:space="0"/>
                  </w:tcBorders>
                  <w:vAlign w:val="center"/>
                </w:tcPr>
                <w:p w14:paraId="03EC007F">
                  <w:pPr>
                    <w:pStyle w:val="28"/>
                    <w:rPr>
                      <w:highlight w:val="none"/>
                    </w:rPr>
                  </w:pPr>
                  <w:r>
                    <w:rPr>
                      <w:highlight w:val="none"/>
                    </w:rPr>
                    <w:t>不设置</w:t>
                  </w:r>
                </w:p>
              </w:tc>
            </w:tr>
            <w:tr w14:paraId="64A57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 w:hRule="atLeast"/>
              </w:trPr>
              <w:tc>
                <w:tcPr>
                  <w:tcW w:w="441" w:type="pct"/>
                  <w:tcBorders>
                    <w:top w:val="single" w:color="000000" w:sz="4" w:space="0"/>
                    <w:bottom w:val="single" w:color="000000" w:sz="4" w:space="0"/>
                    <w:right w:val="single" w:color="000000" w:sz="4" w:space="0"/>
                  </w:tcBorders>
                  <w:vAlign w:val="center"/>
                </w:tcPr>
                <w:p w14:paraId="7DD5AF64">
                  <w:pPr>
                    <w:pStyle w:val="28"/>
                    <w:rPr>
                      <w:highlight w:val="none"/>
                    </w:rPr>
                  </w:pPr>
                  <w:r>
                    <w:rPr>
                      <w:highlight w:val="none"/>
                    </w:rPr>
                    <w:t>海洋</w:t>
                  </w:r>
                </w:p>
              </w:tc>
              <w:tc>
                <w:tcPr>
                  <w:tcW w:w="1723" w:type="pct"/>
                  <w:tcBorders>
                    <w:top w:val="single" w:color="000000" w:sz="4" w:space="0"/>
                    <w:left w:val="single" w:color="000000" w:sz="4" w:space="0"/>
                    <w:bottom w:val="single" w:color="000000" w:sz="4" w:space="0"/>
                  </w:tcBorders>
                  <w:vAlign w:val="center"/>
                </w:tcPr>
                <w:p w14:paraId="09B68797">
                  <w:pPr>
                    <w:pStyle w:val="28"/>
                    <w:rPr>
                      <w:highlight w:val="none"/>
                      <w:lang w:val="zh-CN"/>
                    </w:rPr>
                  </w:pPr>
                  <w:r>
                    <w:rPr>
                      <w:highlight w:val="none"/>
                      <w:lang w:val="zh-CN"/>
                    </w:rPr>
                    <w:t>直接向海排放污染物的海洋工程建设项目</w:t>
                  </w:r>
                </w:p>
              </w:tc>
              <w:tc>
                <w:tcPr>
                  <w:tcW w:w="2224" w:type="pct"/>
                  <w:tcBorders>
                    <w:top w:val="single" w:color="000000" w:sz="4" w:space="0"/>
                    <w:left w:val="single" w:color="000000" w:sz="4" w:space="0"/>
                    <w:bottom w:val="single" w:color="000000" w:sz="4" w:space="0"/>
                  </w:tcBorders>
                  <w:vAlign w:val="center"/>
                </w:tcPr>
                <w:p w14:paraId="3A7C73DD">
                  <w:pPr>
                    <w:pStyle w:val="28"/>
                    <w:rPr>
                      <w:highlight w:val="none"/>
                      <w:lang w:val="zh-CN"/>
                    </w:rPr>
                  </w:pPr>
                  <w:r>
                    <w:rPr>
                      <w:highlight w:val="none"/>
                    </w:rPr>
                    <w:t>本项目不属于海洋工程，不涉及向海排放污染物，故不开展海洋专项评价。</w:t>
                  </w:r>
                </w:p>
              </w:tc>
              <w:tc>
                <w:tcPr>
                  <w:tcW w:w="609" w:type="pct"/>
                  <w:tcBorders>
                    <w:top w:val="single" w:color="000000" w:sz="4" w:space="0"/>
                    <w:left w:val="single" w:color="000000" w:sz="4" w:space="0"/>
                    <w:bottom w:val="single" w:color="000000" w:sz="4" w:space="0"/>
                  </w:tcBorders>
                  <w:vAlign w:val="center"/>
                </w:tcPr>
                <w:p w14:paraId="5375AE1D">
                  <w:pPr>
                    <w:pStyle w:val="28"/>
                    <w:rPr>
                      <w:highlight w:val="none"/>
                    </w:rPr>
                  </w:pPr>
                  <w:r>
                    <w:rPr>
                      <w:highlight w:val="none"/>
                    </w:rPr>
                    <w:t>不设置</w:t>
                  </w:r>
                </w:p>
              </w:tc>
            </w:tr>
            <w:tr w14:paraId="0F7FD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 w:hRule="atLeast"/>
              </w:trPr>
              <w:tc>
                <w:tcPr>
                  <w:tcW w:w="5000" w:type="pct"/>
                  <w:gridSpan w:val="4"/>
                  <w:tcBorders>
                    <w:top w:val="single" w:color="000000" w:sz="4" w:space="0"/>
                  </w:tcBorders>
                  <w:vAlign w:val="center"/>
                </w:tcPr>
                <w:p w14:paraId="3BD257D2">
                  <w:pPr>
                    <w:pStyle w:val="28"/>
                    <w:rPr>
                      <w:highlight w:val="none"/>
                    </w:rPr>
                  </w:pPr>
                  <w:r>
                    <w:rPr>
                      <w:highlight w:val="none"/>
                    </w:rPr>
                    <w:t>注：1.废气中有毒有害污染物指标纳入《有毒有害大气污染物名录》的污染物（不包括无排放标准的污染物）</w:t>
                  </w:r>
                  <w:r>
                    <w:rPr>
                      <w:rFonts w:hint="eastAsia"/>
                      <w:highlight w:val="none"/>
                    </w:rPr>
                    <w:t>；</w:t>
                  </w:r>
                  <w:r>
                    <w:rPr>
                      <w:highlight w:val="none"/>
                    </w:rPr>
                    <w:t>2.环境空气保护目标指自然保护区、风景名胜区、居住区、文化区和农村地区中人群较集中的区域</w:t>
                  </w:r>
                  <w:r>
                    <w:rPr>
                      <w:rFonts w:hint="eastAsia"/>
                      <w:highlight w:val="none"/>
                    </w:rPr>
                    <w:t>；</w:t>
                  </w:r>
                  <w:r>
                    <w:rPr>
                      <w:highlight w:val="none"/>
                    </w:rPr>
                    <w:t>3.临界量及其计算方法可参考《建设项目环境风险评价技术导则》（HJ169）附录B、附录C。</w:t>
                  </w:r>
                </w:p>
              </w:tc>
            </w:tr>
          </w:tbl>
          <w:p w14:paraId="36BC3F10">
            <w:pPr>
              <w:autoSpaceDE w:val="0"/>
              <w:autoSpaceDN w:val="0"/>
              <w:adjustRightInd w:val="0"/>
              <w:snapToGrid w:val="0"/>
              <w:jc w:val="center"/>
              <w:rPr>
                <w:rFonts w:cs="宋体"/>
                <w:color w:val="000000" w:themeColor="text1"/>
                <w:kern w:val="0"/>
                <w:sz w:val="24"/>
                <w:highlight w:val="none"/>
                <w14:textFill>
                  <w14:solidFill>
                    <w14:schemeClr w14:val="tx1"/>
                  </w14:solidFill>
                </w14:textFill>
              </w:rPr>
            </w:pPr>
          </w:p>
        </w:tc>
      </w:tr>
      <w:tr w14:paraId="7C20F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8" w:type="dxa"/>
            <w:vAlign w:val="center"/>
          </w:tcPr>
          <w:p w14:paraId="25D64F50">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sz w:val="24"/>
                <w14:textFill>
                  <w14:solidFill>
                    <w14:schemeClr w14:val="tx1"/>
                  </w14:solidFill>
                </w14:textFill>
              </w:rPr>
              <w:t>规划情况</w:t>
            </w:r>
          </w:p>
        </w:tc>
        <w:tc>
          <w:tcPr>
            <w:tcW w:w="7792" w:type="dxa"/>
            <w:gridSpan w:val="3"/>
            <w:vAlign w:val="center"/>
          </w:tcPr>
          <w:p w14:paraId="29AD65A3">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无</w:t>
            </w:r>
          </w:p>
        </w:tc>
      </w:tr>
      <w:tr w14:paraId="49C98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8" w:type="dxa"/>
            <w:vAlign w:val="center"/>
          </w:tcPr>
          <w:p w14:paraId="171E2B2B">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sz w:val="24"/>
                <w14:textFill>
                  <w14:solidFill>
                    <w14:schemeClr w14:val="tx1"/>
                  </w14:solidFill>
                </w14:textFill>
              </w:rPr>
              <w:t>规划环境影响评价情况</w:t>
            </w:r>
          </w:p>
        </w:tc>
        <w:tc>
          <w:tcPr>
            <w:tcW w:w="7792" w:type="dxa"/>
            <w:gridSpan w:val="3"/>
            <w:vAlign w:val="center"/>
          </w:tcPr>
          <w:p w14:paraId="7B6AC30B">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无</w:t>
            </w:r>
          </w:p>
        </w:tc>
      </w:tr>
      <w:tr w14:paraId="6238A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8" w:type="dxa"/>
            <w:vAlign w:val="center"/>
          </w:tcPr>
          <w:p w14:paraId="533C2F08">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规划及规划环境影响评价符合性分析</w:t>
            </w:r>
          </w:p>
        </w:tc>
        <w:tc>
          <w:tcPr>
            <w:tcW w:w="7792" w:type="dxa"/>
            <w:gridSpan w:val="3"/>
            <w:vAlign w:val="center"/>
          </w:tcPr>
          <w:p w14:paraId="46E53540">
            <w:pPr>
              <w:autoSpaceDE w:val="0"/>
              <w:autoSpaceDN w:val="0"/>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无</w:t>
            </w:r>
          </w:p>
        </w:tc>
      </w:tr>
      <w:tr w14:paraId="7F784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8" w:type="dxa"/>
            <w:vAlign w:val="center"/>
          </w:tcPr>
          <w:p w14:paraId="339C3376">
            <w:pPr>
              <w:autoSpaceDE w:val="0"/>
              <w:autoSpaceDN w:val="0"/>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 w:val="24"/>
                <w14:textFill>
                  <w14:solidFill>
                    <w14:schemeClr w14:val="tx1"/>
                  </w14:solidFill>
                </w14:textFill>
              </w:rPr>
              <w:t>其他符合性分析</w:t>
            </w:r>
          </w:p>
        </w:tc>
        <w:tc>
          <w:tcPr>
            <w:tcW w:w="7792" w:type="dxa"/>
            <w:gridSpan w:val="3"/>
            <w:vAlign w:val="center"/>
          </w:tcPr>
          <w:p w14:paraId="0A6EFC87">
            <w:pPr>
              <w:widowControl/>
              <w:spacing w:line="360" w:lineRule="auto"/>
              <w:jc w:val="left"/>
              <w:rPr>
                <w:color w:val="000000" w:themeColor="text1"/>
                <w:sz w:val="28"/>
                <w:szCs w:val="28"/>
                <w:highlight w:val="none"/>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1</w:t>
            </w:r>
            <w:r>
              <w:rPr>
                <w:rFonts w:hint="eastAsia" w:cs="宋体"/>
                <w:b/>
                <w:bCs/>
                <w:color w:val="000000" w:themeColor="text1"/>
                <w:kern w:val="0"/>
                <w:sz w:val="28"/>
                <w:szCs w:val="28"/>
                <w:highlight w:val="none"/>
                <w:lang w:bidi="ar"/>
                <w14:textFill>
                  <w14:solidFill>
                    <w14:schemeClr w14:val="tx1"/>
                  </w14:solidFill>
                </w14:textFill>
              </w:rPr>
              <w:t>.产业政策符合性分析</w:t>
            </w:r>
          </w:p>
          <w:p w14:paraId="5EDA8588">
            <w:pPr>
              <w:pStyle w:val="34"/>
              <w:rPr>
                <w:rFonts w:cs="Times New Roman"/>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本项目属于屠宰及肉类加工项目，</w:t>
            </w:r>
            <w:r>
              <w:rPr>
                <w:rFonts w:cs="Times New Roman"/>
                <w:color w:val="000000" w:themeColor="text1"/>
                <w:highlight w:val="none"/>
                <w:lang w:val="zh-CN" w:eastAsia="zh-CN"/>
                <w14:textFill>
                  <w14:solidFill>
                    <w14:schemeClr w14:val="tx1"/>
                  </w14:solidFill>
                </w14:textFill>
              </w:rPr>
              <w:t>根据《国家发展改革委商务部关于印发</w:t>
            </w:r>
            <w:r>
              <w:rPr>
                <w:rFonts w:hint="eastAsia" w:cs="Times New Roman"/>
                <w:color w:val="000000" w:themeColor="text1"/>
                <w:highlight w:val="none"/>
                <w:lang w:val="zh-CN" w:eastAsia="zh-CN"/>
                <w14:textFill>
                  <w14:solidFill>
                    <w14:schemeClr w14:val="tx1"/>
                  </w14:solidFill>
                </w14:textFill>
              </w:rPr>
              <w:t>〈</w:t>
            </w:r>
            <w:r>
              <w:rPr>
                <w:rFonts w:cs="Times New Roman"/>
                <w:color w:val="000000" w:themeColor="text1"/>
                <w:highlight w:val="none"/>
                <w:lang w:val="zh-CN" w:eastAsia="zh-CN"/>
                <w14:textFill>
                  <w14:solidFill>
                    <w14:schemeClr w14:val="tx1"/>
                  </w14:solidFill>
                </w14:textFill>
              </w:rPr>
              <w:t>市场准入负面清单（2022年版）</w:t>
            </w:r>
            <w:r>
              <w:rPr>
                <w:rFonts w:hint="eastAsia" w:cs="Times New Roman"/>
                <w:color w:val="000000" w:themeColor="text1"/>
                <w:highlight w:val="none"/>
                <w:lang w:val="zh-CN" w:eastAsia="zh-CN"/>
                <w14:textFill>
                  <w14:solidFill>
                    <w14:schemeClr w14:val="tx1"/>
                  </w14:solidFill>
                </w14:textFill>
              </w:rPr>
              <w:t>〉</w:t>
            </w:r>
            <w:r>
              <w:rPr>
                <w:rFonts w:cs="Times New Roman"/>
                <w:color w:val="000000" w:themeColor="text1"/>
                <w:highlight w:val="none"/>
                <w:lang w:val="zh-CN" w:eastAsia="zh-CN"/>
                <w14:textFill>
                  <w14:solidFill>
                    <w14:schemeClr w14:val="tx1"/>
                  </w14:solidFill>
                </w14:textFill>
              </w:rPr>
              <w:t>的通知》（发改体改规〔2022〕397号），项目不属于负面</w:t>
            </w:r>
            <w:r>
              <w:rPr>
                <w:rFonts w:cs="Times New Roman"/>
                <w:color w:val="000000" w:themeColor="text1"/>
                <w:highlight w:val="none"/>
                <w:lang w:eastAsia="zh-CN"/>
                <w14:textFill>
                  <w14:solidFill>
                    <w14:schemeClr w14:val="tx1"/>
                  </w14:solidFill>
                </w14:textFill>
              </w:rPr>
              <w:t>清单</w:t>
            </w:r>
            <w:r>
              <w:rPr>
                <w:rFonts w:cs="Times New Roman"/>
                <w:color w:val="000000" w:themeColor="text1"/>
                <w:highlight w:val="none"/>
                <w:lang w:val="zh-CN" w:eastAsia="zh-CN"/>
                <w14:textFill>
                  <w14:solidFill>
                    <w14:schemeClr w14:val="tx1"/>
                  </w14:solidFill>
                </w14:textFill>
              </w:rPr>
              <w:t>中禁止准</w:t>
            </w:r>
            <w:r>
              <w:rPr>
                <w:rFonts w:cs="Times New Roman"/>
                <w:color w:val="000000" w:themeColor="text1"/>
                <w:highlight w:val="none"/>
                <w:lang w:eastAsia="zh-CN"/>
                <w14:textFill>
                  <w14:solidFill>
                    <w14:schemeClr w14:val="tx1"/>
                  </w14:solidFill>
                </w14:textFill>
              </w:rPr>
              <w:t>入</w:t>
            </w:r>
            <w:r>
              <w:rPr>
                <w:rFonts w:cs="Times New Roman"/>
                <w:color w:val="000000" w:themeColor="text1"/>
                <w:highlight w:val="none"/>
                <w:lang w:val="zh-CN" w:eastAsia="zh-CN"/>
                <w14:textFill>
                  <w14:solidFill>
                    <w14:schemeClr w14:val="tx1"/>
                  </w14:solidFill>
                </w14:textFill>
              </w:rPr>
              <w:t>事项，亦不属于许可准入事项，属于市场准入负面清单以外的行业，且不涉及与市场准入相关的禁止性规定。</w:t>
            </w:r>
            <w:r>
              <w:rPr>
                <w:rFonts w:cs="Times New Roman"/>
                <w:color w:val="000000" w:themeColor="text1"/>
                <w:highlight w:val="none"/>
                <w:lang w:eastAsia="zh-CN"/>
                <w14:textFill>
                  <w14:solidFill>
                    <w14:schemeClr w14:val="tx1"/>
                  </w14:solidFill>
                </w14:textFill>
              </w:rPr>
              <w:t>对市场准入负面清单以外的行业、领域、业务等，各类市场</w:t>
            </w:r>
            <w:r>
              <w:rPr>
                <w:rFonts w:hint="eastAsia" w:cs="Times New Roman"/>
                <w:color w:val="000000" w:themeColor="text1"/>
                <w:highlight w:val="none"/>
                <w:lang w:eastAsia="zh-CN"/>
                <w14:textFill>
                  <w14:solidFill>
                    <w14:schemeClr w14:val="tx1"/>
                  </w14:solidFill>
                </w14:textFill>
              </w:rPr>
              <w:t>主体皆可依法平等进入。</w:t>
            </w:r>
          </w:p>
          <w:p w14:paraId="00419EFB">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本项目属于屠宰及肉类加工项目，根据《产业结构调整指导目录（2024年本）》中限制类十二轻工中的第24条</w:t>
            </w:r>
            <w:r>
              <w:rPr>
                <w:rFonts w:hint="eastAsia"/>
                <w:color w:val="000000" w:themeColor="text1"/>
                <w:highlight w:val="none"/>
                <w:lang w:val="zh-CN" w:eastAsia="zh-CN"/>
                <w14:textFill>
                  <w14:solidFill>
                    <w14:schemeClr w14:val="tx1"/>
                  </w14:solidFill>
                </w14:textFill>
              </w:rPr>
              <w:t>：“年屠宰生猪15万头及以下、肉牛1万头及以下、肉羊15万只及以下、活禽1000万只及以下的屠宰建设项目（少数民族地区除外）”。</w:t>
            </w:r>
            <w:r>
              <w:rPr>
                <w:rFonts w:hint="eastAsia"/>
                <w:color w:val="000000" w:themeColor="text1"/>
                <w:highlight w:val="none"/>
                <w:lang w:eastAsia="zh-CN"/>
                <w14:textFill>
                  <w14:solidFill>
                    <w14:schemeClr w14:val="tx1"/>
                  </w14:solidFill>
                </w14:textFill>
              </w:rPr>
              <w:t>本项目改建后有年屠宰肉羊5万只，属于限制类发展项目，但项目已于2024年12月6日取得投资项目备案证，因此项目建设满足产业政策要求。</w:t>
            </w:r>
          </w:p>
          <w:p w14:paraId="707CBE39">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根据《建设项目环境影响评价分类管理名录</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2021年版</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生态环境部令部令第16号</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，项目属于“十、农副食品加工业 13”中的“</w:t>
            </w:r>
            <w:r>
              <w:rPr>
                <w:rFonts w:hint="eastAsia"/>
                <w:color w:val="000000" w:themeColor="text1"/>
                <w:highlight w:val="none"/>
                <w:lang w:eastAsia="zh-CN"/>
                <w14:textFill>
                  <w14:solidFill>
                    <w14:schemeClr w14:val="tx1"/>
                  </w14:solidFill>
                </w14:textFill>
              </w:rPr>
              <w:t>18</w:t>
            </w:r>
            <w:r>
              <w:rPr>
                <w:color w:val="000000" w:themeColor="text1"/>
                <w:highlight w:val="none"/>
                <w:lang w:eastAsia="zh-CN"/>
                <w14:textFill>
                  <w14:solidFill>
                    <w14:schemeClr w14:val="tx1"/>
                  </w14:solidFill>
                </w14:textFill>
              </w:rPr>
              <w:t>屠宰及肉类加工135*</w:t>
            </w:r>
            <w:r>
              <w:rPr>
                <w:rFonts w:hint="eastAsia"/>
                <w:color w:val="000000" w:themeColor="text1"/>
                <w:highlight w:val="none"/>
                <w:lang w:eastAsia="zh-CN"/>
                <w14:textFill>
                  <w14:solidFill>
                    <w14:schemeClr w14:val="tx1"/>
                  </w14:solidFill>
                </w14:textFill>
              </w:rPr>
              <w:t>”中的“其他屠宰；年加工2万吨及以上的肉类加工”，应当</w:t>
            </w:r>
            <w:r>
              <w:rPr>
                <w:color w:val="000000" w:themeColor="text1"/>
                <w:highlight w:val="none"/>
                <w:lang w:eastAsia="zh-CN"/>
                <w14:textFill>
                  <w14:solidFill>
                    <w14:schemeClr w14:val="tx1"/>
                  </w14:solidFill>
                </w14:textFill>
              </w:rPr>
              <w:t>编制环境影响报告</w:t>
            </w:r>
            <w:r>
              <w:rPr>
                <w:rFonts w:hint="eastAsia"/>
                <w:color w:val="000000" w:themeColor="text1"/>
                <w:highlight w:val="none"/>
                <w:lang w:eastAsia="zh-CN"/>
                <w14:textFill>
                  <w14:solidFill>
                    <w14:schemeClr w14:val="tx1"/>
                  </w14:solidFill>
                </w14:textFill>
              </w:rPr>
              <w:t>表。</w:t>
            </w:r>
          </w:p>
          <w:p w14:paraId="7C9A9601">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2.与《昆明市“三线一单”生态环境分区管控的实施意见》《昆明市生态环境分区管控动态更新方案（2023年）》符合性分析</w:t>
            </w:r>
          </w:p>
          <w:p w14:paraId="517991FC">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2021年6月15日，昆明市人民政府印发《昆明市“三线一单”生态环境分区管控的实施意见》（昆政发〔2021〕21号），2024年11月12日，昆明市生态环境局印发</w:t>
            </w:r>
            <w:r>
              <w:rPr>
                <w:rFonts w:hint="eastAsia"/>
                <w:color w:val="000000" w:themeColor="text1"/>
                <w:spacing w:val="0"/>
                <w:highlight w:val="none"/>
                <w:shd w:val="clear" w:color="auto" w:fill="FFFFFF"/>
                <w:lang w:eastAsia="zh-CN"/>
                <w14:textFill>
                  <w14:solidFill>
                    <w14:schemeClr w14:val="tx1"/>
                  </w14:solidFill>
                </w14:textFill>
              </w:rPr>
              <w:t>《昆明市生态环境分区管控动态更新方案（2023年）》，本项目相关符合性如下</w:t>
            </w:r>
            <w:r>
              <w:rPr>
                <w:rFonts w:hint="eastAsia"/>
                <w:color w:val="000000" w:themeColor="text1"/>
                <w:highlight w:val="none"/>
                <w:lang w:eastAsia="zh-CN"/>
                <w14:textFill>
                  <w14:solidFill>
                    <w14:schemeClr w14:val="tx1"/>
                  </w14:solidFill>
                </w14:textFill>
              </w:rPr>
              <w:t>。</w:t>
            </w:r>
          </w:p>
          <w:p w14:paraId="3FE2407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（1）生态保护红线、环境质量底线、资源利用上线管理要求</w:t>
            </w:r>
          </w:p>
          <w:p w14:paraId="65D11AB5">
            <w:pPr>
              <w:pStyle w:val="34"/>
              <w:spacing w:line="240" w:lineRule="auto"/>
              <w:ind w:firstLine="0" w:firstLineChars="0"/>
              <w:jc w:val="center"/>
              <w:rPr>
                <w:rFonts w:cs="Times New Roman"/>
                <w:b/>
                <w:bCs/>
                <w:color w:val="000000" w:themeColor="text1"/>
                <w:spacing w:val="0"/>
                <w:sz w:val="21"/>
                <w:highlight w:val="none"/>
                <w:lang w:eastAsia="zh-CN"/>
                <w14:textFill>
                  <w14:solidFill>
                    <w14:schemeClr w14:val="tx1"/>
                  </w14:solidFill>
                </w14:textFill>
              </w:rPr>
            </w:pPr>
            <w:r>
              <w:rPr>
                <w:rFonts w:hint="eastAsia" w:cs="Times New Roman"/>
                <w:b/>
                <w:bCs/>
                <w:color w:val="000000" w:themeColor="text1"/>
                <w:spacing w:val="0"/>
                <w:sz w:val="21"/>
                <w:highlight w:val="none"/>
                <w:lang w:eastAsia="zh-CN"/>
                <w14:textFill>
                  <w14:solidFill>
                    <w14:schemeClr w14:val="tx1"/>
                  </w14:solidFill>
                </w14:textFill>
              </w:rPr>
              <w:t>表1-2“三线一单”符合性分析表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67"/>
              <w:gridCol w:w="3001"/>
              <w:gridCol w:w="2463"/>
              <w:gridCol w:w="836"/>
            </w:tblGrid>
            <w:tr w14:paraId="5818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5" w:type="pct"/>
                  <w:gridSpan w:val="2"/>
                  <w:vAlign w:val="center"/>
                </w:tcPr>
                <w:p w14:paraId="21FA720A">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类别</w:t>
                  </w:r>
                </w:p>
              </w:tc>
              <w:tc>
                <w:tcPr>
                  <w:tcW w:w="1983" w:type="pct"/>
                  <w:vAlign w:val="center"/>
                </w:tcPr>
                <w:p w14:paraId="1FF5ACC5">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文件要求</w:t>
                  </w:r>
                </w:p>
              </w:tc>
              <w:tc>
                <w:tcPr>
                  <w:tcW w:w="1628" w:type="pct"/>
                  <w:vAlign w:val="center"/>
                </w:tcPr>
                <w:p w14:paraId="2EF1D1D1">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项目情况</w:t>
                  </w:r>
                </w:p>
              </w:tc>
              <w:tc>
                <w:tcPr>
                  <w:tcW w:w="552" w:type="pct"/>
                  <w:vAlign w:val="center"/>
                </w:tcPr>
                <w:p w14:paraId="0E0B0703">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符合性</w:t>
                  </w:r>
                </w:p>
              </w:tc>
            </w:tr>
            <w:tr w14:paraId="2AA5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5" w:type="pct"/>
                  <w:gridSpan w:val="2"/>
                  <w:vAlign w:val="center"/>
                </w:tcPr>
                <w:p w14:paraId="44DFAAAD">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生态保护红线</w:t>
                  </w:r>
                </w:p>
              </w:tc>
              <w:tc>
                <w:tcPr>
                  <w:tcW w:w="1983" w:type="pct"/>
                  <w:vAlign w:val="center"/>
                </w:tcPr>
                <w:p w14:paraId="53A3975F">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执行云南省人民政府发布的《云南省生态保护红线》，全市生态保护红线总面积为4662.53平方公里，占全市国土面积的22.19%。生态保护红线区按照国家和云南省颁布的生态保护红线有关管控政策办法执行，立足已形成的生态保护红线划定工作成果，遵循生态优先原则，将未划入生态保护红线的自然保护地、饮用水水源保护区、重要湿地、基本草原、生态公益林、天然林等生态功能重要、生态环境敏感区域划为一般生态空间。</w:t>
                  </w:r>
                </w:p>
              </w:tc>
              <w:tc>
                <w:tcPr>
                  <w:tcW w:w="1628" w:type="pct"/>
                  <w:vAlign w:val="center"/>
                </w:tcPr>
                <w:p w14:paraId="45F30043">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val="zh-CN" w:eastAsia="zh-CN"/>
                      <w14:textFill>
                        <w14:solidFill>
                          <w14:schemeClr w14:val="tx1"/>
                        </w14:solidFill>
                      </w14:textFill>
                    </w:rPr>
                    <w:t>项目位于云南省</w:t>
                  </w:r>
                  <w:r>
                    <w:rPr>
                      <w:rFonts w:hint="eastAsia"/>
                      <w:color w:val="000000" w:themeColor="text1"/>
                      <w:sz w:val="21"/>
                      <w:szCs w:val="21"/>
                      <w:highlight w:val="none"/>
                      <w:lang w:eastAsia="zh-CN"/>
                      <w14:textFill>
                        <w14:solidFill>
                          <w14:schemeClr w14:val="tx1"/>
                        </w14:solidFill>
                      </w14:textFill>
                    </w:rPr>
                    <w:t>昆明市</w:t>
                  </w:r>
                  <w:r>
                    <w:rPr>
                      <w:rFonts w:hint="eastAsia"/>
                      <w:color w:val="000000" w:themeColor="text1"/>
                      <w:sz w:val="21"/>
                      <w:szCs w:val="21"/>
                      <w:highlight w:val="none"/>
                      <w:lang w:val="zh-CN" w:eastAsia="zh-CN"/>
                      <w14:textFill>
                        <w14:solidFill>
                          <w14:schemeClr w14:val="tx1"/>
                        </w14:solidFill>
                      </w14:textFill>
                    </w:rPr>
                    <w:t>寻甸县羊街镇龙池村</w:t>
                  </w:r>
                  <w:r>
                    <w:rPr>
                      <w:color w:val="000000" w:themeColor="text1"/>
                      <w:sz w:val="21"/>
                      <w:szCs w:val="21"/>
                      <w:highlight w:val="none"/>
                      <w:lang w:val="zh-CN" w:eastAsia="zh-CN"/>
                      <w14:textFill>
                        <w14:solidFill>
                          <w14:schemeClr w14:val="tx1"/>
                        </w14:solidFill>
                      </w14:textFill>
                    </w:rPr>
                    <w:t>，</w:t>
                  </w:r>
                  <w:r>
                    <w:rPr>
                      <w:rFonts w:hint="eastAsia"/>
                      <w:color w:val="000000" w:themeColor="text1"/>
                      <w:sz w:val="21"/>
                      <w:szCs w:val="21"/>
                      <w:highlight w:val="none"/>
                      <w:lang w:val="zh-CN" w:eastAsia="zh-CN"/>
                      <w14:textFill>
                        <w14:solidFill>
                          <w14:schemeClr w14:val="tx1"/>
                        </w14:solidFill>
                      </w14:textFill>
                    </w:rPr>
                    <w:t>不涉及生态保护红线，不涉及</w:t>
                  </w:r>
                  <w:r>
                    <w:rPr>
                      <w:rFonts w:hint="eastAsia"/>
                      <w:color w:val="000000" w:themeColor="text1"/>
                      <w:sz w:val="21"/>
                      <w:szCs w:val="21"/>
                      <w:highlight w:val="none"/>
                      <w:lang w:eastAsia="zh-CN"/>
                      <w14:textFill>
                        <w14:solidFill>
                          <w14:schemeClr w14:val="tx1"/>
                        </w14:solidFill>
                      </w14:textFill>
                    </w:rPr>
                    <w:t>自然保护区、国家公园、森林公园、风景名胜区、地质公园、湿地公园、县城集中式饮用水水源地、水产种质资源保护区等生态功能重要区、生态环境敏感区。</w:t>
                  </w:r>
                </w:p>
              </w:tc>
              <w:tc>
                <w:tcPr>
                  <w:tcW w:w="552" w:type="pct"/>
                  <w:vAlign w:val="center"/>
                </w:tcPr>
                <w:p w14:paraId="165DE1A2">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符合</w:t>
                  </w:r>
                </w:p>
              </w:tc>
            </w:tr>
            <w:tr w14:paraId="25F9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8" w:type="pct"/>
                  <w:vMerge w:val="restart"/>
                  <w:vAlign w:val="center"/>
                </w:tcPr>
                <w:p w14:paraId="35FA9AB6">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环境质量底线</w:t>
                  </w:r>
                </w:p>
              </w:tc>
              <w:tc>
                <w:tcPr>
                  <w:tcW w:w="507" w:type="pct"/>
                  <w:vAlign w:val="center"/>
                </w:tcPr>
                <w:p w14:paraId="6A0DF99A">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水环境质量底线</w:t>
                  </w:r>
                </w:p>
              </w:tc>
              <w:tc>
                <w:tcPr>
                  <w:tcW w:w="1983" w:type="pct"/>
                  <w:vAlign w:val="center"/>
                </w:tcPr>
                <w:p w14:paraId="352D7FB5">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val="zh-CN" w:eastAsia="zh-CN"/>
                      <w14:textFill>
                        <w14:solidFill>
                          <w14:schemeClr w14:val="tx1"/>
                        </w14:solidFill>
                      </w14:textFill>
                    </w:rPr>
                    <w:t>到2025年，全</w:t>
                  </w:r>
                  <w:r>
                    <w:rPr>
                      <w:rFonts w:hint="eastAsia"/>
                      <w:color w:val="000000" w:themeColor="text1"/>
                      <w:sz w:val="21"/>
                      <w:szCs w:val="21"/>
                      <w:highlight w:val="none"/>
                      <w:lang w:eastAsia="zh-CN"/>
                      <w14:textFill>
                        <w14:solidFill>
                          <w14:schemeClr w14:val="tx1"/>
                        </w14:solidFill>
                      </w14:textFill>
                    </w:rPr>
                    <w:t>市</w:t>
                  </w:r>
                  <w:r>
                    <w:rPr>
                      <w:color w:val="000000" w:themeColor="text1"/>
                      <w:sz w:val="21"/>
                      <w:szCs w:val="21"/>
                      <w:highlight w:val="none"/>
                      <w:lang w:val="zh-CN" w:eastAsia="zh-CN"/>
                      <w14:textFill>
                        <w14:solidFill>
                          <w14:schemeClr w14:val="tx1"/>
                        </w14:solidFill>
                      </w14:textFill>
                    </w:rPr>
                    <w:t>水环境质量总体改善，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Ⅴ类水体，集中式饮用水水源水质稳定达标。</w:t>
                  </w:r>
                </w:p>
              </w:tc>
              <w:tc>
                <w:tcPr>
                  <w:tcW w:w="1628" w:type="pct"/>
                  <w:vAlign w:val="center"/>
                </w:tcPr>
                <w:p w14:paraId="2D8918C6">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项目最近地表水体为果马河，果马河为牛栏江的正源，牛栏江是金沙江右岸较大的一级支流。根据云南省水利厅2014年5月发布的《云南省水功能区划》（2014年修订），项目所属河段为“牛栏江-滇池补水水源保护区”，由寻甸县河源至沾益县德泽水库坝址，全长161.5km，2030年水质目标为Ⅲ类，地表水环境执行《地表水环境质量标准》（GB3838-2002）Ⅲ类水质标准要求。项目屠宰废水依托现有的污水处理设施处理达标用于绿化浇灌，清洁卫生和喷洒扬尘等，不外排，项目建成运营不会改变项目所在区域的地表水水质。</w:t>
                  </w:r>
                </w:p>
              </w:tc>
              <w:tc>
                <w:tcPr>
                  <w:tcW w:w="552" w:type="pct"/>
                  <w:vAlign w:val="center"/>
                </w:tcPr>
                <w:p w14:paraId="7F882B7C">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符合</w:t>
                  </w:r>
                </w:p>
              </w:tc>
            </w:tr>
            <w:tr w14:paraId="5088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8" w:type="pct"/>
                  <w:vMerge w:val="continue"/>
                  <w:vAlign w:val="center"/>
                </w:tcPr>
                <w:p w14:paraId="61459060">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p>
              </w:tc>
              <w:tc>
                <w:tcPr>
                  <w:tcW w:w="507" w:type="pct"/>
                  <w:vAlign w:val="center"/>
                </w:tcPr>
                <w:p w14:paraId="44C0A6B7">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大气环境质量底线</w:t>
                  </w:r>
                </w:p>
              </w:tc>
              <w:tc>
                <w:tcPr>
                  <w:tcW w:w="1983" w:type="pct"/>
                  <w:vAlign w:val="center"/>
                </w:tcPr>
                <w:p w14:paraId="2DC88D47">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val="zh-CN" w:eastAsia="zh-CN"/>
                      <w14:textFill>
                        <w14:solidFill>
                          <w14:schemeClr w14:val="tx1"/>
                        </w14:solidFill>
                      </w14:textFill>
                    </w:rPr>
                    <w:t>到2025年，全市环境空气质量总体保持优良，主城建成区空气质量优良天数占比达99%以上，二氧化硫（SO</w:t>
                  </w:r>
                  <w:r>
                    <w:rPr>
                      <w:color w:val="000000" w:themeColor="text1"/>
                      <w:sz w:val="21"/>
                      <w:szCs w:val="21"/>
                      <w:highlight w:val="none"/>
                      <w:vertAlign w:val="subscript"/>
                      <w:lang w:val="zh-CN" w:eastAsia="zh-CN"/>
                      <w14:textFill>
                        <w14:solidFill>
                          <w14:schemeClr w14:val="tx1"/>
                        </w14:solidFill>
                      </w14:textFill>
                    </w:rPr>
                    <w:t>2</w:t>
                  </w:r>
                  <w:r>
                    <w:rPr>
                      <w:color w:val="000000" w:themeColor="text1"/>
                      <w:sz w:val="21"/>
                      <w:szCs w:val="21"/>
                      <w:highlight w:val="none"/>
                      <w:lang w:val="zh-CN" w:eastAsia="zh-CN"/>
                      <w14:textFill>
                        <w14:solidFill>
                          <w14:schemeClr w14:val="tx1"/>
                        </w14:solidFill>
                      </w14:textFill>
                    </w:rPr>
                    <w:t>）和氮氧化物（NO</w:t>
                  </w:r>
                  <w:r>
                    <w:rPr>
                      <w:color w:val="000000" w:themeColor="text1"/>
                      <w:sz w:val="21"/>
                      <w:szCs w:val="21"/>
                      <w:highlight w:val="none"/>
                      <w:vertAlign w:val="subscript"/>
                      <w:lang w:val="zh-CN" w:eastAsia="zh-CN"/>
                      <w14:textFill>
                        <w14:solidFill>
                          <w14:schemeClr w14:val="tx1"/>
                        </w14:solidFill>
                      </w14:textFill>
                    </w:rPr>
                    <w:t>X</w:t>
                  </w:r>
                  <w:r>
                    <w:rPr>
                      <w:color w:val="000000" w:themeColor="text1"/>
                      <w:sz w:val="21"/>
                      <w:szCs w:val="21"/>
                      <w:highlight w:val="none"/>
                      <w:lang w:val="zh-CN" w:eastAsia="zh-CN"/>
                      <w14:textFill>
                        <w14:solidFill>
                          <w14:schemeClr w14:val="tx1"/>
                        </w14:solidFill>
                      </w14:textFill>
                    </w:rPr>
                    <w:t>）排放总量控制在省下达的目标以内，主城区空气中颗粒物（PM</w:t>
                  </w:r>
                  <w:r>
                    <w:rPr>
                      <w:color w:val="000000" w:themeColor="text1"/>
                      <w:sz w:val="21"/>
                      <w:szCs w:val="21"/>
                      <w:highlight w:val="none"/>
                      <w:vertAlign w:val="subscript"/>
                      <w:lang w:val="zh-CN" w:eastAsia="zh-CN"/>
                      <w14:textFill>
                        <w14:solidFill>
                          <w14:schemeClr w14:val="tx1"/>
                        </w14:solidFill>
                      </w14:textFill>
                    </w:rPr>
                    <w:t>10</w:t>
                  </w:r>
                  <w:r>
                    <w:rPr>
                      <w:color w:val="000000" w:themeColor="text1"/>
                      <w:sz w:val="21"/>
                      <w:szCs w:val="21"/>
                      <w:highlight w:val="none"/>
                      <w:lang w:val="zh-CN" w:eastAsia="zh-CN"/>
                      <w14:textFill>
                        <w14:solidFill>
                          <w14:schemeClr w14:val="tx1"/>
                        </w14:solidFill>
                      </w14:textFill>
                    </w:rPr>
                    <w:t>、PM</w:t>
                  </w:r>
                  <w:r>
                    <w:rPr>
                      <w:color w:val="000000" w:themeColor="text1"/>
                      <w:sz w:val="21"/>
                      <w:szCs w:val="21"/>
                      <w:highlight w:val="none"/>
                      <w:vertAlign w:val="subscript"/>
                      <w:lang w:val="zh-CN" w:eastAsia="zh-CN"/>
                      <w14:textFill>
                        <w14:solidFill>
                          <w14:schemeClr w14:val="tx1"/>
                        </w14:solidFill>
                      </w14:textFill>
                    </w:rPr>
                    <w:t>2.5</w:t>
                  </w:r>
                  <w:r>
                    <w:rPr>
                      <w:color w:val="000000" w:themeColor="text1"/>
                      <w:sz w:val="21"/>
                      <w:szCs w:val="21"/>
                      <w:highlight w:val="none"/>
                      <w:lang w:val="zh-CN" w:eastAsia="zh-CN"/>
                      <w14:textFill>
                        <w14:solidFill>
                          <w14:schemeClr w14:val="tx1"/>
                        </w14:solidFill>
                      </w14:textFill>
                    </w:rPr>
                    <w:t>）稳定达《环境空气质量标准》二级标准以上。到2035年</w:t>
                  </w:r>
                  <w:r>
                    <w:rPr>
                      <w:rFonts w:hint="eastAsia"/>
                      <w:color w:val="000000" w:themeColor="text1"/>
                      <w:sz w:val="21"/>
                      <w:szCs w:val="21"/>
                      <w:highlight w:val="none"/>
                      <w:lang w:val="zh-CN" w:eastAsia="zh-CN"/>
                      <w14:textFill>
                        <w14:solidFill>
                          <w14:schemeClr w14:val="tx1"/>
                        </w14:solidFill>
                      </w14:textFill>
                    </w:rPr>
                    <w:t>，</w:t>
                  </w:r>
                  <w:r>
                    <w:rPr>
                      <w:color w:val="000000" w:themeColor="text1"/>
                      <w:sz w:val="21"/>
                      <w:szCs w:val="21"/>
                      <w:highlight w:val="none"/>
                      <w:lang w:val="zh-CN" w:eastAsia="zh-CN"/>
                      <w14:textFill>
                        <w14:solidFill>
                          <w14:schemeClr w14:val="tx1"/>
                        </w14:solidFill>
                      </w14:textFill>
                    </w:rPr>
                    <w:t>全市环境空气质量全面改善，各县（市）区、开发（度假）区环境空气质量稳定达到国家二级标准。</w:t>
                  </w:r>
                </w:p>
              </w:tc>
              <w:tc>
                <w:tcPr>
                  <w:tcW w:w="1628" w:type="pct"/>
                  <w:vAlign w:val="center"/>
                </w:tcPr>
                <w:p w14:paraId="01E0AB9F">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val="zh-CN" w:eastAsia="zh-CN"/>
                      <w14:textFill>
                        <w14:solidFill>
                          <w14:schemeClr w14:val="tx1"/>
                        </w14:solidFill>
                      </w14:textFill>
                    </w:rPr>
                    <w:t>项目</w:t>
                  </w:r>
                  <w:r>
                    <w:rPr>
                      <w:rFonts w:hint="eastAsia"/>
                      <w:color w:val="000000" w:themeColor="text1"/>
                      <w:sz w:val="21"/>
                      <w:szCs w:val="21"/>
                      <w:highlight w:val="none"/>
                      <w:lang w:val="zh-CN" w:eastAsia="zh-CN"/>
                      <w14:textFill>
                        <w14:solidFill>
                          <w14:schemeClr w14:val="tx1"/>
                        </w14:solidFill>
                      </w14:textFill>
                    </w:rPr>
                    <w:t>位于</w:t>
                  </w:r>
                  <w:r>
                    <w:rPr>
                      <w:rFonts w:hint="eastAsia"/>
                      <w:color w:val="000000" w:themeColor="text1"/>
                      <w:sz w:val="21"/>
                      <w:szCs w:val="21"/>
                      <w:highlight w:val="none"/>
                      <w:lang w:eastAsia="zh-CN"/>
                      <w14:textFill>
                        <w14:solidFill>
                          <w14:schemeClr w14:val="tx1"/>
                        </w14:solidFill>
                      </w14:textFill>
                    </w:rPr>
                    <w:t>昆明市</w:t>
                  </w:r>
                  <w:r>
                    <w:rPr>
                      <w:rFonts w:hint="eastAsia"/>
                      <w:color w:val="000000" w:themeColor="text1"/>
                      <w:sz w:val="21"/>
                      <w:szCs w:val="21"/>
                      <w:highlight w:val="none"/>
                      <w:lang w:val="zh-CN" w:eastAsia="zh-CN"/>
                      <w14:textFill>
                        <w14:solidFill>
                          <w14:schemeClr w14:val="tx1"/>
                        </w14:solidFill>
                      </w14:textFill>
                    </w:rPr>
                    <w:t>寻甸县羊街镇，</w:t>
                  </w:r>
                  <w:r>
                    <w:rPr>
                      <w:color w:val="000000" w:themeColor="text1"/>
                      <w:sz w:val="21"/>
                      <w:szCs w:val="21"/>
                      <w:highlight w:val="none"/>
                      <w:lang w:val="zh-CN" w:eastAsia="zh-CN"/>
                      <w14:textFill>
                        <w14:solidFill>
                          <w14:schemeClr w14:val="tx1"/>
                        </w14:solidFill>
                      </w14:textFill>
                    </w:rPr>
                    <w:t>选址区域为环境空气功能</w:t>
                  </w:r>
                  <w:r>
                    <w:rPr>
                      <w:color w:val="000000" w:themeColor="text1"/>
                      <w:sz w:val="21"/>
                      <w:szCs w:val="21"/>
                      <w:highlight w:val="none"/>
                      <w:lang w:eastAsia="zh-CN"/>
                      <w14:textFill>
                        <w14:solidFill>
                          <w14:schemeClr w14:val="tx1"/>
                        </w14:solidFill>
                      </w14:textFill>
                    </w:rPr>
                    <w:t>二</w:t>
                  </w:r>
                  <w:r>
                    <w:rPr>
                      <w:color w:val="000000" w:themeColor="text1"/>
                      <w:sz w:val="21"/>
                      <w:szCs w:val="21"/>
                      <w:highlight w:val="none"/>
                      <w:lang w:val="zh-CN" w:eastAsia="zh-CN"/>
                      <w14:textFill>
                        <w14:solidFill>
                          <w14:schemeClr w14:val="tx1"/>
                        </w14:solidFill>
                      </w14:textFill>
                    </w:rPr>
                    <w:t>类区，根据昆明市生态环境局2024年6月发布的《2023年昆明市生态环境状况公报》，2023年，昆明市主城区环境空气优良率97.53%，其中优189天、良167天。与2022年相比，优级天数减少57天，各项污染物均达到二级空气质量日均值（臭氧为日最大8小时平均）标准。2023年，各县（市）区环境空气质量总体保持良好，各项污染物平均浓度均达到二级空气质量标准。与2022年相比，各县（市）区环境空气综合污染指数均上升。</w:t>
                  </w:r>
                  <w:r>
                    <w:rPr>
                      <w:color w:val="000000" w:themeColor="text1"/>
                      <w:sz w:val="21"/>
                      <w:szCs w:val="21"/>
                      <w:highlight w:val="none"/>
                      <w:lang w:eastAsia="zh-CN"/>
                      <w14:textFill>
                        <w14:solidFill>
                          <w14:schemeClr w14:val="tx1"/>
                        </w14:solidFill>
                      </w14:textFill>
                    </w:rPr>
                    <w:t>评价区属于环境空气达标区</w:t>
                  </w:r>
                  <w:r>
                    <w:rPr>
                      <w:color w:val="000000" w:themeColor="text1"/>
                      <w:sz w:val="21"/>
                      <w:szCs w:val="21"/>
                      <w:highlight w:val="none"/>
                      <w:lang w:val="zh-CN" w:eastAsia="zh-CN"/>
                      <w14:textFill>
                        <w14:solidFill>
                          <w14:schemeClr w14:val="tx1"/>
                        </w14:solidFill>
                      </w14:textFill>
                    </w:rPr>
                    <w:t>，尚有容量进行项目建设，同时项目仅产生少量废气，经采取相关措施后，不会改变项目区环境空气功能。</w:t>
                  </w:r>
                </w:p>
              </w:tc>
              <w:tc>
                <w:tcPr>
                  <w:tcW w:w="552" w:type="pct"/>
                  <w:vAlign w:val="center"/>
                </w:tcPr>
                <w:p w14:paraId="2324A989">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符合</w:t>
                  </w:r>
                </w:p>
              </w:tc>
            </w:tr>
            <w:tr w14:paraId="2812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8" w:type="pct"/>
                  <w:vMerge w:val="continue"/>
                  <w:vAlign w:val="center"/>
                </w:tcPr>
                <w:p w14:paraId="28F365F6">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p>
              </w:tc>
              <w:tc>
                <w:tcPr>
                  <w:tcW w:w="507" w:type="pct"/>
                  <w:vAlign w:val="center"/>
                </w:tcPr>
                <w:p w14:paraId="1C9B6403">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土壤环境风险防控底线</w:t>
                  </w:r>
                </w:p>
              </w:tc>
              <w:tc>
                <w:tcPr>
                  <w:tcW w:w="1983" w:type="pct"/>
                  <w:vAlign w:val="center"/>
                </w:tcPr>
                <w:p w14:paraId="1058922C">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val="zh-CN" w:eastAsia="zh-CN"/>
                      <w14:textFill>
                        <w14:solidFill>
                          <w14:schemeClr w14:val="tx1"/>
                        </w14:solidFill>
                      </w14:textFill>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tc>
              <w:tc>
                <w:tcPr>
                  <w:tcW w:w="1628" w:type="pct"/>
                  <w:vAlign w:val="center"/>
                </w:tcPr>
                <w:p w14:paraId="30EC559C">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val="zh-CN" w:eastAsia="zh-CN"/>
                      <w14:textFill>
                        <w14:solidFill>
                          <w14:schemeClr w14:val="tx1"/>
                        </w14:solidFill>
                      </w14:textFill>
                    </w:rPr>
                    <w:t>项目属于</w:t>
                  </w:r>
                  <w:r>
                    <w:rPr>
                      <w:rFonts w:hint="eastAsia"/>
                      <w:color w:val="000000" w:themeColor="text1"/>
                      <w:sz w:val="21"/>
                      <w:szCs w:val="21"/>
                      <w:highlight w:val="none"/>
                      <w:lang w:eastAsia="zh-CN"/>
                      <w14:textFill>
                        <w14:solidFill>
                          <w14:schemeClr w14:val="tx1"/>
                        </w14:solidFill>
                      </w14:textFill>
                    </w:rPr>
                    <w:t>屠宰类</w:t>
                  </w:r>
                  <w:r>
                    <w:rPr>
                      <w:rFonts w:hint="eastAsia"/>
                      <w:color w:val="000000" w:themeColor="text1"/>
                      <w:sz w:val="21"/>
                      <w:szCs w:val="21"/>
                      <w:highlight w:val="none"/>
                      <w:lang w:val="zh-CN" w:eastAsia="zh-CN"/>
                      <w14:textFill>
                        <w14:solidFill>
                          <w14:schemeClr w14:val="tx1"/>
                        </w14:solidFill>
                      </w14:textFill>
                    </w:rPr>
                    <w:t>项目</w:t>
                  </w:r>
                  <w:r>
                    <w:rPr>
                      <w:color w:val="000000" w:themeColor="text1"/>
                      <w:sz w:val="21"/>
                      <w:szCs w:val="21"/>
                      <w:highlight w:val="none"/>
                      <w:lang w:val="zh-CN" w:eastAsia="zh-CN"/>
                      <w14:textFill>
                        <w14:solidFill>
                          <w14:schemeClr w14:val="tx1"/>
                        </w14:solidFill>
                      </w14:textFill>
                    </w:rPr>
                    <w:t>，进行</w:t>
                  </w:r>
                  <w:r>
                    <w:rPr>
                      <w:rFonts w:hint="eastAsia"/>
                      <w:color w:val="000000" w:themeColor="text1"/>
                      <w:sz w:val="21"/>
                      <w:szCs w:val="21"/>
                      <w:highlight w:val="none"/>
                      <w:lang w:eastAsia="zh-CN"/>
                      <w14:textFill>
                        <w14:solidFill>
                          <w14:schemeClr w14:val="tx1"/>
                        </w14:solidFill>
                      </w14:textFill>
                    </w:rPr>
                    <w:t>肉羊的屠宰工作</w:t>
                  </w:r>
                  <w:r>
                    <w:rPr>
                      <w:color w:val="000000" w:themeColor="text1"/>
                      <w:sz w:val="21"/>
                      <w:szCs w:val="21"/>
                      <w:highlight w:val="none"/>
                      <w:lang w:val="zh-CN" w:eastAsia="zh-CN"/>
                      <w14:textFill>
                        <w14:solidFill>
                          <w14:schemeClr w14:val="tx1"/>
                        </w14:solidFill>
                      </w14:textFill>
                    </w:rPr>
                    <w:t>，项目位于云南省</w:t>
                  </w:r>
                  <w:r>
                    <w:rPr>
                      <w:rFonts w:hint="eastAsia"/>
                      <w:color w:val="000000" w:themeColor="text1"/>
                      <w:sz w:val="21"/>
                      <w:szCs w:val="21"/>
                      <w:highlight w:val="none"/>
                      <w:lang w:eastAsia="zh-CN"/>
                      <w14:textFill>
                        <w14:solidFill>
                          <w14:schemeClr w14:val="tx1"/>
                        </w14:solidFill>
                      </w14:textFill>
                    </w:rPr>
                    <w:t>昆明市</w:t>
                  </w:r>
                  <w:r>
                    <w:rPr>
                      <w:color w:val="000000" w:themeColor="text1"/>
                      <w:sz w:val="21"/>
                      <w:szCs w:val="21"/>
                      <w:highlight w:val="none"/>
                      <w:lang w:val="zh-CN" w:eastAsia="zh-CN"/>
                      <w14:textFill>
                        <w14:solidFill>
                          <w14:schemeClr w14:val="tx1"/>
                        </w14:solidFill>
                      </w14:textFill>
                    </w:rPr>
                    <w:t>寻甸县羊街镇龙池村，地面均已硬化，无土壤污染现象，且项目产生的废水、废气、固体废物均得到合理处置，项目区土壤环境安全可得到有效保障。</w:t>
                  </w:r>
                </w:p>
              </w:tc>
              <w:tc>
                <w:tcPr>
                  <w:tcW w:w="552" w:type="pct"/>
                  <w:vAlign w:val="center"/>
                </w:tcPr>
                <w:p w14:paraId="759D2147">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符合</w:t>
                  </w:r>
                </w:p>
              </w:tc>
            </w:tr>
            <w:tr w14:paraId="1A86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8" w:type="pct"/>
                  <w:vMerge w:val="restart"/>
                  <w:vAlign w:val="center"/>
                </w:tcPr>
                <w:p w14:paraId="6C69B762">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资源利用上线</w:t>
                  </w:r>
                </w:p>
              </w:tc>
              <w:tc>
                <w:tcPr>
                  <w:tcW w:w="507" w:type="pct"/>
                  <w:vAlign w:val="center"/>
                </w:tcPr>
                <w:p w14:paraId="2EAD1CA5">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水资源利用上线</w:t>
                  </w:r>
                </w:p>
              </w:tc>
              <w:tc>
                <w:tcPr>
                  <w:tcW w:w="1983" w:type="pct"/>
                  <w:vAlign w:val="center"/>
                </w:tcPr>
                <w:p w14:paraId="4230AB1A">
                  <w:pPr>
                    <w:pStyle w:val="34"/>
                    <w:spacing w:line="240" w:lineRule="auto"/>
                    <w:ind w:firstLine="0" w:firstLineChars="0"/>
                    <w:jc w:val="center"/>
                    <w:rPr>
                      <w:color w:val="000000" w:themeColor="text1"/>
                      <w:sz w:val="21"/>
                      <w:szCs w:val="21"/>
                      <w:highlight w:val="none"/>
                      <w:lang w:val="zh-CN" w:eastAsia="zh-CN"/>
                      <w14:textFill>
                        <w14:solidFill>
                          <w14:schemeClr w14:val="tx1"/>
                        </w14:solidFill>
                      </w14:textFill>
                    </w:rPr>
                  </w:pPr>
                  <w:r>
                    <w:rPr>
                      <w:color w:val="000000" w:themeColor="text1"/>
                      <w:sz w:val="21"/>
                      <w:szCs w:val="21"/>
                      <w:highlight w:val="none"/>
                      <w:lang w:val="zh-CN" w:eastAsia="zh-CN"/>
                      <w14:textFill>
                        <w14:solidFill>
                          <w14:schemeClr w14:val="tx1"/>
                        </w14:solidFill>
                      </w14:textFill>
                    </w:rPr>
                    <w:t>按照国家、省、市有关要求和规划，按时完成全市用水总量、用水效率、限制纳污</w:t>
                  </w:r>
                  <w:r>
                    <w:rPr>
                      <w:rFonts w:hint="eastAsia"/>
                      <w:color w:val="000000" w:themeColor="text1"/>
                      <w:sz w:val="21"/>
                      <w:szCs w:val="21"/>
                      <w:highlight w:val="none"/>
                      <w:lang w:val="zh-CN" w:eastAsia="zh-CN"/>
                      <w14:textFill>
                        <w14:solidFill>
                          <w14:schemeClr w14:val="tx1"/>
                        </w14:solidFill>
                      </w14:textFill>
                    </w:rPr>
                    <w:t>“</w:t>
                  </w:r>
                  <w:r>
                    <w:rPr>
                      <w:color w:val="000000" w:themeColor="text1"/>
                      <w:sz w:val="21"/>
                      <w:szCs w:val="21"/>
                      <w:highlight w:val="none"/>
                      <w:lang w:val="zh-CN" w:eastAsia="zh-CN"/>
                      <w14:textFill>
                        <w14:solidFill>
                          <w14:schemeClr w14:val="tx1"/>
                        </w14:solidFill>
                      </w14:textFill>
                    </w:rPr>
                    <w:t>三条红线</w:t>
                  </w:r>
                  <w:r>
                    <w:rPr>
                      <w:rFonts w:hint="eastAsia"/>
                      <w:color w:val="000000" w:themeColor="text1"/>
                      <w:sz w:val="21"/>
                      <w:szCs w:val="21"/>
                      <w:highlight w:val="none"/>
                      <w:lang w:val="zh-CN" w:eastAsia="zh-CN"/>
                      <w14:textFill>
                        <w14:solidFill>
                          <w14:schemeClr w14:val="tx1"/>
                        </w14:solidFill>
                      </w14:textFill>
                    </w:rPr>
                    <w:t>”</w:t>
                  </w:r>
                  <w:r>
                    <w:rPr>
                      <w:color w:val="000000" w:themeColor="text1"/>
                      <w:sz w:val="21"/>
                      <w:szCs w:val="21"/>
                      <w:highlight w:val="none"/>
                      <w:lang w:val="zh-CN" w:eastAsia="zh-CN"/>
                      <w14:textFill>
                        <w14:solidFill>
                          <w14:schemeClr w14:val="tx1"/>
                        </w14:solidFill>
                      </w14:textFill>
                    </w:rPr>
                    <w:t>水资源上限控制指标</w:t>
                  </w:r>
                  <w:r>
                    <w:rPr>
                      <w:rFonts w:hint="eastAsia"/>
                      <w:color w:val="000000" w:themeColor="text1"/>
                      <w:sz w:val="21"/>
                      <w:szCs w:val="21"/>
                      <w:highlight w:val="none"/>
                      <w:lang w:val="zh-CN" w:eastAsia="zh-CN"/>
                      <w14:textFill>
                        <w14:solidFill>
                          <w14:schemeClr w14:val="tx1"/>
                        </w14:solidFill>
                      </w14:textFill>
                    </w:rPr>
                    <w:t>。</w:t>
                  </w:r>
                </w:p>
              </w:tc>
              <w:tc>
                <w:tcPr>
                  <w:tcW w:w="1628" w:type="pct"/>
                  <w:vAlign w:val="center"/>
                </w:tcPr>
                <w:p w14:paraId="6020D105">
                  <w:pPr>
                    <w:widowControl/>
                    <w:jc w:val="left"/>
                    <w:rPr>
                      <w:rFonts w:cs="宋体"/>
                      <w:color w:val="000000" w:themeColor="text1"/>
                      <w:spacing w:val="1"/>
                      <w:szCs w:val="21"/>
                      <w:highlight w:val="none"/>
                      <w:lang w:val="zh-CN"/>
                      <w14:textFill>
                        <w14:solidFill>
                          <w14:schemeClr w14:val="tx1"/>
                        </w14:solidFill>
                      </w14:textFill>
                    </w:rPr>
                  </w:pPr>
                  <w:r>
                    <w:rPr>
                      <w:rFonts w:hint="eastAsia" w:cs="宋体"/>
                      <w:spacing w:val="1"/>
                      <w:szCs w:val="21"/>
                      <w:highlight w:val="none"/>
                    </w:rPr>
                    <w:t>本项目为肉羊屠宰建设项目，年用水量</w:t>
                  </w:r>
                  <w:r>
                    <w:rPr>
                      <w:rFonts w:hint="eastAsia" w:cs="宋体"/>
                      <w:kern w:val="0"/>
                      <w:szCs w:val="21"/>
                      <w:highlight w:val="none"/>
                      <w:lang w:bidi="ar"/>
                    </w:rPr>
                    <w:t>20962</w:t>
                  </w:r>
                  <w:r>
                    <w:rPr>
                      <w:rFonts w:cs="宋体"/>
                      <w:spacing w:val="1"/>
                      <w:szCs w:val="21"/>
                      <w:highlight w:val="none"/>
                    </w:rPr>
                    <w:t>m</w:t>
                  </w:r>
                  <w:r>
                    <w:rPr>
                      <w:rFonts w:hint="eastAsia" w:cs="宋体"/>
                      <w:spacing w:val="1"/>
                      <w:szCs w:val="21"/>
                      <w:highlight w:val="none"/>
                      <w:vertAlign w:val="superscript"/>
                    </w:rPr>
                    <w:t>3</w:t>
                  </w:r>
                  <w:r>
                    <w:rPr>
                      <w:rFonts w:hint="eastAsia" w:cs="宋体"/>
                      <w:spacing w:val="1"/>
                      <w:szCs w:val="21"/>
                      <w:highlight w:val="none"/>
                    </w:rPr>
                    <w:t>，主要为屠宰用水，</w:t>
                  </w:r>
                  <w:r>
                    <w:rPr>
                      <w:rFonts w:hint="eastAsia"/>
                      <w:highlight w:val="none"/>
                    </w:rPr>
                    <w:t>用水由市政自来水供水；项目用电主要由市政电网供应，项目资源消耗量相对区域资源利用总量较少，项目建设其正效益大于负效益，项目符合资源利用上线要求。</w:t>
                  </w:r>
                </w:p>
              </w:tc>
              <w:tc>
                <w:tcPr>
                  <w:tcW w:w="552" w:type="pct"/>
                  <w:vAlign w:val="center"/>
                </w:tcPr>
                <w:p w14:paraId="65FF9F14">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符合</w:t>
                  </w:r>
                </w:p>
              </w:tc>
            </w:tr>
            <w:tr w14:paraId="646A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8" w:type="pct"/>
                  <w:vMerge w:val="continue"/>
                  <w:vAlign w:val="center"/>
                </w:tcPr>
                <w:p w14:paraId="3EE22723">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p>
              </w:tc>
              <w:tc>
                <w:tcPr>
                  <w:tcW w:w="507" w:type="pct"/>
                  <w:vAlign w:val="center"/>
                </w:tcPr>
                <w:p w14:paraId="05043EFD">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能源利用上线</w:t>
                  </w:r>
                </w:p>
              </w:tc>
              <w:tc>
                <w:tcPr>
                  <w:tcW w:w="1983" w:type="pct"/>
                  <w:vAlign w:val="center"/>
                </w:tcPr>
                <w:p w14:paraId="0EF11826">
                  <w:pPr>
                    <w:pStyle w:val="34"/>
                    <w:spacing w:line="240" w:lineRule="auto"/>
                    <w:ind w:firstLine="0" w:firstLineChars="0"/>
                    <w:jc w:val="center"/>
                    <w:rPr>
                      <w:color w:val="000000" w:themeColor="text1"/>
                      <w:sz w:val="21"/>
                      <w:szCs w:val="21"/>
                      <w:highlight w:val="none"/>
                      <w:lang w:val="zh-CN" w:eastAsia="zh-CN"/>
                      <w14:textFill>
                        <w14:solidFill>
                          <w14:schemeClr w14:val="tx1"/>
                        </w14:solidFill>
                      </w14:textFill>
                    </w:rPr>
                  </w:pPr>
                  <w:r>
                    <w:rPr>
                      <w:color w:val="000000" w:themeColor="text1"/>
                      <w:sz w:val="21"/>
                      <w:szCs w:val="21"/>
                      <w:highlight w:val="none"/>
                      <w:lang w:val="zh-CN" w:eastAsia="zh-CN"/>
                      <w14:textFill>
                        <w14:solidFill>
                          <w14:schemeClr w14:val="tx1"/>
                        </w14:solidFill>
                      </w14:textFill>
                    </w:rPr>
                    <w:t>按时完成单位GDP能耗下降率、能源消费总量等能源控制指标。</w:t>
                  </w:r>
                </w:p>
              </w:tc>
              <w:tc>
                <w:tcPr>
                  <w:tcW w:w="1628" w:type="pct"/>
                  <w:vAlign w:val="center"/>
                </w:tcPr>
                <w:p w14:paraId="52383209">
                  <w:pPr>
                    <w:pStyle w:val="34"/>
                    <w:spacing w:line="240" w:lineRule="auto"/>
                    <w:ind w:firstLine="0" w:firstLineChars="0"/>
                    <w:jc w:val="center"/>
                    <w:rPr>
                      <w:color w:val="000000" w:themeColor="text1"/>
                      <w:sz w:val="21"/>
                      <w:szCs w:val="21"/>
                      <w:highlight w:val="none"/>
                      <w:lang w:val="zh-CN" w:eastAsia="zh-CN"/>
                      <w14:textFill>
                        <w14:solidFill>
                          <w14:schemeClr w14:val="tx1"/>
                        </w14:solidFill>
                      </w14:textFill>
                    </w:rPr>
                  </w:pPr>
                  <w:r>
                    <w:rPr>
                      <w:color w:val="000000" w:themeColor="text1"/>
                      <w:sz w:val="21"/>
                      <w:szCs w:val="21"/>
                      <w:highlight w:val="none"/>
                      <w:lang w:val="zh-CN" w:eastAsia="zh-CN"/>
                      <w14:textFill>
                        <w14:solidFill>
                          <w14:schemeClr w14:val="tx1"/>
                        </w14:solidFill>
                      </w14:textFill>
                    </w:rPr>
                    <w:t>本项目生产过程主要消耗的能源类型为</w:t>
                  </w:r>
                  <w:r>
                    <w:rPr>
                      <w:rFonts w:hint="eastAsia"/>
                      <w:color w:val="000000" w:themeColor="text1"/>
                      <w:sz w:val="21"/>
                      <w:szCs w:val="21"/>
                      <w:highlight w:val="none"/>
                      <w:lang w:eastAsia="zh-CN"/>
                      <w14:textFill>
                        <w14:solidFill>
                          <w14:schemeClr w14:val="tx1"/>
                        </w14:solidFill>
                      </w14:textFill>
                    </w:rPr>
                    <w:t>电能，且耗电量较少</w:t>
                  </w:r>
                  <w:r>
                    <w:rPr>
                      <w:color w:val="000000" w:themeColor="text1"/>
                      <w:sz w:val="21"/>
                      <w:szCs w:val="21"/>
                      <w:highlight w:val="none"/>
                      <w:lang w:val="zh-CN" w:eastAsia="zh-CN"/>
                      <w14:textFill>
                        <w14:solidFill>
                          <w14:schemeClr w14:val="tx1"/>
                        </w14:solidFill>
                      </w14:textFill>
                    </w:rPr>
                    <w:t>，为清洁能源，也不属于高耗能项目。与能源利用上线不冲突。</w:t>
                  </w:r>
                </w:p>
              </w:tc>
              <w:tc>
                <w:tcPr>
                  <w:tcW w:w="552" w:type="pct"/>
                  <w:vAlign w:val="center"/>
                </w:tcPr>
                <w:p w14:paraId="50E46101">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符合</w:t>
                  </w:r>
                </w:p>
              </w:tc>
            </w:tr>
            <w:tr w14:paraId="3E96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8" w:type="pct"/>
                  <w:vMerge w:val="continue"/>
                  <w:vAlign w:val="center"/>
                </w:tcPr>
                <w:p w14:paraId="5C10D62C">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p>
              </w:tc>
              <w:tc>
                <w:tcPr>
                  <w:tcW w:w="507" w:type="pct"/>
                  <w:vAlign w:val="center"/>
                </w:tcPr>
                <w:p w14:paraId="0CF537B2">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土地资源利用上线</w:t>
                  </w:r>
                </w:p>
              </w:tc>
              <w:tc>
                <w:tcPr>
                  <w:tcW w:w="1983" w:type="pct"/>
                  <w:vAlign w:val="center"/>
                </w:tcPr>
                <w:p w14:paraId="366655BF">
                  <w:pPr>
                    <w:pStyle w:val="34"/>
                    <w:spacing w:line="240" w:lineRule="auto"/>
                    <w:ind w:firstLine="0" w:firstLineChars="0"/>
                    <w:jc w:val="center"/>
                    <w:rPr>
                      <w:rFonts w:cs="微软雅黑"/>
                      <w:color w:val="000000" w:themeColor="text1"/>
                      <w:spacing w:val="0"/>
                      <w:sz w:val="21"/>
                      <w:szCs w:val="21"/>
                      <w:highlight w:val="none"/>
                      <w:shd w:val="clear" w:color="auto" w:fill="FFFFFF"/>
                      <w:lang w:val="zh-CN" w:eastAsia="zh-CN"/>
                      <w14:textFill>
                        <w14:solidFill>
                          <w14:schemeClr w14:val="tx1"/>
                        </w14:solidFill>
                      </w14:textFill>
                    </w:rPr>
                  </w:pPr>
                  <w:r>
                    <w:rPr>
                      <w:rFonts w:hint="eastAsia" w:cs="微软雅黑"/>
                      <w:color w:val="000000" w:themeColor="text1"/>
                      <w:spacing w:val="0"/>
                      <w:sz w:val="21"/>
                      <w:szCs w:val="21"/>
                      <w:highlight w:val="none"/>
                      <w:shd w:val="clear" w:color="auto" w:fill="FFFFFF"/>
                      <w:lang w:eastAsia="zh-CN"/>
                      <w14:textFill>
                        <w14:solidFill>
                          <w14:schemeClr w14:val="tx1"/>
                        </w14:solidFill>
                      </w14:textFill>
                    </w:rPr>
                    <w:t>按时完成耕地保有量、基面积、建设用地总规模等土地资源利用上限控制指标</w:t>
                  </w:r>
                  <w:r>
                    <w:rPr>
                      <w:rFonts w:cs="微软雅黑"/>
                      <w:color w:val="000000" w:themeColor="text1"/>
                      <w:spacing w:val="0"/>
                      <w:sz w:val="21"/>
                      <w:szCs w:val="21"/>
                      <w:highlight w:val="none"/>
                      <w:shd w:val="clear" w:color="auto" w:fill="FFFFFF"/>
                      <w:lang w:eastAsia="zh-CN"/>
                      <w14:textFill>
                        <w14:solidFill>
                          <w14:schemeClr w14:val="tx1"/>
                        </w14:solidFill>
                      </w14:textFill>
                    </w:rPr>
                    <w:t>。</w:t>
                  </w:r>
                </w:p>
              </w:tc>
              <w:tc>
                <w:tcPr>
                  <w:tcW w:w="1628" w:type="pct"/>
                  <w:vAlign w:val="center"/>
                </w:tcPr>
                <w:p w14:paraId="0EF44F11">
                  <w:pPr>
                    <w:pStyle w:val="34"/>
                    <w:spacing w:line="240" w:lineRule="auto"/>
                    <w:ind w:firstLine="0" w:firstLineChars="0"/>
                    <w:jc w:val="center"/>
                    <w:rPr>
                      <w:rFonts w:cs="微软雅黑"/>
                      <w:color w:val="000000" w:themeColor="text1"/>
                      <w:spacing w:val="0"/>
                      <w:sz w:val="21"/>
                      <w:szCs w:val="21"/>
                      <w:highlight w:val="none"/>
                      <w:shd w:val="clear" w:color="auto" w:fill="FFFFFF"/>
                      <w:lang w:val="zh-CN" w:eastAsia="zh-CN"/>
                      <w14:textFill>
                        <w14:solidFill>
                          <w14:schemeClr w14:val="tx1"/>
                        </w14:solidFill>
                      </w14:textFill>
                    </w:rPr>
                  </w:pPr>
                  <w:r>
                    <w:rPr>
                      <w:rFonts w:hint="eastAsia" w:cs="微软雅黑"/>
                      <w:color w:val="000000" w:themeColor="text1"/>
                      <w:spacing w:val="0"/>
                      <w:sz w:val="21"/>
                      <w:szCs w:val="21"/>
                      <w:highlight w:val="none"/>
                      <w:shd w:val="clear" w:color="auto" w:fill="FFFFFF"/>
                      <w:lang w:eastAsia="zh-CN"/>
                      <w14:textFill>
                        <w14:solidFill>
                          <w14:schemeClr w14:val="tx1"/>
                        </w14:solidFill>
                      </w14:textFill>
                    </w:rPr>
                    <w:t>项目用地性质为工业用地，位于昆明市寻甸县羊街镇龙池村的原听牧产业园内，不占用基本农田和耕地，本项目利用项目内原有土地进行建设，占用原有土地约</w:t>
                  </w:r>
                  <w:r>
                    <w:rPr>
                      <w:rFonts w:hint="eastAsia" w:cs="Times New Roman"/>
                      <w:color w:val="000000" w:themeColor="text1"/>
                      <w:spacing w:val="0"/>
                      <w:sz w:val="21"/>
                      <w:szCs w:val="21"/>
                      <w:highlight w:val="none"/>
                      <w:shd w:val="clear" w:color="auto" w:fill="FFFFFF"/>
                      <w:lang w:eastAsia="zh-CN"/>
                      <w14:textFill>
                        <w14:solidFill>
                          <w14:schemeClr w14:val="tx1"/>
                        </w14:solidFill>
                      </w14:textFill>
                    </w:rPr>
                    <w:t>2314m</w:t>
                  </w:r>
                  <w:r>
                    <w:rPr>
                      <w:rFonts w:hint="eastAsia" w:cs="Times New Roman"/>
                      <w:color w:val="000000" w:themeColor="text1"/>
                      <w:spacing w:val="0"/>
                      <w:sz w:val="21"/>
                      <w:szCs w:val="21"/>
                      <w:highlight w:val="none"/>
                      <w:shd w:val="clear" w:color="auto" w:fill="FFFFFF"/>
                      <w:vertAlign w:val="superscript"/>
                      <w:lang w:eastAsia="zh-CN"/>
                      <w14:textFill>
                        <w14:solidFill>
                          <w14:schemeClr w14:val="tx1"/>
                        </w14:solidFill>
                      </w14:textFill>
                    </w:rPr>
                    <w:t>2</w:t>
                  </w:r>
                  <w:r>
                    <w:rPr>
                      <w:rFonts w:hint="eastAsia" w:cs="微软雅黑"/>
                      <w:color w:val="000000" w:themeColor="text1"/>
                      <w:spacing w:val="0"/>
                      <w:sz w:val="21"/>
                      <w:szCs w:val="21"/>
                      <w:highlight w:val="none"/>
                      <w:shd w:val="clear" w:color="auto" w:fill="FFFFFF"/>
                      <w:lang w:eastAsia="zh-CN"/>
                      <w14:textFill>
                        <w14:solidFill>
                          <w14:schemeClr w14:val="tx1"/>
                        </w14:solidFill>
                      </w14:textFill>
                    </w:rPr>
                    <w:t>，用地面积较小，不会突破土地资源利用上线。</w:t>
                  </w:r>
                </w:p>
              </w:tc>
              <w:tc>
                <w:tcPr>
                  <w:tcW w:w="552" w:type="pct"/>
                  <w:vAlign w:val="center"/>
                </w:tcPr>
                <w:p w14:paraId="4D89E803">
                  <w:pPr>
                    <w:pStyle w:val="34"/>
                    <w:spacing w:line="240" w:lineRule="auto"/>
                    <w:ind w:firstLine="0" w:firstLineChars="0"/>
                    <w:jc w:val="center"/>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符合</w:t>
                  </w:r>
                </w:p>
              </w:tc>
            </w:tr>
          </w:tbl>
          <w:p w14:paraId="31D3A08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（2）环境管控单元生态环境总体要求</w:t>
            </w:r>
          </w:p>
          <w:p w14:paraId="1EC1F412">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本项目与《昆明市生态环境分区管控动态更新方案（2023年）》（以下简称“方案”）文中规定的环境管控单元生态环境管控总体要求的符合性分析见下表：</w:t>
            </w:r>
          </w:p>
          <w:p w14:paraId="11BD23A5">
            <w:pPr>
              <w:widowControl/>
              <w:jc w:val="center"/>
              <w:rPr>
                <w:b/>
                <w:bCs/>
                <w:color w:val="000000" w:themeColor="text1"/>
                <w:szCs w:val="21"/>
                <w:highlight w:val="none"/>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表</w:t>
            </w:r>
            <w:r>
              <w:rPr>
                <w:b/>
                <w:bCs/>
                <w:color w:val="000000" w:themeColor="text1"/>
                <w:kern w:val="0"/>
                <w:szCs w:val="21"/>
                <w:highlight w:val="none"/>
                <w:lang w:bidi="ar"/>
                <w14:textFill>
                  <w14:solidFill>
                    <w14:schemeClr w14:val="tx1"/>
                  </w14:solidFill>
                </w14:textFill>
              </w:rPr>
              <w:t>1-</w:t>
            </w:r>
            <w:r>
              <w:rPr>
                <w:rFonts w:hint="eastAsia"/>
                <w:b/>
                <w:bCs/>
                <w:color w:val="000000" w:themeColor="text1"/>
                <w:kern w:val="0"/>
                <w:szCs w:val="21"/>
                <w:highlight w:val="none"/>
                <w:lang w:bidi="ar"/>
                <w14:textFill>
                  <w14:solidFill>
                    <w14:schemeClr w14:val="tx1"/>
                  </w14:solidFill>
                </w14:textFill>
              </w:rPr>
              <w:t>3项目</w:t>
            </w:r>
            <w:r>
              <w:rPr>
                <w:rFonts w:hint="eastAsia" w:cs="宋体"/>
                <w:b/>
                <w:bCs/>
                <w:color w:val="000000" w:themeColor="text1"/>
                <w:kern w:val="0"/>
                <w:szCs w:val="21"/>
                <w:highlight w:val="none"/>
                <w:lang w:bidi="ar"/>
                <w14:textFill>
                  <w14:solidFill>
                    <w14:schemeClr w14:val="tx1"/>
                  </w14:solidFill>
                </w14:textFill>
              </w:rPr>
              <w:t>与“方案”中环境管控单元生态环境管控总体要求的符合性分析</w:t>
            </w:r>
          </w:p>
          <w:tbl>
            <w:tblPr>
              <w:tblStyle w:val="20"/>
              <w:tblW w:w="7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650"/>
              <w:gridCol w:w="3803"/>
              <w:gridCol w:w="1852"/>
              <w:gridCol w:w="930"/>
            </w:tblGrid>
            <w:tr w14:paraId="280E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gridSpan w:val="2"/>
                  <w:vAlign w:val="center"/>
                </w:tcPr>
                <w:p w14:paraId="200D20E6">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类别</w:t>
                  </w:r>
                </w:p>
              </w:tc>
              <w:tc>
                <w:tcPr>
                  <w:tcW w:w="3803" w:type="dxa"/>
                  <w:vAlign w:val="center"/>
                </w:tcPr>
                <w:p w14:paraId="32B3D49F">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文件内容</w:t>
                  </w:r>
                </w:p>
              </w:tc>
              <w:tc>
                <w:tcPr>
                  <w:tcW w:w="1852" w:type="dxa"/>
                  <w:vAlign w:val="center"/>
                </w:tcPr>
                <w:p w14:paraId="37F0B306">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项目情况</w:t>
                  </w:r>
                </w:p>
              </w:tc>
              <w:tc>
                <w:tcPr>
                  <w:tcW w:w="930" w:type="dxa"/>
                  <w:vAlign w:val="center"/>
                </w:tcPr>
                <w:p w14:paraId="2810D029">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符合性</w:t>
                  </w:r>
                </w:p>
              </w:tc>
            </w:tr>
            <w:tr w14:paraId="65B3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vMerge w:val="restart"/>
                  <w:vAlign w:val="center"/>
                </w:tcPr>
                <w:p w14:paraId="5138F776">
                  <w:pPr>
                    <w:widowControl/>
                    <w:jc w:val="center"/>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昆明市生态环境管控总体要求</w:t>
                  </w:r>
                </w:p>
              </w:tc>
              <w:tc>
                <w:tcPr>
                  <w:tcW w:w="650" w:type="dxa"/>
                  <w:vAlign w:val="center"/>
                </w:tcPr>
                <w:p w14:paraId="117A3F70">
                  <w:pPr>
                    <w:widowControl/>
                    <w:jc w:val="center"/>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空间布局约束</w:t>
                  </w:r>
                </w:p>
              </w:tc>
              <w:tc>
                <w:tcPr>
                  <w:tcW w:w="3803" w:type="dxa"/>
                  <w:vAlign w:val="center"/>
                </w:tcPr>
                <w:p w14:paraId="19E06FCD">
                  <w:pPr>
                    <w:widowControl/>
                    <w:jc w:val="center"/>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1.根据《昆明市国土空间总体规划（2021—2035年）》进行空间管控。</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2.牛栏江流域内，严格按照《云南省牛栏江保护条例》相关要求对水环境进行分区管控。</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3.滇池流域内，严格按照《云南省滇池湖滨生态红线及湖泊生态黄线“两线”划定方案》相关要求进行分区管控。</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4.阳宗海流域内，严格按照《云南省阳宗海湖滨生态红线及湖泊生态黄线“两线”划定方案》相关要求进行分区管控。</w:t>
                  </w:r>
                </w:p>
              </w:tc>
              <w:tc>
                <w:tcPr>
                  <w:tcW w:w="1852" w:type="dxa"/>
                  <w:vAlign w:val="center"/>
                </w:tcPr>
                <w:p w14:paraId="522DC338">
                  <w:pPr>
                    <w:pStyle w:val="7"/>
                    <w:rPr>
                      <w:b/>
                      <w:bCs/>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1.本项目位于云南省昆明市寻甸县羊街镇龙池村，</w:t>
                  </w:r>
                  <w:r>
                    <w:rPr>
                      <w:rFonts w:hint="eastAsia"/>
                      <w:color w:val="000000" w:themeColor="text1"/>
                      <w:sz w:val="21"/>
                      <w:szCs w:val="21"/>
                      <w:highlight w:val="none"/>
                      <w14:textFill>
                        <w14:solidFill>
                          <w14:schemeClr w14:val="tx1"/>
                        </w14:solidFill>
                      </w14:textFill>
                    </w:rPr>
                    <w:t>所属河段为“牛栏江-滇池补水水源保护区”，严格按照《云南省牛栏江保护条例》相关要求对水环境进行分区管控。</w:t>
                  </w:r>
                </w:p>
              </w:tc>
              <w:tc>
                <w:tcPr>
                  <w:tcW w:w="930" w:type="dxa"/>
                  <w:vAlign w:val="center"/>
                </w:tcPr>
                <w:p w14:paraId="40A71A94">
                  <w:pPr>
                    <w:widowControl/>
                    <w:jc w:val="center"/>
                    <w:rPr>
                      <w:b/>
                      <w:bCs/>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符合</w:t>
                  </w:r>
                </w:p>
              </w:tc>
            </w:tr>
            <w:tr w14:paraId="4D79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vMerge w:val="continue"/>
                  <w:vAlign w:val="center"/>
                </w:tcPr>
                <w:p w14:paraId="3086A9E8">
                  <w:pPr>
                    <w:widowControl/>
                    <w:jc w:val="center"/>
                    <w:rPr>
                      <w:b/>
                      <w:bCs/>
                      <w:color w:val="000000" w:themeColor="text1"/>
                      <w:kern w:val="0"/>
                      <w:szCs w:val="21"/>
                      <w:highlight w:val="none"/>
                      <w:lang w:bidi="ar"/>
                      <w14:textFill>
                        <w14:solidFill>
                          <w14:schemeClr w14:val="tx1"/>
                        </w14:solidFill>
                      </w14:textFill>
                    </w:rPr>
                  </w:pPr>
                </w:p>
              </w:tc>
              <w:tc>
                <w:tcPr>
                  <w:tcW w:w="650" w:type="dxa"/>
                  <w:vAlign w:val="center"/>
                </w:tcPr>
                <w:p w14:paraId="3930EC1E">
                  <w:pPr>
                    <w:widowControl/>
                    <w:jc w:val="center"/>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污染物排放管控</w:t>
                  </w:r>
                </w:p>
              </w:tc>
              <w:tc>
                <w:tcPr>
                  <w:tcW w:w="3803" w:type="dxa"/>
                  <w:vAlign w:val="center"/>
                </w:tcPr>
                <w:p w14:paraId="24DF15A3">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1.到2025年，昆明市地表水国、省控断面达到或好于</w:t>
                  </w:r>
                  <w:r>
                    <w:rPr>
                      <w:color w:val="000000" w:themeColor="text1"/>
                      <w:szCs w:val="21"/>
                      <w:highlight w:val="none"/>
                      <w14:textFill>
                        <w14:solidFill>
                          <w14:schemeClr w14:val="tx1"/>
                        </w14:solidFill>
                      </w14:textFill>
                    </w:rPr>
                    <w:t>Ⅲ</w:t>
                  </w:r>
                  <w:r>
                    <w:rPr>
                      <w:rFonts w:hint="eastAsia"/>
                      <w:color w:val="000000" w:themeColor="text1"/>
                      <w:szCs w:val="21"/>
                      <w:highlight w:val="none"/>
                      <w14:textFill>
                        <w14:solidFill>
                          <w14:schemeClr w14:val="tx1"/>
                        </w14:solidFill>
                      </w14:textFill>
                    </w:rPr>
                    <w:t>类水体比例应达到81.5%；滇池草海水质稳定达到IV类、外海水质达到IV类（COD≤40mg/L），阳宗海水质稳定达到Ⅲ类水标准，县级及以上集中式饮用水水源地水质达标率100%。化学需氧量重点工程减排量10243t，氨氮重点工程减排量1009t。</w:t>
                  </w:r>
                  <w:r>
                    <w:rPr>
                      <w:rFonts w:hint="eastAsia"/>
                      <w:color w:val="000000" w:themeColor="text1"/>
                      <w:szCs w:val="21"/>
                      <w:highlight w:val="none"/>
                      <w14:textFill>
                        <w14:solidFill>
                          <w14:schemeClr w14:val="tx1"/>
                        </w14:solidFill>
                      </w14:textFill>
                    </w:rPr>
                    <w:br w:type="textWrapping"/>
                  </w:r>
                  <w:r>
                    <w:rPr>
                      <w:rFonts w:hint="eastAsia"/>
                      <w:color w:val="000000" w:themeColor="text1"/>
                      <w:szCs w:val="21"/>
                      <w:highlight w:val="none"/>
                      <w14:textFill>
                        <w14:solidFill>
                          <w14:schemeClr w14:val="tx1"/>
                        </w14:solidFill>
                      </w14:textFill>
                    </w:rPr>
                    <w:t>2.到2025年，昆明市环境空气质量优良天数比例应达到99.1%，城市细颗粒物（PM</w:t>
                  </w:r>
                  <w:r>
                    <w:rPr>
                      <w:rFonts w:hint="eastAsia"/>
                      <w:color w:val="000000" w:themeColor="text1"/>
                      <w:szCs w:val="21"/>
                      <w:highlight w:val="none"/>
                      <w:vertAlign w:val="subscript"/>
                      <w14:textFill>
                        <w14:solidFill>
                          <w14:schemeClr w14:val="tx1"/>
                        </w14:solidFill>
                      </w14:textFill>
                    </w:rPr>
                    <w:t>2.5</w:t>
                  </w:r>
                  <w:r>
                    <w:rPr>
                      <w:rFonts w:hint="eastAsia"/>
                      <w:color w:val="000000" w:themeColor="text1"/>
                      <w:szCs w:val="21"/>
                      <w:highlight w:val="none"/>
                      <w14:textFill>
                        <w14:solidFill>
                          <w14:schemeClr w14:val="tx1"/>
                        </w14:solidFill>
                      </w14:textFill>
                    </w:rPr>
                    <w:t>）平均浓度应达到24μg/m</w:t>
                  </w:r>
                  <w:r>
                    <w:rPr>
                      <w:rFonts w:hint="eastAsia"/>
                      <w:color w:val="000000" w:themeColor="text1"/>
                      <w:szCs w:val="21"/>
                      <w:highlight w:val="none"/>
                      <w:vertAlign w:val="superscript"/>
                      <w14:textFill>
                        <w14:solidFill>
                          <w14:schemeClr w14:val="tx1"/>
                        </w14:solidFill>
                      </w14:textFill>
                    </w:rPr>
                    <w:t>3</w:t>
                  </w:r>
                  <w:r>
                    <w:rPr>
                      <w:rFonts w:hint="eastAsia"/>
                      <w:color w:val="000000" w:themeColor="text1"/>
                      <w:szCs w:val="21"/>
                      <w:highlight w:val="none"/>
                      <w14:textFill>
                        <w14:solidFill>
                          <w14:schemeClr w14:val="tx1"/>
                        </w14:solidFill>
                      </w14:textFill>
                    </w:rPr>
                    <w:t>；氮氧化物重点工程减排量2237t，挥发性有机物重点工程减排量1684t。</w:t>
                  </w:r>
                  <w:r>
                    <w:rPr>
                      <w:rFonts w:hint="eastAsia"/>
                      <w:color w:val="000000" w:themeColor="text1"/>
                      <w:szCs w:val="21"/>
                      <w:highlight w:val="none"/>
                      <w14:textFill>
                        <w14:solidFill>
                          <w14:schemeClr w14:val="tx1"/>
                        </w14:solidFill>
                      </w14:textFill>
                    </w:rPr>
                    <w:br w:type="textWrapping"/>
                  </w:r>
                  <w:r>
                    <w:rPr>
                      <w:rFonts w:hint="eastAsia"/>
                      <w:color w:val="000000" w:themeColor="text1"/>
                      <w:szCs w:val="21"/>
                      <w:highlight w:val="none"/>
                      <w14:textFill>
                        <w14:solidFill>
                          <w14:schemeClr w14:val="tx1"/>
                        </w14:solidFill>
                      </w14:textFill>
                    </w:rPr>
                    <w:t>3.2025年底前，全面完成钢铁企业超低排放改造。持续开展燃煤锅炉整治，推进每小时65蒸吨以上的燃煤锅炉超低排放改造。燃气锅炉推行低氮燃烧，氮氧化物排放浓度不高于50毫克/立方米。重点涉气排放企业逐步取消烟气旁路，因安全生产无法取消的，安装在线监管系统。</w:t>
                  </w:r>
                  <w:r>
                    <w:rPr>
                      <w:rFonts w:hint="eastAsia"/>
                      <w:color w:val="000000" w:themeColor="text1"/>
                      <w:szCs w:val="21"/>
                      <w:highlight w:val="none"/>
                      <w14:textFill>
                        <w14:solidFill>
                          <w14:schemeClr w14:val="tx1"/>
                        </w14:solidFill>
                      </w14:textFill>
                    </w:rPr>
                    <w:br w:type="textWrapping"/>
                  </w:r>
                  <w:r>
                    <w:rPr>
                      <w:rFonts w:hint="eastAsia"/>
                      <w:color w:val="000000" w:themeColor="text1"/>
                      <w:szCs w:val="21"/>
                      <w:highlight w:val="none"/>
                      <w14:textFill>
                        <w14:solidFill>
                          <w14:schemeClr w14:val="tx1"/>
                        </w14:solidFill>
                      </w14:textFill>
                    </w:rPr>
                    <w:t>4.建立完善源头、过程和末端的VOCs全过程控制体系，实施VOCs排放总量控制。</w:t>
                  </w:r>
                  <w:r>
                    <w:rPr>
                      <w:rFonts w:hint="eastAsia"/>
                      <w:color w:val="000000" w:themeColor="text1"/>
                      <w:szCs w:val="21"/>
                      <w:highlight w:val="none"/>
                      <w14:textFill>
                        <w14:solidFill>
                          <w14:schemeClr w14:val="tx1"/>
                        </w14:solidFill>
                      </w14:textFill>
                    </w:rPr>
                    <w:br w:type="textWrapping"/>
                  </w:r>
                  <w:r>
                    <w:rPr>
                      <w:rFonts w:hint="eastAsia"/>
                      <w:color w:val="000000" w:themeColor="text1"/>
                      <w:szCs w:val="21"/>
                      <w:highlight w:val="none"/>
                      <w14:textFill>
                        <w14:solidFill>
                          <w14:schemeClr w14:val="tx1"/>
                        </w14:solidFill>
                      </w14:textFill>
                    </w:rPr>
                    <w:t>5.推进农业废弃物综合利用，2025年底前综合利用率达90%以上。</w:t>
                  </w:r>
                </w:p>
                <w:p w14:paraId="1D4DE6C8">
                  <w:pPr>
                    <w:widowControl/>
                    <w:jc w:val="center"/>
                    <w:rPr>
                      <w:b/>
                      <w:bCs/>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6.滇池流域：2025年底前，完成流域内城镇雨污分流改造，城镇污水收集率达95％以上，农村生活污水收集处理率达75％以上，畜禽粪污综合利用率达90％以上，城市生活垃圾处理率达97％以上，实现农村生活垃圾分类投放、统一运输、集中处理。</w:t>
                  </w:r>
                  <w:r>
                    <w:rPr>
                      <w:rFonts w:hint="eastAsia"/>
                      <w:color w:val="000000" w:themeColor="text1"/>
                      <w:szCs w:val="21"/>
                      <w:highlight w:val="none"/>
                      <w14:textFill>
                        <w14:solidFill>
                          <w14:schemeClr w14:val="tx1"/>
                        </w14:solidFill>
                      </w14:textFill>
                    </w:rPr>
                    <w:br w:type="textWrapping"/>
                  </w:r>
                  <w:r>
                    <w:rPr>
                      <w:rFonts w:hint="eastAsia"/>
                      <w:color w:val="000000" w:themeColor="text1"/>
                      <w:szCs w:val="21"/>
                      <w:highlight w:val="none"/>
                      <w14:textFill>
                        <w14:solidFill>
                          <w14:schemeClr w14:val="tx1"/>
                        </w14:solidFill>
                      </w14:textFill>
                    </w:rPr>
                    <w:t>7.阳宗海流域：推进农业废弃物综合利用，2025年底前农作物综合利用率达90%以上，畜禽粪污综合利用率达96%以上，农膜回收利用率达85%以上。2025年底前，完成流域内城镇雨污分流改造，城镇污水收集率达95%以上，农村生活污水收集处理率达75%以上，畜禽粪污综合利用率达90%以上，城镇生活垃圾处理率达97%以上，实现农村生活垃圾分类投放、统一运输、集中处理。</w:t>
                  </w:r>
                  <w:r>
                    <w:rPr>
                      <w:rFonts w:hint="eastAsia"/>
                      <w:color w:val="000000" w:themeColor="text1"/>
                      <w:szCs w:val="21"/>
                      <w:highlight w:val="none"/>
                      <w14:textFill>
                        <w14:solidFill>
                          <w14:schemeClr w14:val="tx1"/>
                        </w14:solidFill>
                      </w14:textFill>
                    </w:rPr>
                    <w:br w:type="textWrapping"/>
                  </w:r>
                  <w:r>
                    <w:rPr>
                      <w:rFonts w:hint="eastAsia"/>
                      <w:color w:val="000000" w:themeColor="text1"/>
                      <w:szCs w:val="21"/>
                      <w:highlight w:val="none"/>
                      <w14:textFill>
                        <w14:solidFill>
                          <w14:schemeClr w14:val="tx1"/>
                        </w14:solidFill>
                      </w14:textFill>
                    </w:rPr>
                    <w:t>8.督促指导磷石膏生产企业配套建设（或委托建设）相应能力的磷石膏无害化处理设施，采用水洗、焙烧、浮选、中和等技术对磷石膏进行无害化处理，确保在2025年新产生磷石膏实现100%无害化处理，从根本上降低磷石膏污染隐患。无害化处理后暂时不能利用的磷石膏，应当按生态环境、应急管理要求依法依规安全环保分类存放。</w:t>
                  </w:r>
                  <w:r>
                    <w:rPr>
                      <w:rFonts w:hint="eastAsia"/>
                      <w:color w:val="000000" w:themeColor="text1"/>
                      <w:szCs w:val="21"/>
                      <w:highlight w:val="none"/>
                      <w14:textFill>
                        <w14:solidFill>
                          <w14:schemeClr w14:val="tx1"/>
                        </w14:solidFill>
                      </w14:textFill>
                    </w:rPr>
                    <w:br w:type="textWrapping"/>
                  </w:r>
                  <w:r>
                    <w:rPr>
                      <w:rFonts w:hint="eastAsia"/>
                      <w:color w:val="000000" w:themeColor="text1"/>
                      <w:szCs w:val="21"/>
                      <w:highlight w:val="none"/>
                      <w14:textFill>
                        <w14:solidFill>
                          <w14:schemeClr w14:val="tx1"/>
                        </w14:solidFill>
                      </w14:textFill>
                    </w:rPr>
                    <w:t>9.推动昆明市磷石膏综合利用率2023年达到52%，2024年达到64%，2025年确保达到73%，力争达到75%；到2025年底，中心城区污泥无害化处置率达到95%以上，县城污泥无害化处置率达到90%以上。</w:t>
                  </w:r>
                </w:p>
              </w:tc>
              <w:tc>
                <w:tcPr>
                  <w:tcW w:w="1852" w:type="dxa"/>
                  <w:vAlign w:val="center"/>
                </w:tcPr>
                <w:p w14:paraId="509B54F5">
                  <w:pPr>
                    <w:widowControl/>
                    <w:jc w:val="left"/>
                    <w:rPr>
                      <w:color w:val="000000" w:themeColor="text1"/>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1.根据</w:t>
                  </w:r>
                  <w:r>
                    <w:rPr>
                      <w:rFonts w:hint="eastAsia" w:cs="宋体"/>
                      <w:color w:val="000000" w:themeColor="text1"/>
                      <w:highlight w:val="none"/>
                      <w14:textFill>
                        <w14:solidFill>
                          <w14:schemeClr w14:val="tx1"/>
                        </w14:solidFill>
                      </w14:textFill>
                    </w:rPr>
                    <w:t>昆明市生态环境局2024年6月发布的《2023年度昆明市生态环境状况公报》</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地表水全市纳入国考地表水监测的27个水质断面全部达标</w:t>
                  </w:r>
                  <w:r>
                    <w:rPr>
                      <w:rFonts w:hint="eastAsia"/>
                      <w:color w:val="000000" w:themeColor="text1"/>
                      <w:highlight w:val="none"/>
                      <w14:textFill>
                        <w14:solidFill>
                          <w14:schemeClr w14:val="tx1"/>
                        </w14:solidFill>
                      </w14:textFill>
                    </w:rPr>
                    <w:t>，则项目区属于达标区，其中项目</w:t>
                  </w:r>
                  <w:r>
                    <w:rPr>
                      <w:rFonts w:hint="eastAsia" w:cs="宋体"/>
                      <w:color w:val="000000" w:themeColor="text1"/>
                      <w:kern w:val="0"/>
                      <w:szCs w:val="21"/>
                      <w:highlight w:val="none"/>
                      <w:lang w:bidi="ar"/>
                      <w14:textFill>
                        <w14:solidFill>
                          <w14:schemeClr w14:val="tx1"/>
                        </w14:solidFill>
                      </w14:textFill>
                    </w:rPr>
                    <w:t>用水量</w:t>
                  </w:r>
                  <w:r>
                    <w:rPr>
                      <w:rFonts w:hint="eastAsia"/>
                      <w:color w:val="000000" w:themeColor="text1"/>
                      <w:highlight w:val="none"/>
                      <w14:textFill>
                        <w14:solidFill>
                          <w14:schemeClr w14:val="tx1"/>
                        </w14:solidFill>
                      </w14:textFill>
                    </w:rPr>
                    <w:t>61.22</w:t>
                  </w:r>
                  <w:r>
                    <w:rPr>
                      <w:color w:val="000000" w:themeColor="text1"/>
                      <w:highlight w:val="none"/>
                      <w14:textFill>
                        <w14:solidFill>
                          <w14:schemeClr w14:val="tx1"/>
                        </w14:solidFill>
                      </w14:textFill>
                    </w:rPr>
                    <w:t>m</w:t>
                  </w:r>
                  <w:r>
                    <w:rPr>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/d</w:t>
                  </w:r>
                  <w:r>
                    <w:rPr>
                      <w:rFonts w:hint="eastAsia"/>
                      <w:color w:val="000000" w:themeColor="text1"/>
                      <w:highlight w:val="none"/>
                      <w14:textFill>
                        <w14:solidFill>
                          <w14:schemeClr w14:val="tx1"/>
                        </w14:solidFill>
                      </w14:textFill>
                    </w:rPr>
                    <w:t>，废水产生量43.7</w:t>
                  </w:r>
                  <w:r>
                    <w:rPr>
                      <w:color w:val="000000" w:themeColor="text1"/>
                      <w:highlight w:val="none"/>
                      <w14:textFill>
                        <w14:solidFill>
                          <w14:schemeClr w14:val="tx1"/>
                        </w14:solidFill>
                      </w14:textFill>
                    </w:rPr>
                    <w:t>m</w:t>
                  </w:r>
                  <w:r>
                    <w:rPr>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/d</w:t>
                  </w:r>
                  <w:r>
                    <w:rPr>
                      <w:rFonts w:hint="eastAsia"/>
                      <w:color w:val="000000" w:themeColor="text1"/>
                      <w:highlight w:val="none"/>
                      <w14:textFill>
                        <w14:solidFill>
                          <w14:schemeClr w14:val="tx1"/>
                        </w14:solidFill>
                      </w14:textFill>
                    </w:rPr>
                    <w:t>。</w:t>
                  </w:r>
                </w:p>
                <w:p w14:paraId="72170DB9">
                  <w:pPr>
                    <w:widowControl/>
                    <w:jc w:val="center"/>
                    <w:rPr>
                      <w:color w:val="000000" w:themeColor="text1"/>
                      <w:szCs w:val="21"/>
                      <w:highlight w:val="none"/>
                      <w:lang w:bidi="ar"/>
                      <w14:textFill>
                        <w14:solidFill>
                          <w14:schemeClr w14:val="tx1"/>
                        </w14:solidFill>
                      </w14:textFill>
                    </w:rPr>
                  </w:pPr>
                  <w:r>
                    <w:rPr>
                      <w:rFonts w:hint="eastAsia" w:cs="宋体"/>
                      <w:color w:val="000000" w:themeColor="text1"/>
                      <w:szCs w:val="21"/>
                      <w:highlight w:val="none"/>
                      <w:lang w:bidi="ar"/>
                      <w14:textFill>
                        <w14:solidFill>
                          <w14:schemeClr w14:val="tx1"/>
                        </w14:solidFill>
                      </w14:textFill>
                    </w:rPr>
                    <w:t>2.</w:t>
                  </w:r>
                  <w:r>
                    <w:rPr>
                      <w:rFonts w:hint="eastAsia"/>
                      <w:color w:val="000000" w:themeColor="text1"/>
                      <w:szCs w:val="21"/>
                      <w:highlight w:val="none"/>
                      <w:lang w:bidi="ar"/>
                      <w14:textFill>
                        <w14:solidFill>
                          <w14:schemeClr w14:val="tx1"/>
                        </w14:solidFill>
                      </w14:textFill>
                    </w:rPr>
                    <w:t>根据《2023年昆明市环境空气质量公报》，</w:t>
                  </w:r>
                  <w:r>
                    <w:rPr>
                      <w:rFonts w:hint="eastAsia"/>
                      <w:color w:val="000000" w:themeColor="text1"/>
                      <w:szCs w:val="21"/>
                      <w:highlight w:val="none"/>
                      <w14:textFill>
                        <w14:solidFill>
                          <w14:schemeClr w14:val="tx1"/>
                        </w14:solidFill>
                      </w14:textFill>
                    </w:rPr>
                    <w:t>2023年，各县（市）区环境空气质量总体保持良好，各项污染物平均浓度均达到二级空气质量标准。与2022年相比，各县（市）区环境空气综合污染指数均上升。</w:t>
                  </w:r>
                </w:p>
                <w:p w14:paraId="7976606C">
                  <w:pPr>
                    <w:widowControl/>
                    <w:jc w:val="center"/>
                    <w:rPr>
                      <w:color w:val="000000" w:themeColor="text1"/>
                      <w:szCs w:val="21"/>
                      <w:highlight w:val="none"/>
                      <w:lang w:bidi="ar"/>
                      <w14:textFill>
                        <w14:solidFill>
                          <w14:schemeClr w14:val="tx1"/>
                        </w14:solidFill>
                      </w14:textFill>
                    </w:rPr>
                  </w:pPr>
                  <w:r>
                    <w:rPr>
                      <w:rFonts w:hint="eastAsia"/>
                      <w:color w:val="000000" w:themeColor="text1"/>
                      <w:szCs w:val="21"/>
                      <w:highlight w:val="none"/>
                      <w:lang w:bidi="ar"/>
                      <w14:textFill>
                        <w14:solidFill>
                          <w14:schemeClr w14:val="tx1"/>
                        </w14:solidFill>
                      </w14:textFill>
                    </w:rPr>
                    <w:t>3.本项目属于肉羊屠宰项目，不涉及钢铁企业。</w:t>
                  </w:r>
                </w:p>
                <w:p w14:paraId="4D5E16EE">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4.本项目属于肉羊屠宰项目，不产生VOCs。</w:t>
                  </w:r>
                </w:p>
                <w:p w14:paraId="2DA28081">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4.本项目位于云南省昆明市寻甸县羊街镇龙池村，不属于滇池流域。</w:t>
                  </w:r>
                </w:p>
                <w:p w14:paraId="4E2898BF">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5.本项目位于云南省昆明市寻甸县羊街镇龙池村，不属于阳宗海流域。</w:t>
                  </w:r>
                </w:p>
                <w:p w14:paraId="0678C6F5">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6.本项目属于肉羊屠宰项目，不涉及磷石膏。</w:t>
                  </w:r>
                </w:p>
              </w:tc>
              <w:tc>
                <w:tcPr>
                  <w:tcW w:w="930" w:type="dxa"/>
                  <w:vAlign w:val="center"/>
                </w:tcPr>
                <w:p w14:paraId="62756A3C">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符合</w:t>
                  </w:r>
                </w:p>
              </w:tc>
            </w:tr>
            <w:tr w14:paraId="6252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vMerge w:val="continue"/>
                  <w:vAlign w:val="center"/>
                </w:tcPr>
                <w:p w14:paraId="483EDC89">
                  <w:pPr>
                    <w:widowControl/>
                    <w:jc w:val="center"/>
                    <w:rPr>
                      <w:b/>
                      <w:bCs/>
                      <w:color w:val="000000" w:themeColor="text1"/>
                      <w:kern w:val="0"/>
                      <w:szCs w:val="21"/>
                      <w:highlight w:val="none"/>
                      <w:lang w:bidi="ar"/>
                      <w14:textFill>
                        <w14:solidFill>
                          <w14:schemeClr w14:val="tx1"/>
                        </w14:solidFill>
                      </w14:textFill>
                    </w:rPr>
                  </w:pPr>
                </w:p>
              </w:tc>
              <w:tc>
                <w:tcPr>
                  <w:tcW w:w="650" w:type="dxa"/>
                  <w:vAlign w:val="center"/>
                </w:tcPr>
                <w:p w14:paraId="2E9F4E0F">
                  <w:pPr>
                    <w:widowControl/>
                    <w:jc w:val="center"/>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环境风险防控</w:t>
                  </w:r>
                </w:p>
              </w:tc>
              <w:tc>
                <w:tcPr>
                  <w:tcW w:w="3803" w:type="dxa"/>
                  <w:vAlign w:val="center"/>
                </w:tcPr>
                <w:p w14:paraId="30826A92">
                  <w:pPr>
                    <w:widowControl/>
                    <w:jc w:val="center"/>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加大放射性物质、电磁辐射、危险废物、医疗废物、尾矿库渣场、危险化学品、重金属等风险要素防控力度，全过程监控风险要素产生、使用、储存、运输、处理处置，实现智能化预警与报警，有效降低各类环境风险。</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2.针对持久性有机污染物、内分泌干扰物等新污染物，制定实施新污染物治理行动方案，开展新污染物筛查与评估，建立清单，开展化学物质生产使用信息调查，实施调查监测和环境风险评估。</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3.开展重点区域、重点领域环境风险调查评估，加强源头预防、过程管控、末端治理；建设环境应急技术库和物资库，推动各地更新扩充应急物资和防护装备，提升环境应急指挥信息化水平，完善环境应急管理体系。</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4.开展“千吨万人”农村饮用水水源保护区环境风险排查整治，加强农村水源水质监测。</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5.以涉危险废物、涉重金属企业为重点，合理布设生产设施，强化应急导流槽、事故调蓄池、雨污总排口应急闸坝等事故排水收集截留设施，以及传输泵、配套管线、应急发电等事故水输送设施等建设，合理设置消防事故水池和雨水监测池。</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6.严格新（改、扩）建尾矿库环境准入，健全尾矿库环境监管清单，加强尾矿库分类分级环境监管。严格落实《云南省尾矿库专项整治工作实施方案》。</w:t>
                  </w:r>
                </w:p>
              </w:tc>
              <w:tc>
                <w:tcPr>
                  <w:tcW w:w="1852" w:type="dxa"/>
                  <w:vAlign w:val="center"/>
                </w:tcPr>
                <w:p w14:paraId="163F23B4">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1.本项目为肉羊屠宰项目，危险废物由机械润滑阶段产生的</w:t>
                  </w:r>
                  <w:r>
                    <w:rPr>
                      <w:rFonts w:hint="eastAsia" w:cs="宋体"/>
                      <w:color w:val="000000" w:themeColor="text1"/>
                      <w:szCs w:val="21"/>
                      <w:highlight w:val="none"/>
                      <w14:textFill>
                        <w14:solidFill>
                          <w14:schemeClr w14:val="tx1"/>
                        </w14:solidFill>
                      </w14:textFill>
                    </w:rPr>
                    <w:t>废</w:t>
                  </w:r>
                  <w:r>
                    <w:rPr>
                      <w:rFonts w:hint="eastAsia" w:cs="宋体"/>
                      <w:color w:val="000000" w:themeColor="text1"/>
                      <w:szCs w:val="21"/>
                      <w:highlight w:val="none"/>
                      <w:lang w:val="en-US" w:eastAsia="zh-CN"/>
                      <w14:textFill>
                        <w14:solidFill>
                          <w14:schemeClr w14:val="tx1"/>
                        </w14:solidFill>
                      </w14:textFill>
                    </w:rPr>
                    <w:t>润滑油</w:t>
                  </w:r>
                  <w:r>
                    <w:rPr>
                      <w:rFonts w:hint="eastAsia" w:cs="宋体"/>
                      <w:color w:val="000000" w:themeColor="text1"/>
                      <w:kern w:val="0"/>
                      <w:szCs w:val="21"/>
                      <w:highlight w:val="none"/>
                      <w:lang w:bidi="ar"/>
                      <w14:textFill>
                        <w14:solidFill>
                          <w14:schemeClr w14:val="tx1"/>
                        </w14:solidFill>
                      </w14:textFill>
                    </w:rPr>
                    <w:t>，已与云南达济再生资源回收利用有限公司签订危废处置协议，定期进行危险废物转运与处置。</w:t>
                  </w:r>
                </w:p>
                <w:p w14:paraId="0F4980DE">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2.本项目为肉羊屠宰项目，不产生持久性有机污染物、内分泌干扰物等新污染物。</w:t>
                  </w:r>
                </w:p>
                <w:p w14:paraId="11E17B46">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3.本项目为肉羊屠宰项目，危险废物由机械润滑阶段产生的废</w:t>
                  </w:r>
                  <w:r>
                    <w:rPr>
                      <w:rFonts w:hint="eastAsia" w:cs="宋体"/>
                      <w:color w:val="000000" w:themeColor="text1"/>
                      <w:sz w:val="21"/>
                      <w:szCs w:val="21"/>
                      <w:highlight w:val="none"/>
                      <w:lang w:val="en-US" w:eastAsia="zh-CN" w:bidi="ar"/>
                      <w14:textFill>
                        <w14:solidFill>
                          <w14:schemeClr w14:val="tx1"/>
                        </w14:solidFill>
                      </w14:textFill>
                    </w:rPr>
                    <w:t>润滑油</w:t>
                  </w:r>
                  <w:r>
                    <w:rPr>
                      <w:rFonts w:hint="eastAsia" w:cs="宋体"/>
                      <w:color w:val="000000" w:themeColor="text1"/>
                      <w:sz w:val="21"/>
                      <w:szCs w:val="21"/>
                      <w:highlight w:val="none"/>
                      <w:lang w:bidi="ar"/>
                      <w14:textFill>
                        <w14:solidFill>
                          <w14:schemeClr w14:val="tx1"/>
                        </w14:solidFill>
                      </w14:textFill>
                    </w:rPr>
                    <w:t>，存储于危险废物暂存场所，并与云南达济再生资源回收利用有限公司签订危废处置协议，定期进行危险废物转运与处置。不涉及重金属企业。</w:t>
                  </w:r>
                </w:p>
                <w:p w14:paraId="1242EFDE">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4.本项目为肉羊屠宰项目，不属于尾矿库项目。</w:t>
                  </w:r>
                </w:p>
              </w:tc>
              <w:tc>
                <w:tcPr>
                  <w:tcW w:w="930" w:type="dxa"/>
                  <w:vAlign w:val="center"/>
                </w:tcPr>
                <w:p w14:paraId="2CF8DD68">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符合</w:t>
                  </w:r>
                </w:p>
              </w:tc>
            </w:tr>
            <w:tr w14:paraId="4F6E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dxa"/>
                  <w:vMerge w:val="continue"/>
                  <w:vAlign w:val="center"/>
                </w:tcPr>
                <w:p w14:paraId="1B1F9653">
                  <w:pPr>
                    <w:widowControl/>
                    <w:jc w:val="center"/>
                    <w:rPr>
                      <w:b/>
                      <w:bCs/>
                      <w:color w:val="000000" w:themeColor="text1"/>
                      <w:kern w:val="0"/>
                      <w:szCs w:val="21"/>
                      <w:highlight w:val="none"/>
                      <w:lang w:bidi="ar"/>
                      <w14:textFill>
                        <w14:solidFill>
                          <w14:schemeClr w14:val="tx1"/>
                        </w14:solidFill>
                      </w14:textFill>
                    </w:rPr>
                  </w:pPr>
                </w:p>
              </w:tc>
              <w:tc>
                <w:tcPr>
                  <w:tcW w:w="650" w:type="dxa"/>
                  <w:vAlign w:val="center"/>
                </w:tcPr>
                <w:p w14:paraId="25D6A4B4">
                  <w:pPr>
                    <w:widowControl/>
                    <w:jc w:val="center"/>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资源开发利用效率</w:t>
                  </w:r>
                </w:p>
              </w:tc>
              <w:tc>
                <w:tcPr>
                  <w:tcW w:w="3803" w:type="dxa"/>
                  <w:vAlign w:val="center"/>
                </w:tcPr>
                <w:p w14:paraId="367949DC">
                  <w:pPr>
                    <w:widowControl/>
                    <w:jc w:val="center"/>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1.到2025年，基本建成与经济社会高质量发展和生态文明建设要求相适应、与由全面建成小康社会向基本实现现代化迈进起步期相协同的水安全保障体系。</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2.节水型生产和生活方式初步建立，用水效率和效益显著提高，全社会节水意识明显增强，新时代节水型社会基本建成。全市用水总量控制在35.48亿m</w:t>
                  </w:r>
                  <w:r>
                    <w:rPr>
                      <w:rFonts w:hint="eastAsia" w:cs="宋体"/>
                      <w:color w:val="000000" w:themeColor="text1"/>
                      <w:kern w:val="0"/>
                      <w:szCs w:val="21"/>
                      <w:highlight w:val="none"/>
                      <w:vertAlign w:val="superscript"/>
                      <w:lang w:bidi="ar"/>
                      <w14:textFill>
                        <w14:solidFill>
                          <w14:schemeClr w14:val="tx1"/>
                        </w14:solidFill>
                      </w14:textFill>
                    </w:rPr>
                    <w:t>3</w:t>
                  </w:r>
                  <w:r>
                    <w:rPr>
                      <w:rFonts w:hint="eastAsia" w:cs="宋体"/>
                      <w:color w:val="000000" w:themeColor="text1"/>
                      <w:kern w:val="0"/>
                      <w:szCs w:val="21"/>
                      <w:highlight w:val="none"/>
                      <w:lang w:bidi="ar"/>
                      <w14:textFill>
                        <w14:solidFill>
                          <w14:schemeClr w14:val="tx1"/>
                        </w14:solidFill>
                      </w14:textFill>
                    </w:rPr>
                    <w:t>以内，万元GDP用水量较2020年下降10%，万元工业增加值用水量较2020年下降10%，农田灌溉水有效利用系数提高到0.55以上。</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3.万元工业增加值用水量≤30（立方米/万元）。</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4.2025年底前，全市单位地区生产总值能源消耗较2020年下降14%，能源消费总量得到合理控制。</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5.单位GDP能源消耗累计下降23.6%，不低于省级下达目标。</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6.对照国家有关高耗能行业重点领域能效标杆水平，实施钢铁、有色金属、冶炼等17个高耗能行业节能降碳改造升级，加快提升重点行业、企业能效水平。</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7.加强节能监察和探索用能预算管理，实施电机、变压器等重点用能设备能效提升三年行动，推广先进节能技术。</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8.到2025年，钢铁行业全面完成超低排放改造。</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9.加快推进有色、化工、印染、烟草等行业清洁生产和工业废水资源化利用。</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10.到2025年，全市新建大型及以上数据中心绿色低碳等级达到4A以上，电源使用效率（PUE）达到1.3以下，逐步组织电源使用效率超过1.5的数据中心进行节能降碳改造。</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11.“十四五”期间，全市规模以上工业单位增加值能耗下降14.5%，万元工业增加值用水量下降12%。</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12.到2025年，通过实施节能降碳提升工程，钢铁、电解铝、水泥、平板玻璃、炼油、乙烯、合成氨、电石等重点行业产能和数据中心达到能效标杆水平的比例超过30%。</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13.公共机构单位建筑面积碳排放量比2020年下降7%。</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14.非化石能源消费占一次能源消费比重达到40%以上，完成省级下达目标。</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15.单位GDP二氧化碳排放累计下降23%，不低于省级下达目标。</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16.严把新上项目的碳排放关，严格环境影响评价审批，加强固定资产投资项目节能审查，推动新建“两高一低”项目能效水平应提尽提。</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17.以六大高耗能行业为重点，全面梳理形成拟建、在建、存量“两高一低”项目清单，实行清单管理、分类处置、动态监控。加强“两高一低”项目全过程监管，严肃查处不符合政策要求、违规审批、未批先建、批建不符、超标用能排污的“两高一低”项目。</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18.加快淘汰落后和低端低效产能退出。</w:t>
                  </w:r>
                  <w:r>
                    <w:rPr>
                      <w:rFonts w:hint="eastAsia" w:cs="宋体"/>
                      <w:color w:val="000000" w:themeColor="text1"/>
                      <w:kern w:val="0"/>
                      <w:szCs w:val="21"/>
                      <w:highlight w:val="none"/>
                      <w:lang w:bidi="ar"/>
                      <w14:textFill>
                        <w14:solidFill>
                          <w14:schemeClr w14:val="tx1"/>
                        </w14:solidFill>
                      </w14:textFill>
                    </w:rPr>
                    <w:br w:type="textWrapping"/>
                  </w:r>
                  <w:r>
                    <w:rPr>
                      <w:rFonts w:hint="eastAsia" w:cs="宋体"/>
                      <w:color w:val="000000" w:themeColor="text1"/>
                      <w:kern w:val="0"/>
                      <w:szCs w:val="21"/>
                      <w:highlight w:val="none"/>
                      <w:lang w:bidi="ar"/>
                      <w14:textFill>
                        <w14:solidFill>
                          <w14:schemeClr w14:val="tx1"/>
                        </w14:solidFill>
                      </w14:textFill>
                    </w:rPr>
                    <w:t>19.指导金融机构加强“两高一低”项目贷前审核。</w:t>
                  </w:r>
                </w:p>
              </w:tc>
              <w:tc>
                <w:tcPr>
                  <w:tcW w:w="1852" w:type="dxa"/>
                  <w:vAlign w:val="center"/>
                </w:tcPr>
                <w:p w14:paraId="661346CD">
                  <w:pP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1.本项目为肉羊屠宰项目，用水量为61.22m</w:t>
                  </w:r>
                  <w:r>
                    <w:rPr>
                      <w:rFonts w:hint="eastAsia" w:cs="宋体"/>
                      <w:color w:val="000000" w:themeColor="text1"/>
                      <w:kern w:val="0"/>
                      <w:szCs w:val="21"/>
                      <w:highlight w:val="none"/>
                      <w:vertAlign w:val="superscript"/>
                      <w:lang w:bidi="ar"/>
                      <w14:textFill>
                        <w14:solidFill>
                          <w14:schemeClr w14:val="tx1"/>
                        </w14:solidFill>
                      </w14:textFill>
                    </w:rPr>
                    <w:t>3</w:t>
                  </w:r>
                  <w:r>
                    <w:rPr>
                      <w:rFonts w:hint="eastAsia" w:cs="宋体"/>
                      <w:color w:val="000000" w:themeColor="text1"/>
                      <w:kern w:val="0"/>
                      <w:szCs w:val="21"/>
                      <w:highlight w:val="none"/>
                      <w:lang w:bidi="ar"/>
                      <w14:textFill>
                        <w14:solidFill>
                          <w14:schemeClr w14:val="tx1"/>
                        </w14:solidFill>
                      </w14:textFill>
                    </w:rPr>
                    <w:t>/d，废水产生量为43.7m</w:t>
                  </w:r>
                  <w:r>
                    <w:rPr>
                      <w:rFonts w:hint="eastAsia" w:cs="宋体"/>
                      <w:color w:val="000000" w:themeColor="text1"/>
                      <w:kern w:val="0"/>
                      <w:szCs w:val="21"/>
                      <w:highlight w:val="none"/>
                      <w:vertAlign w:val="superscript"/>
                      <w:lang w:bidi="ar"/>
                      <w14:textFill>
                        <w14:solidFill>
                          <w14:schemeClr w14:val="tx1"/>
                        </w14:solidFill>
                      </w14:textFill>
                    </w:rPr>
                    <w:t>3</w:t>
                  </w:r>
                  <w:r>
                    <w:rPr>
                      <w:rFonts w:hint="eastAsia" w:cs="宋体"/>
                      <w:color w:val="000000" w:themeColor="text1"/>
                      <w:kern w:val="0"/>
                      <w:szCs w:val="21"/>
                      <w:highlight w:val="none"/>
                      <w:lang w:bidi="ar"/>
                      <w14:textFill>
                        <w14:solidFill>
                          <w14:schemeClr w14:val="tx1"/>
                        </w14:solidFill>
                      </w14:textFill>
                    </w:rPr>
                    <w:t>/d，回用量为43.7m</w:t>
                  </w:r>
                  <w:r>
                    <w:rPr>
                      <w:rFonts w:hint="eastAsia" w:cs="宋体"/>
                      <w:color w:val="000000" w:themeColor="text1"/>
                      <w:kern w:val="0"/>
                      <w:szCs w:val="21"/>
                      <w:highlight w:val="none"/>
                      <w:vertAlign w:val="superscript"/>
                      <w:lang w:bidi="ar"/>
                      <w14:textFill>
                        <w14:solidFill>
                          <w14:schemeClr w14:val="tx1"/>
                        </w14:solidFill>
                      </w14:textFill>
                    </w:rPr>
                    <w:t>3</w:t>
                  </w:r>
                  <w:r>
                    <w:rPr>
                      <w:rFonts w:hint="eastAsia" w:cs="宋体"/>
                      <w:color w:val="000000" w:themeColor="text1"/>
                      <w:kern w:val="0"/>
                      <w:szCs w:val="21"/>
                      <w:highlight w:val="none"/>
                      <w:lang w:bidi="ar"/>
                      <w14:textFill>
                        <w14:solidFill>
                          <w14:schemeClr w14:val="tx1"/>
                        </w14:solidFill>
                      </w14:textFill>
                    </w:rPr>
                    <w:t>/d，不外排。且在屠宰期间烫毛水采用循环利用的方式使用。符合节水型生产方式。</w:t>
                  </w:r>
                </w:p>
                <w:p w14:paraId="0C900410">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2.本项目为肉羊屠宰项目，不属于钢铁、有色金属、冶炼等17个高耗能行业。</w:t>
                  </w:r>
                </w:p>
                <w:p w14:paraId="0BF88846">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3.本项目为肉羊屠宰项目，不属于有色、化工、印染、烟草等行业。</w:t>
                  </w:r>
                </w:p>
                <w:p w14:paraId="58908A38">
                  <w:pPr>
                    <w:pStyle w:val="7"/>
                    <w:rPr>
                      <w:rFonts w:cs="宋体"/>
                      <w:color w:val="000000" w:themeColor="text1"/>
                      <w:sz w:val="21"/>
                      <w:szCs w:val="21"/>
                      <w:highlight w:val="none"/>
                      <w:lang w:bidi="ar"/>
                      <w14:textFill>
                        <w14:solidFill>
                          <w14:schemeClr w14:val="tx1"/>
                        </w14:solidFill>
                      </w14:textFill>
                    </w:rPr>
                  </w:pPr>
                  <w:r>
                    <w:rPr>
                      <w:rFonts w:hint="eastAsia" w:cs="宋体"/>
                      <w:color w:val="000000" w:themeColor="text1"/>
                      <w:sz w:val="21"/>
                      <w:szCs w:val="21"/>
                      <w:highlight w:val="none"/>
                      <w:lang w:bidi="ar"/>
                      <w14:textFill>
                        <w14:solidFill>
                          <w14:schemeClr w14:val="tx1"/>
                        </w14:solidFill>
                      </w14:textFill>
                    </w:rPr>
                    <w:t>4.本项目为肉羊屠宰项目，不属于钢铁、电解铝、水泥、平板玻璃、炼油、乙烯、合成氨、电石等重点行业。</w:t>
                  </w:r>
                </w:p>
              </w:tc>
              <w:tc>
                <w:tcPr>
                  <w:tcW w:w="930" w:type="dxa"/>
                  <w:vAlign w:val="center"/>
                </w:tcPr>
                <w:p w14:paraId="3C13674D">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符合</w:t>
                  </w:r>
                </w:p>
              </w:tc>
            </w:tr>
          </w:tbl>
          <w:p w14:paraId="69401063">
            <w:pPr>
              <w:widowControl/>
              <w:spacing w:line="360" w:lineRule="auto"/>
              <w:jc w:val="left"/>
              <w:rPr>
                <w:color w:val="000000" w:themeColor="text1"/>
                <w:highlight w:val="none"/>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w:t>
            </w:r>
            <w:r>
              <w:rPr>
                <w:rFonts w:hint="eastAsia"/>
                <w:color w:val="000000" w:themeColor="text1"/>
                <w:kern w:val="0"/>
                <w:sz w:val="24"/>
                <w:highlight w:val="none"/>
                <w:lang w:bidi="ar"/>
                <w14:textFill>
                  <w14:solidFill>
                    <w14:schemeClr w14:val="tx1"/>
                  </w14:solidFill>
                </w14:textFill>
              </w:rPr>
              <w:t>3</w:t>
            </w:r>
            <w:r>
              <w:rPr>
                <w:rFonts w:hint="eastAsia" w:cs="宋体"/>
                <w:color w:val="000000" w:themeColor="text1"/>
                <w:kern w:val="0"/>
                <w:sz w:val="24"/>
                <w:highlight w:val="none"/>
                <w:lang w:bidi="ar"/>
                <w14:textFill>
                  <w14:solidFill>
                    <w14:schemeClr w14:val="tx1"/>
                  </w14:solidFill>
                </w14:textFill>
              </w:rPr>
              <w:t>）生态环境准入清单</w:t>
            </w:r>
          </w:p>
          <w:p w14:paraId="59C197C8">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根据《昆明市生态环境分区管控动态更新方案（2023年）》：全市共划分</w:t>
            </w:r>
            <w:r>
              <w:rPr>
                <w:rFonts w:hint="eastAsia"/>
                <w:color w:val="000000" w:themeColor="text1"/>
                <w:kern w:val="0"/>
                <w:sz w:val="24"/>
                <w:highlight w:val="none"/>
                <w:lang w:bidi="ar"/>
                <w14:textFill>
                  <w14:solidFill>
                    <w14:schemeClr w14:val="tx1"/>
                  </w14:solidFill>
                </w14:textFill>
              </w:rPr>
              <w:t>132</w:t>
            </w:r>
            <w:r>
              <w:rPr>
                <w:rFonts w:hint="eastAsia" w:cs="宋体"/>
                <w:color w:val="000000" w:themeColor="text1"/>
                <w:kern w:val="0"/>
                <w:sz w:val="24"/>
                <w:highlight w:val="none"/>
                <w:lang w:bidi="ar"/>
                <w14:textFill>
                  <w14:solidFill>
                    <w14:schemeClr w14:val="tx1"/>
                  </w14:solidFill>
                </w14:textFill>
              </w:rPr>
              <w:t>个生态环境管控单元，分为优先保护、重点管控和一般管控</w:t>
            </w:r>
            <w:r>
              <w:rPr>
                <w:color w:val="000000" w:themeColor="text1"/>
                <w:kern w:val="0"/>
                <w:sz w:val="24"/>
                <w:highlight w:val="none"/>
                <w:lang w:bidi="ar"/>
                <w14:textFill>
                  <w14:solidFill>
                    <w14:schemeClr w14:val="tx1"/>
                  </w14:solidFill>
                </w14:textFill>
              </w:rPr>
              <w:t>3</w:t>
            </w:r>
            <w:r>
              <w:rPr>
                <w:rFonts w:hint="eastAsia" w:cs="宋体"/>
                <w:color w:val="000000" w:themeColor="text1"/>
                <w:kern w:val="0"/>
                <w:sz w:val="24"/>
                <w:highlight w:val="none"/>
                <w:lang w:bidi="ar"/>
                <w14:textFill>
                  <w14:solidFill>
                    <w14:schemeClr w14:val="tx1"/>
                  </w14:solidFill>
                </w14:textFill>
              </w:rPr>
              <w:t>类。</w:t>
            </w:r>
          </w:p>
          <w:p w14:paraId="72E8AA1F">
            <w:pPr>
              <w:widowControl/>
              <w:spacing w:line="360" w:lineRule="auto"/>
              <w:ind w:firstLine="480" w:firstLineChars="200"/>
              <w:jc w:val="left"/>
              <w:rPr>
                <w:color w:val="000000" w:themeColor="text1"/>
                <w:highlight w:val="none"/>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其中包括优先保护单元（共</w:t>
            </w:r>
            <w:r>
              <w:rPr>
                <w:rFonts w:hint="eastAsia"/>
                <w:color w:val="000000" w:themeColor="text1"/>
                <w:kern w:val="0"/>
                <w:sz w:val="24"/>
                <w:highlight w:val="none"/>
                <w:lang w:bidi="ar"/>
                <w14:textFill>
                  <w14:solidFill>
                    <w14:schemeClr w14:val="tx1"/>
                  </w14:solidFill>
                </w14:textFill>
              </w:rPr>
              <w:t>42</w:t>
            </w:r>
            <w:r>
              <w:rPr>
                <w:rFonts w:hint="eastAsia" w:cs="宋体"/>
                <w:color w:val="000000" w:themeColor="text1"/>
                <w:kern w:val="0"/>
                <w:sz w:val="24"/>
                <w:highlight w:val="none"/>
                <w:lang w:bidi="ar"/>
                <w14:textFill>
                  <w14:solidFill>
                    <w14:schemeClr w14:val="tx1"/>
                  </w14:solidFill>
                </w14:textFill>
              </w:rPr>
              <w:t>个），重点管控单元（共</w:t>
            </w:r>
            <w:r>
              <w:rPr>
                <w:rFonts w:hint="eastAsia"/>
                <w:color w:val="000000" w:themeColor="text1"/>
                <w:kern w:val="0"/>
                <w:sz w:val="24"/>
                <w:highlight w:val="none"/>
                <w:lang w:bidi="ar"/>
                <w14:textFill>
                  <w14:solidFill>
                    <w14:schemeClr w14:val="tx1"/>
                  </w14:solidFill>
                </w14:textFill>
              </w:rPr>
              <w:t>76</w:t>
            </w:r>
            <w:r>
              <w:rPr>
                <w:rFonts w:hint="eastAsia" w:cs="宋体"/>
                <w:color w:val="000000" w:themeColor="text1"/>
                <w:kern w:val="0"/>
                <w:sz w:val="24"/>
                <w:highlight w:val="none"/>
                <w:lang w:bidi="ar"/>
                <w14:textFill>
                  <w14:solidFill>
                    <w14:schemeClr w14:val="tx1"/>
                  </w14:solidFill>
                </w14:textFill>
              </w:rPr>
              <w:t>个），一般管控单元（共</w:t>
            </w:r>
            <w:r>
              <w:rPr>
                <w:rFonts w:hint="eastAsia"/>
                <w:color w:val="000000" w:themeColor="text1"/>
                <w:kern w:val="0"/>
                <w:sz w:val="24"/>
                <w:highlight w:val="none"/>
                <w:lang w:bidi="ar"/>
                <w14:textFill>
                  <w14:solidFill>
                    <w14:schemeClr w14:val="tx1"/>
                  </w14:solidFill>
                </w14:textFill>
              </w:rPr>
              <w:t>14</w:t>
            </w:r>
            <w:r>
              <w:rPr>
                <w:rFonts w:hint="eastAsia" w:cs="宋体"/>
                <w:color w:val="000000" w:themeColor="text1"/>
                <w:kern w:val="0"/>
                <w:sz w:val="24"/>
                <w:highlight w:val="none"/>
                <w:lang w:bidi="ar"/>
                <w14:textFill>
                  <w14:solidFill>
                    <w14:schemeClr w14:val="tx1"/>
                  </w14:solidFill>
                </w14:textFill>
              </w:rPr>
              <w:t>个）。</w:t>
            </w:r>
          </w:p>
          <w:p w14:paraId="62D358A0">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本项目位于云南省昆明市寻甸县羊街镇龙池村，根据建设单位提供的项目生态环境分区管控单元查询材料，项目位于寻甸回族彝族自治县乡镇生活污染重点管控单元（单元编码：ZH53012920005）。相关符合性分析如下表所示：</w:t>
            </w:r>
          </w:p>
          <w:p w14:paraId="60FBEB95">
            <w:pPr>
              <w:widowControl/>
              <w:jc w:val="center"/>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表1-4项目与“方案”中生态环境准入清单的符合性分析</w:t>
            </w:r>
          </w:p>
          <w:tbl>
            <w:tblPr>
              <w:tblStyle w:val="20"/>
              <w:tblW w:w="7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893"/>
              <w:gridCol w:w="2948"/>
              <w:gridCol w:w="1878"/>
              <w:gridCol w:w="892"/>
            </w:tblGrid>
            <w:tr w14:paraId="69AA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85" w:type="dxa"/>
                  <w:vAlign w:val="center"/>
                </w:tcPr>
                <w:p w14:paraId="3B899DD4">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管控单元</w:t>
                  </w:r>
                </w:p>
              </w:tc>
              <w:tc>
                <w:tcPr>
                  <w:tcW w:w="893" w:type="dxa"/>
                  <w:vAlign w:val="center"/>
                </w:tcPr>
                <w:p w14:paraId="29789AAB">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类别</w:t>
                  </w:r>
                </w:p>
              </w:tc>
              <w:tc>
                <w:tcPr>
                  <w:tcW w:w="2948" w:type="dxa"/>
                  <w:vAlign w:val="center"/>
                </w:tcPr>
                <w:p w14:paraId="12D264FF">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内容要求</w:t>
                  </w:r>
                </w:p>
              </w:tc>
              <w:tc>
                <w:tcPr>
                  <w:tcW w:w="1878" w:type="dxa"/>
                  <w:vAlign w:val="center"/>
                </w:tcPr>
                <w:p w14:paraId="2C793A11">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项目情况</w:t>
                  </w:r>
                </w:p>
              </w:tc>
              <w:tc>
                <w:tcPr>
                  <w:tcW w:w="892" w:type="dxa"/>
                  <w:vAlign w:val="center"/>
                </w:tcPr>
                <w:p w14:paraId="41B57731">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符合性</w:t>
                  </w:r>
                </w:p>
              </w:tc>
            </w:tr>
            <w:tr w14:paraId="2A2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85" w:type="dxa"/>
                  <w:vMerge w:val="restart"/>
                  <w:vAlign w:val="center"/>
                </w:tcPr>
                <w:p w14:paraId="48E02F38">
                  <w:pPr>
                    <w:widowControl/>
                    <w:jc w:val="center"/>
                    <w:rPr>
                      <w:b/>
                      <w:bCs/>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寻甸回族彝族自治县乡镇生活污染重点管控单元</w:t>
                  </w:r>
                </w:p>
              </w:tc>
              <w:tc>
                <w:tcPr>
                  <w:tcW w:w="893" w:type="dxa"/>
                  <w:vAlign w:val="center"/>
                </w:tcPr>
                <w:p w14:paraId="5B804172">
                  <w:pPr>
                    <w:widowControl/>
                    <w:jc w:val="center"/>
                    <w:rPr>
                      <w:color w:val="000000" w:themeColor="text1"/>
                      <w:kern w:val="0"/>
                      <w:szCs w:val="21"/>
                      <w:highlight w:val="none"/>
                      <w:lang w:bidi="ar"/>
                      <w14:textFill>
                        <w14:solidFill>
                          <w14:schemeClr w14:val="tx1"/>
                        </w14:solidFill>
                      </w14:textFill>
                    </w:rPr>
                  </w:pPr>
                  <w:r>
                    <w:rPr>
                      <w:rFonts w:cs="宋体"/>
                      <w:color w:val="000000" w:themeColor="text1"/>
                      <w:szCs w:val="21"/>
                      <w:highlight w:val="none"/>
                      <w14:textFill>
                        <w14:solidFill>
                          <w14:schemeClr w14:val="tx1"/>
                        </w14:solidFill>
                      </w14:textFill>
                    </w:rPr>
                    <w:t>空间布局约束</w:t>
                  </w:r>
                </w:p>
              </w:tc>
              <w:tc>
                <w:tcPr>
                  <w:tcW w:w="2948" w:type="dxa"/>
                  <w:vAlign w:val="center"/>
                </w:tcPr>
                <w:p w14:paraId="625BA4E7">
                  <w:pPr>
                    <w:widowControl/>
                    <w:jc w:val="center"/>
                    <w:rPr>
                      <w:b/>
                      <w:bCs/>
                      <w:color w:val="000000" w:themeColor="text1"/>
                      <w:kern w:val="0"/>
                      <w:szCs w:val="21"/>
                      <w:highlight w:val="none"/>
                      <w:lang w:bidi="ar"/>
                      <w14:textFill>
                        <w14:solidFill>
                          <w14:schemeClr w14:val="tx1"/>
                        </w14:solidFill>
                      </w14:textFill>
                    </w:rPr>
                  </w:pPr>
                  <w:r>
                    <w:rPr>
                      <w:color w:val="000000" w:themeColor="text1"/>
                      <w:szCs w:val="21"/>
                      <w:highlight w:val="none"/>
                      <w14:textFill>
                        <w14:solidFill>
                          <w14:schemeClr w14:val="tx1"/>
                        </w14:solidFill>
                      </w14:textFill>
                    </w:rPr>
                    <w:t>1.引导人口和产业向城镇开发区集聚，向文化汇聚地和休闲中心发展。</w:t>
                  </w:r>
                </w:p>
              </w:tc>
              <w:tc>
                <w:tcPr>
                  <w:tcW w:w="1878" w:type="dxa"/>
                  <w:vAlign w:val="center"/>
                </w:tcPr>
                <w:p w14:paraId="70D220BC">
                  <w:pPr>
                    <w:widowControl/>
                    <w:jc w:val="left"/>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1.本项目为肉羊屠宰建设项目，位于</w:t>
                  </w:r>
                  <w:r>
                    <w:rPr>
                      <w:rFonts w:hint="eastAsia"/>
                      <w:highlight w:val="none"/>
                    </w:rPr>
                    <w:t>云南省昆明市寻甸县羊街镇龙池村，属于</w:t>
                  </w:r>
                  <w:r>
                    <w:rPr>
                      <w:rFonts w:hint="eastAsia" w:cs="宋体"/>
                      <w:color w:val="000000" w:themeColor="text1"/>
                      <w:kern w:val="0"/>
                      <w:szCs w:val="21"/>
                      <w:highlight w:val="none"/>
                      <w:lang w:bidi="ar"/>
                      <w14:textFill>
                        <w14:solidFill>
                          <w14:schemeClr w14:val="tx1"/>
                        </w14:solidFill>
                      </w14:textFill>
                    </w:rPr>
                    <w:t>城镇开发区。</w:t>
                  </w:r>
                </w:p>
              </w:tc>
              <w:tc>
                <w:tcPr>
                  <w:tcW w:w="892" w:type="dxa"/>
                  <w:vAlign w:val="center"/>
                </w:tcPr>
                <w:p w14:paraId="483EBEF0">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符合</w:t>
                  </w:r>
                </w:p>
              </w:tc>
            </w:tr>
            <w:tr w14:paraId="4F06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1085" w:type="dxa"/>
                  <w:vMerge w:val="continue"/>
                  <w:vAlign w:val="center"/>
                </w:tcPr>
                <w:p w14:paraId="07DA7EE9">
                  <w:pPr>
                    <w:widowControl/>
                    <w:jc w:val="center"/>
                    <w:rPr>
                      <w:rFonts w:cs="宋体"/>
                      <w:color w:val="000000" w:themeColor="text1"/>
                      <w:kern w:val="0"/>
                      <w:szCs w:val="21"/>
                      <w:highlight w:val="none"/>
                      <w:lang w:bidi="ar"/>
                      <w14:textFill>
                        <w14:solidFill>
                          <w14:schemeClr w14:val="tx1"/>
                        </w14:solidFill>
                      </w14:textFill>
                    </w:rPr>
                  </w:pPr>
                </w:p>
              </w:tc>
              <w:tc>
                <w:tcPr>
                  <w:tcW w:w="893" w:type="dxa"/>
                  <w:vAlign w:val="center"/>
                </w:tcPr>
                <w:p w14:paraId="6443592E">
                  <w:pPr>
                    <w:widowControl/>
                    <w:jc w:val="center"/>
                    <w:rPr>
                      <w:rFonts w:cs="宋体"/>
                      <w:color w:val="000000" w:themeColor="text1"/>
                      <w:szCs w:val="21"/>
                      <w:highlight w:val="none"/>
                      <w14:textFill>
                        <w14:solidFill>
                          <w14:schemeClr w14:val="tx1"/>
                        </w14:solidFill>
                      </w14:textFill>
                    </w:rPr>
                  </w:pPr>
                  <w:r>
                    <w:rPr>
                      <w:rFonts w:cs="宋体"/>
                      <w:color w:val="000000" w:themeColor="text1"/>
                      <w:szCs w:val="21"/>
                      <w:highlight w:val="none"/>
                      <w14:textFill>
                        <w14:solidFill>
                          <w14:schemeClr w14:val="tx1"/>
                        </w14:solidFill>
                      </w14:textFill>
                    </w:rPr>
                    <w:t>污染物排放管控</w:t>
                  </w:r>
                </w:p>
              </w:tc>
              <w:tc>
                <w:tcPr>
                  <w:tcW w:w="2948" w:type="dxa"/>
                  <w:vAlign w:val="center"/>
                </w:tcPr>
                <w:p w14:paraId="06C11DD2">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1.完善生活污水收集处理系统，因地制宜，梯次推进农村生活污水治理工作，减少生活污水直接进入城区河道及湖库。</w:t>
                  </w:r>
                  <w:r>
                    <w:rPr>
                      <w:color w:val="000000" w:themeColor="text1"/>
                      <w:szCs w:val="21"/>
                      <w:highlight w:val="none"/>
                      <w14:textFill>
                        <w14:solidFill>
                          <w14:schemeClr w14:val="tx1"/>
                        </w14:solidFill>
                      </w14:textFill>
                    </w:rPr>
                    <w:br w:type="textWrapping"/>
                  </w:r>
                  <w:r>
                    <w:rPr>
                      <w:color w:val="000000" w:themeColor="text1"/>
                      <w:szCs w:val="21"/>
                      <w:highlight w:val="none"/>
                      <w14:textFill>
                        <w14:solidFill>
                          <w14:schemeClr w14:val="tx1"/>
                        </w14:solidFill>
                      </w14:textFill>
                    </w:rPr>
                    <w:t>2.到2025年农村生活污水治理率达74%。</w:t>
                  </w:r>
                  <w:r>
                    <w:rPr>
                      <w:color w:val="000000" w:themeColor="text1"/>
                      <w:szCs w:val="21"/>
                      <w:highlight w:val="none"/>
                      <w14:textFill>
                        <w14:solidFill>
                          <w14:schemeClr w14:val="tx1"/>
                        </w14:solidFill>
                      </w14:textFill>
                    </w:rPr>
                    <w:br w:type="textWrapping"/>
                  </w:r>
                  <w:r>
                    <w:rPr>
                      <w:color w:val="000000" w:themeColor="text1"/>
                      <w:szCs w:val="21"/>
                      <w:highlight w:val="none"/>
                      <w14:textFill>
                        <w14:solidFill>
                          <w14:schemeClr w14:val="tx1"/>
                        </w14:solidFill>
                      </w14:textFill>
                    </w:rPr>
                    <w:t>3.城市污水管网尚未配套的地区，房地产开发项目应自行建设污水处理设施，污水处理后达标排放。</w:t>
                  </w:r>
                  <w:r>
                    <w:rPr>
                      <w:color w:val="000000" w:themeColor="text1"/>
                      <w:szCs w:val="21"/>
                      <w:highlight w:val="none"/>
                      <w14:textFill>
                        <w14:solidFill>
                          <w14:schemeClr w14:val="tx1"/>
                        </w14:solidFill>
                      </w14:textFill>
                    </w:rPr>
                    <w:br w:type="textWrapping"/>
                  </w:r>
                  <w:r>
                    <w:rPr>
                      <w:color w:val="000000" w:themeColor="text1"/>
                      <w:szCs w:val="21"/>
                      <w:highlight w:val="none"/>
                      <w14:textFill>
                        <w14:solidFill>
                          <w14:schemeClr w14:val="tx1"/>
                        </w14:solidFill>
                      </w14:textFill>
                    </w:rPr>
                    <w:t>4.按国家、省、市相关标准要求建设、改造、提升满足实际需求的环卫基础设施。</w:t>
                  </w:r>
                </w:p>
              </w:tc>
              <w:tc>
                <w:tcPr>
                  <w:tcW w:w="1878" w:type="dxa"/>
                  <w:vAlign w:val="center"/>
                </w:tcPr>
                <w:p w14:paraId="39A1A82D">
                  <w:pPr>
                    <w:widowControl/>
                    <w:jc w:val="center"/>
                    <w:rPr>
                      <w:color w:val="000000" w:themeColor="text1"/>
                      <w:szCs w:val="21"/>
                      <w:highlight w:val="none"/>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1.</w:t>
                  </w:r>
                  <w:r>
                    <w:rPr>
                      <w:color w:val="000000" w:themeColor="text1"/>
                      <w:szCs w:val="21"/>
                      <w:highlight w:val="none"/>
                      <w14:textFill>
                        <w14:solidFill>
                          <w14:schemeClr w14:val="tx1"/>
                        </w14:solidFill>
                      </w14:textFill>
                    </w:rPr>
                    <w:t>项目</w:t>
                  </w:r>
                  <w:r>
                    <w:rPr>
                      <w:rFonts w:hint="eastAsia"/>
                      <w:color w:val="000000" w:themeColor="text1"/>
                      <w:szCs w:val="21"/>
                      <w:highlight w:val="none"/>
                      <w14:textFill>
                        <w14:solidFill>
                          <w14:schemeClr w14:val="tx1"/>
                        </w14:solidFill>
                      </w14:textFill>
                    </w:rPr>
                    <w:t>区生活污水收集后经现有的污水处理系统处理，处理规模为250m</w:t>
                  </w:r>
                  <w:r>
                    <w:rPr>
                      <w:rFonts w:hint="eastAsia"/>
                      <w:color w:val="000000" w:themeColor="text1"/>
                      <w:szCs w:val="21"/>
                      <w:highlight w:val="none"/>
                      <w:vertAlign w:val="superscript"/>
                      <w14:textFill>
                        <w14:solidFill>
                          <w14:schemeClr w14:val="tx1"/>
                        </w14:solidFill>
                      </w14:textFill>
                    </w:rPr>
                    <w:t>3</w:t>
                  </w:r>
                  <w:r>
                    <w:rPr>
                      <w:rFonts w:hint="eastAsia"/>
                      <w:color w:val="000000" w:themeColor="text1"/>
                      <w:szCs w:val="21"/>
                      <w:highlight w:val="none"/>
                      <w14:textFill>
                        <w14:solidFill>
                          <w14:schemeClr w14:val="tx1"/>
                        </w14:solidFill>
                      </w14:textFill>
                    </w:rPr>
                    <w:t>/d，净化后的水回用于绿化浇灌，清洁卫生和喷洒扬尘等，不外排。</w:t>
                  </w:r>
                </w:p>
                <w:p w14:paraId="09BDAA9B">
                  <w:pPr>
                    <w:widowControl/>
                    <w:jc w:val="center"/>
                    <w:rPr>
                      <w:b/>
                      <w:bCs/>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pacing w:val="9"/>
                      <w:szCs w:val="21"/>
                      <w:highlight w:val="none"/>
                      <w14:textFill>
                        <w14:solidFill>
                          <w14:schemeClr w14:val="tx1"/>
                        </w14:solidFill>
                      </w14:textFill>
                    </w:rPr>
                    <w:t>项目区依托现有污水处理设施，处理达标后回用。</w:t>
                  </w:r>
                </w:p>
              </w:tc>
              <w:tc>
                <w:tcPr>
                  <w:tcW w:w="892" w:type="dxa"/>
                  <w:vAlign w:val="center"/>
                </w:tcPr>
                <w:p w14:paraId="4C46B122">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符合</w:t>
                  </w:r>
                </w:p>
              </w:tc>
            </w:tr>
            <w:tr w14:paraId="4895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85" w:type="dxa"/>
                  <w:vMerge w:val="continue"/>
                  <w:vAlign w:val="center"/>
                </w:tcPr>
                <w:p w14:paraId="3E0668B9">
                  <w:pPr>
                    <w:widowControl/>
                    <w:jc w:val="center"/>
                    <w:rPr>
                      <w:rFonts w:cs="宋体"/>
                      <w:color w:val="000000" w:themeColor="text1"/>
                      <w:kern w:val="0"/>
                      <w:szCs w:val="21"/>
                      <w:highlight w:val="none"/>
                      <w:lang w:bidi="ar"/>
                      <w14:textFill>
                        <w14:solidFill>
                          <w14:schemeClr w14:val="tx1"/>
                        </w14:solidFill>
                      </w14:textFill>
                    </w:rPr>
                  </w:pPr>
                </w:p>
              </w:tc>
              <w:tc>
                <w:tcPr>
                  <w:tcW w:w="893" w:type="dxa"/>
                  <w:vAlign w:val="center"/>
                </w:tcPr>
                <w:p w14:paraId="16EC562E">
                  <w:pPr>
                    <w:widowControl/>
                    <w:jc w:val="center"/>
                    <w:rPr>
                      <w:rFonts w:cs="宋体"/>
                      <w:color w:val="000000" w:themeColor="text1"/>
                      <w:szCs w:val="21"/>
                      <w:highlight w:val="none"/>
                      <w14:textFill>
                        <w14:solidFill>
                          <w14:schemeClr w14:val="tx1"/>
                        </w14:solidFill>
                      </w14:textFill>
                    </w:rPr>
                  </w:pPr>
                  <w:r>
                    <w:rPr>
                      <w:rFonts w:cs="宋体"/>
                      <w:color w:val="000000" w:themeColor="text1"/>
                      <w:szCs w:val="21"/>
                      <w:highlight w:val="none"/>
                      <w14:textFill>
                        <w14:solidFill>
                          <w14:schemeClr w14:val="tx1"/>
                        </w14:solidFill>
                      </w14:textFill>
                    </w:rPr>
                    <w:t>环境风险防控</w:t>
                  </w:r>
                </w:p>
              </w:tc>
              <w:tc>
                <w:tcPr>
                  <w:tcW w:w="2948" w:type="dxa"/>
                  <w:vAlign w:val="center"/>
                </w:tcPr>
                <w:p w14:paraId="03B2D571">
                  <w:pPr>
                    <w:widowControl/>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建立健全突发环境事件预警应急机制，定期组织开展预案演练。</w:t>
                  </w:r>
                </w:p>
              </w:tc>
              <w:tc>
                <w:tcPr>
                  <w:tcW w:w="1878" w:type="dxa"/>
                  <w:vAlign w:val="center"/>
                </w:tcPr>
                <w:p w14:paraId="7EB30266">
                  <w:pPr>
                    <w:widowControl/>
                    <w:jc w:val="center"/>
                    <w:rPr>
                      <w:b/>
                      <w:bCs/>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highlight w:val="none"/>
                    </w:rPr>
                    <w:t>企业应根据《突发事件应急预案管理办法》，及时进行应急预案修编工作及预案演练</w:t>
                  </w:r>
                  <w:r>
                    <w:rPr>
                      <w:rFonts w:hint="eastAsia"/>
                      <w:color w:val="000000" w:themeColor="text1"/>
                      <w:szCs w:val="21"/>
                      <w:highlight w:val="none"/>
                      <w14:textFill>
                        <w14:solidFill>
                          <w14:schemeClr w14:val="tx1"/>
                        </w14:solidFill>
                      </w14:textFill>
                    </w:rPr>
                    <w:t>。</w:t>
                  </w:r>
                </w:p>
              </w:tc>
              <w:tc>
                <w:tcPr>
                  <w:tcW w:w="892" w:type="dxa"/>
                  <w:vAlign w:val="center"/>
                </w:tcPr>
                <w:p w14:paraId="347005A8">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符合</w:t>
                  </w:r>
                </w:p>
              </w:tc>
            </w:tr>
            <w:tr w14:paraId="482C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85" w:type="dxa"/>
                  <w:vMerge w:val="continue"/>
                  <w:vAlign w:val="center"/>
                </w:tcPr>
                <w:p w14:paraId="353CF211">
                  <w:pPr>
                    <w:widowControl/>
                    <w:jc w:val="center"/>
                    <w:rPr>
                      <w:rFonts w:cs="宋体"/>
                      <w:color w:val="000000" w:themeColor="text1"/>
                      <w:kern w:val="0"/>
                      <w:szCs w:val="21"/>
                      <w:highlight w:val="none"/>
                      <w:lang w:bidi="ar"/>
                      <w14:textFill>
                        <w14:solidFill>
                          <w14:schemeClr w14:val="tx1"/>
                        </w14:solidFill>
                      </w14:textFill>
                    </w:rPr>
                  </w:pPr>
                </w:p>
              </w:tc>
              <w:tc>
                <w:tcPr>
                  <w:tcW w:w="893" w:type="dxa"/>
                  <w:vAlign w:val="center"/>
                </w:tcPr>
                <w:p w14:paraId="7E1F4C44">
                  <w:pPr>
                    <w:widowControl/>
                    <w:jc w:val="center"/>
                    <w:rPr>
                      <w:rFonts w:cs="宋体"/>
                      <w:color w:val="000000" w:themeColor="text1"/>
                      <w:szCs w:val="21"/>
                      <w:highlight w:val="none"/>
                      <w14:textFill>
                        <w14:solidFill>
                          <w14:schemeClr w14:val="tx1"/>
                        </w14:solidFill>
                      </w14:textFill>
                    </w:rPr>
                  </w:pPr>
                  <w:r>
                    <w:rPr>
                      <w:rFonts w:cs="宋体"/>
                      <w:color w:val="000000" w:themeColor="text1"/>
                      <w:szCs w:val="21"/>
                      <w:highlight w:val="none"/>
                      <w14:textFill>
                        <w14:solidFill>
                          <w14:schemeClr w14:val="tx1"/>
                        </w14:solidFill>
                      </w14:textFill>
                    </w:rPr>
                    <w:t>资源开发效率要求</w:t>
                  </w:r>
                </w:p>
              </w:tc>
              <w:tc>
                <w:tcPr>
                  <w:tcW w:w="2948" w:type="dxa"/>
                  <w:vAlign w:val="center"/>
                </w:tcPr>
                <w:p w14:paraId="11BDC198">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p>
              </w:tc>
              <w:tc>
                <w:tcPr>
                  <w:tcW w:w="1878" w:type="dxa"/>
                  <w:vAlign w:val="center"/>
                </w:tcPr>
                <w:p w14:paraId="37B8A57B">
                  <w:pPr>
                    <w:widowControl/>
                    <w:jc w:val="center"/>
                    <w:rPr>
                      <w:b/>
                      <w:bCs/>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892" w:type="dxa"/>
                  <w:vAlign w:val="center"/>
                </w:tcPr>
                <w:p w14:paraId="41B1418A">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w:t>
                  </w:r>
                </w:p>
              </w:tc>
            </w:tr>
          </w:tbl>
          <w:p w14:paraId="61DAE762">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综上所述，本项目的建设符合《昆明市生态环境分区管控动态更新方案（2023年）》中总体要求以及寻甸回族彝族自治县乡镇生活污染重点管控单元要求。</w:t>
            </w:r>
          </w:p>
          <w:p w14:paraId="25EB90EA">
            <w:pPr>
              <w:autoSpaceDE w:val="0"/>
              <w:autoSpaceDN w:val="0"/>
              <w:adjustRightInd w:val="0"/>
              <w:snapToGrid w:val="0"/>
              <w:spacing w:line="360" w:lineRule="auto"/>
              <w:jc w:val="left"/>
              <w:rPr>
                <w:rFonts w:cs="宋体"/>
                <w:b/>
                <w:bCs/>
                <w:color w:val="000000" w:themeColor="text1"/>
                <w:kern w:val="0"/>
                <w:sz w:val="30"/>
                <w:szCs w:val="30"/>
                <w:highlight w:val="none"/>
                <w14:textFill>
                  <w14:solidFill>
                    <w14:schemeClr w14:val="tx1"/>
                  </w14:solidFill>
                </w14:textFill>
              </w:rPr>
            </w:pPr>
            <w:r>
              <w:rPr>
                <w:rFonts w:hint="eastAsia" w:cs="宋体"/>
                <w:b/>
                <w:bCs/>
                <w:color w:val="000000" w:themeColor="text1"/>
                <w:kern w:val="0"/>
                <w:sz w:val="30"/>
                <w:szCs w:val="30"/>
                <w:highlight w:val="none"/>
                <w14:textFill>
                  <w14:solidFill>
                    <w14:schemeClr w14:val="tx1"/>
                  </w14:solidFill>
                </w14:textFill>
              </w:rPr>
              <w:t>3</w:t>
            </w:r>
            <w:r>
              <w:rPr>
                <w:rFonts w:cs="宋体"/>
                <w:b/>
                <w:bCs/>
                <w:color w:val="000000" w:themeColor="text1"/>
                <w:kern w:val="0"/>
                <w:sz w:val="30"/>
                <w:szCs w:val="30"/>
                <w:highlight w:val="none"/>
                <w14:textFill>
                  <w14:solidFill>
                    <w14:schemeClr w14:val="tx1"/>
                  </w14:solidFill>
                </w14:textFill>
              </w:rPr>
              <w:t>.与《长江经济带发展负面清单指南（试行，2022年版）》符合性分析</w:t>
            </w:r>
          </w:p>
          <w:p w14:paraId="59233394">
            <w:pPr>
              <w:adjustRightInd w:val="0"/>
              <w:snapToGrid w:val="0"/>
              <w:spacing w:line="360" w:lineRule="auto"/>
              <w:ind w:firstLine="480" w:firstLineChars="200"/>
              <w:rPr>
                <w:bCs/>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本项目位于云南省昆明市寻甸县羊街镇龙池村，在现有牛屠宰车间的基础上，将急宰间改建为肉羊屠宰线</w:t>
            </w:r>
            <w:r>
              <w:rPr>
                <w:rFonts w:hint="eastAsia" w:cs="宋体"/>
                <w:color w:val="000000" w:themeColor="text1"/>
                <w:kern w:val="0"/>
                <w:sz w:val="24"/>
                <w:highlight w:val="none"/>
                <w:lang w:bidi="ar"/>
                <w14:textFill>
                  <w14:solidFill>
                    <w14:schemeClr w14:val="tx1"/>
                  </w14:solidFill>
                </w14:textFill>
              </w:rPr>
              <w:t>，</w:t>
            </w:r>
            <w:r>
              <w:rPr>
                <w:rFonts w:hint="eastAsia"/>
                <w:color w:val="000000" w:themeColor="text1"/>
                <w:sz w:val="24"/>
                <w:highlight w:val="none"/>
                <w14:textFill>
                  <w14:solidFill>
                    <w14:schemeClr w14:val="tx1"/>
                  </w14:solidFill>
                </w14:textFill>
              </w:rPr>
              <w:t>项目屠宰废水及生活污水依托现有的污水处理系统进行处理。项</w:t>
            </w:r>
            <w:r>
              <w:rPr>
                <w:bCs/>
                <w:color w:val="000000" w:themeColor="text1"/>
                <w:kern w:val="0"/>
                <w:sz w:val="24"/>
                <w:highlight w:val="none"/>
                <w14:textFill>
                  <w14:solidFill>
                    <w14:schemeClr w14:val="tx1"/>
                  </w14:solidFill>
                </w14:textFill>
              </w:rPr>
              <w:t>目与《长江经济带发展负面清单指南（试行，2022年版）》的符合性分析详见下表。</w:t>
            </w:r>
          </w:p>
          <w:p w14:paraId="367E950D">
            <w:pPr>
              <w:snapToGrid w:val="0"/>
              <w:jc w:val="center"/>
              <w:rPr>
                <w:b/>
                <w:color w:val="000000" w:themeColor="text1"/>
                <w:szCs w:val="40"/>
                <w:highlight w:val="none"/>
                <w14:textFill>
                  <w14:solidFill>
                    <w14:schemeClr w14:val="tx1"/>
                  </w14:solidFill>
                </w14:textFill>
              </w:rPr>
            </w:pPr>
            <w:r>
              <w:rPr>
                <w:rFonts w:hint="eastAsia"/>
                <w:b/>
                <w:color w:val="000000" w:themeColor="text1"/>
                <w:szCs w:val="40"/>
                <w:highlight w:val="none"/>
                <w14:textFill>
                  <w14:solidFill>
                    <w14:schemeClr w14:val="tx1"/>
                  </w14:solidFill>
                </w14:textFill>
              </w:rPr>
              <w:t>表1-5与《长江经济带发展负面清单指南（试行，2022年版）》的符合性分析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3"/>
              <w:gridCol w:w="2476"/>
              <w:gridCol w:w="884"/>
            </w:tblGrid>
            <w:tr w14:paraId="6BEF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3128D6DC">
                  <w:pPr>
                    <w:pStyle w:val="58"/>
                    <w:spacing w:line="240" w:lineRule="auto"/>
                    <w:ind w:firstLine="0"/>
                    <w:jc w:val="center"/>
                    <w:rPr>
                      <w:rFonts w:ascii="Times New Roman" w:hAnsi="Times New Roman" w:eastAsia="宋体"/>
                      <w:b/>
                      <w:bCs/>
                      <w:color w:val="000000" w:themeColor="text1"/>
                      <w:szCs w:val="21"/>
                      <w:highlight w:val="none"/>
                      <w14:textFill>
                        <w14:solidFill>
                          <w14:schemeClr w14:val="tx1"/>
                        </w14:solidFill>
                      </w14:textFill>
                    </w:rPr>
                  </w:pPr>
                  <w:r>
                    <w:rPr>
                      <w:rFonts w:ascii="Times New Roman" w:hAnsi="Times New Roman" w:eastAsia="宋体"/>
                      <w:b/>
                      <w:bCs/>
                      <w:color w:val="000000" w:themeColor="text1"/>
                      <w:szCs w:val="21"/>
                      <w:highlight w:val="none"/>
                      <w14:textFill>
                        <w14:solidFill>
                          <w14:schemeClr w14:val="tx1"/>
                        </w14:solidFill>
                      </w14:textFill>
                    </w:rPr>
                    <w:t>相关要求</w:t>
                  </w:r>
                </w:p>
              </w:tc>
              <w:tc>
                <w:tcPr>
                  <w:tcW w:w="2476" w:type="dxa"/>
                  <w:vAlign w:val="center"/>
                </w:tcPr>
                <w:p w14:paraId="06C7862D">
                  <w:pPr>
                    <w:pStyle w:val="58"/>
                    <w:spacing w:line="240" w:lineRule="auto"/>
                    <w:ind w:firstLine="0"/>
                    <w:jc w:val="center"/>
                    <w:rPr>
                      <w:rFonts w:ascii="Times New Roman" w:hAnsi="Times New Roman" w:eastAsia="宋体"/>
                      <w:b/>
                      <w:bCs/>
                      <w:color w:val="000000" w:themeColor="text1"/>
                      <w:szCs w:val="21"/>
                      <w:highlight w:val="none"/>
                      <w14:textFill>
                        <w14:solidFill>
                          <w14:schemeClr w14:val="tx1"/>
                        </w14:solidFill>
                      </w14:textFill>
                    </w:rPr>
                  </w:pPr>
                  <w:r>
                    <w:rPr>
                      <w:rFonts w:ascii="Times New Roman" w:hAnsi="Times New Roman" w:eastAsia="宋体"/>
                      <w:b/>
                      <w:bCs/>
                      <w:color w:val="000000" w:themeColor="text1"/>
                      <w:szCs w:val="21"/>
                      <w:highlight w:val="none"/>
                      <w14:textFill>
                        <w14:solidFill>
                          <w14:schemeClr w14:val="tx1"/>
                        </w14:solidFill>
                      </w14:textFill>
                    </w:rPr>
                    <w:t>项目情况</w:t>
                  </w:r>
                </w:p>
              </w:tc>
              <w:tc>
                <w:tcPr>
                  <w:tcW w:w="884" w:type="dxa"/>
                  <w:vAlign w:val="center"/>
                </w:tcPr>
                <w:p w14:paraId="2F730E11">
                  <w:pPr>
                    <w:pStyle w:val="58"/>
                    <w:spacing w:line="240" w:lineRule="auto"/>
                    <w:ind w:firstLine="0"/>
                    <w:jc w:val="center"/>
                    <w:rPr>
                      <w:rFonts w:ascii="Times New Roman" w:hAnsi="Times New Roman" w:eastAsia="宋体"/>
                      <w:b/>
                      <w:bCs/>
                      <w:color w:val="000000" w:themeColor="text1"/>
                      <w:szCs w:val="21"/>
                      <w:highlight w:val="none"/>
                      <w14:textFill>
                        <w14:solidFill>
                          <w14:schemeClr w14:val="tx1"/>
                        </w14:solidFill>
                      </w14:textFill>
                    </w:rPr>
                  </w:pPr>
                  <w:r>
                    <w:rPr>
                      <w:rFonts w:ascii="Times New Roman" w:hAnsi="Times New Roman" w:eastAsia="宋体"/>
                      <w:b/>
                      <w:bCs/>
                      <w:color w:val="000000" w:themeColor="text1"/>
                      <w:szCs w:val="21"/>
                      <w:highlight w:val="none"/>
                      <w14:textFill>
                        <w14:solidFill>
                          <w14:schemeClr w14:val="tx1"/>
                        </w14:solidFill>
                      </w14:textFill>
                    </w:rPr>
                    <w:t>符合性</w:t>
                  </w:r>
                </w:p>
              </w:tc>
            </w:tr>
            <w:tr w14:paraId="040D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5BF44874">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1、禁止建设不符合全国和省级港口布局规划以及港口</w:t>
                  </w:r>
                  <w:r>
                    <w:rPr>
                      <w:rFonts w:hint="eastAsia" w:ascii="Times New Roman" w:hAnsi="Times New Roman" w:eastAsia="宋体"/>
                      <w:color w:val="000000" w:themeColor="text1"/>
                      <w:szCs w:val="21"/>
                      <w:highlight w:val="none"/>
                      <w14:textFill>
                        <w14:solidFill>
                          <w14:schemeClr w14:val="tx1"/>
                        </w14:solidFill>
                      </w14:textFill>
                    </w:rPr>
                    <w:t>总体规划</w:t>
                  </w:r>
                  <w:r>
                    <w:rPr>
                      <w:rFonts w:ascii="Times New Roman" w:hAnsi="Times New Roman" w:eastAsia="宋体"/>
                      <w:color w:val="000000" w:themeColor="text1"/>
                      <w:szCs w:val="21"/>
                      <w:highlight w:val="none"/>
                      <w14:textFill>
                        <w14:solidFill>
                          <w14:schemeClr w14:val="tx1"/>
                        </w14:solidFill>
                      </w14:textFill>
                    </w:rPr>
                    <w:t>的码头项目，禁止建设不符合《长江干线过江通道布局规划》的过长江通道项目。</w:t>
                  </w:r>
                </w:p>
              </w:tc>
              <w:tc>
                <w:tcPr>
                  <w:tcW w:w="2476" w:type="dxa"/>
                  <w:vAlign w:val="center"/>
                </w:tcPr>
                <w:p w14:paraId="458C72AA">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本项目不涉及码头和长江通道项目。</w:t>
                  </w:r>
                </w:p>
              </w:tc>
              <w:tc>
                <w:tcPr>
                  <w:tcW w:w="884" w:type="dxa"/>
                  <w:vAlign w:val="center"/>
                </w:tcPr>
                <w:p w14:paraId="3817CC82">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r w14:paraId="390E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1255AF3F">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2、禁止在自然保护区核心区、缓冲区</w:t>
                  </w:r>
                  <w:r>
                    <w:rPr>
                      <w:rFonts w:hint="eastAsia" w:ascii="Times New Roman" w:hAnsi="Times New Roman" w:eastAsia="宋体"/>
                      <w:color w:val="000000" w:themeColor="text1"/>
                      <w:szCs w:val="21"/>
                      <w:highlight w:val="none"/>
                      <w14:textFill>
                        <w14:solidFill>
                          <w14:schemeClr w14:val="tx1"/>
                        </w14:solidFill>
                      </w14:textFill>
                    </w:rPr>
                    <w:t>地</w:t>
                  </w:r>
                  <w:r>
                    <w:rPr>
                      <w:rFonts w:ascii="Times New Roman" w:hAnsi="Times New Roman" w:eastAsia="宋体"/>
                      <w:color w:val="000000" w:themeColor="text1"/>
                      <w:szCs w:val="21"/>
                      <w:highlight w:val="none"/>
                      <w14:textFill>
                        <w14:solidFill>
                          <w14:schemeClr w14:val="tx1"/>
                        </w14:solidFill>
                      </w14:textFill>
                    </w:rPr>
                    <w:t>岸线和河段范围内投资建设旅游和生产经营项目。禁止在风景名胜区核心景区的岸线和河段范围内投资建设与风景名胜资源保护无关的项目。</w:t>
                  </w:r>
                </w:p>
              </w:tc>
              <w:tc>
                <w:tcPr>
                  <w:tcW w:w="2476" w:type="dxa"/>
                  <w:vAlign w:val="center"/>
                </w:tcPr>
                <w:p w14:paraId="7C30CFF0">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本项目位于云南省昆明市寻甸县羊街镇龙池村，</w:t>
                  </w:r>
                  <w:r>
                    <w:rPr>
                      <w:rFonts w:ascii="Times New Roman" w:hAnsi="Times New Roman" w:eastAsia="宋体"/>
                      <w:color w:val="000000" w:themeColor="text1"/>
                      <w:szCs w:val="21"/>
                      <w:highlight w:val="none"/>
                      <w14:textFill>
                        <w14:solidFill>
                          <w14:schemeClr w14:val="tx1"/>
                        </w14:solidFill>
                      </w14:textFill>
                    </w:rPr>
                    <w:t>不涉及自然保护区、风景名胜区。</w:t>
                  </w:r>
                </w:p>
              </w:tc>
              <w:tc>
                <w:tcPr>
                  <w:tcW w:w="884" w:type="dxa"/>
                  <w:vAlign w:val="center"/>
                </w:tcPr>
                <w:p w14:paraId="77A61209">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r w14:paraId="0405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09D4FABE">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3、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476" w:type="dxa"/>
                  <w:vAlign w:val="center"/>
                </w:tcPr>
                <w:p w14:paraId="4AA4114E">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本项目评价范围内不涉及饮用水水源保护区。</w:t>
                  </w:r>
                </w:p>
              </w:tc>
              <w:tc>
                <w:tcPr>
                  <w:tcW w:w="884" w:type="dxa"/>
                  <w:vAlign w:val="center"/>
                </w:tcPr>
                <w:p w14:paraId="1338C5B7">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r w14:paraId="1A77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6987D6FE">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4、禁止在水产种质资源保护区的岸线和河段范围内新建围湖造田、围海造地或围填海等投资建设项目。禁止在国家湿地公园的岸线和河段范围内挖沙、采矿，以及任何不符合主体功能定位的投资建设项目。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476" w:type="dxa"/>
                  <w:vAlign w:val="center"/>
                </w:tcPr>
                <w:p w14:paraId="1B4FBED1">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本项目不涉及水产种质资源保护区和国家湿地公园。</w:t>
                  </w:r>
                </w:p>
              </w:tc>
              <w:tc>
                <w:tcPr>
                  <w:tcW w:w="884" w:type="dxa"/>
                  <w:vAlign w:val="center"/>
                </w:tcPr>
                <w:p w14:paraId="5D582B05">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r w14:paraId="2FD8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6D4C199A">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5、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476" w:type="dxa"/>
                  <w:vAlign w:val="center"/>
                </w:tcPr>
                <w:p w14:paraId="1B7F222F">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本项目不涉及《长江岸线保护和开发利用总体规划》划定的岸线保护区和保留区，不涉及《全国重要江河湖泊水功能区划》划定的河段及湖泊保护区、保留区。</w:t>
                  </w:r>
                </w:p>
              </w:tc>
              <w:tc>
                <w:tcPr>
                  <w:tcW w:w="884" w:type="dxa"/>
                  <w:vAlign w:val="center"/>
                </w:tcPr>
                <w:p w14:paraId="774F14A7">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r w14:paraId="3646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13F46A6B">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6、禁止未经许可在长江干支流及湖泊新设、改设或扩大排污口。</w:t>
                  </w:r>
                </w:p>
              </w:tc>
              <w:tc>
                <w:tcPr>
                  <w:tcW w:w="2476" w:type="dxa"/>
                  <w:vAlign w:val="center"/>
                </w:tcPr>
                <w:p w14:paraId="22A3538E">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本</w:t>
                  </w:r>
                  <w:r>
                    <w:rPr>
                      <w:rFonts w:ascii="Times New Roman" w:hAnsi="Times New Roman" w:eastAsia="宋体"/>
                      <w:color w:val="000000" w:themeColor="text1"/>
                      <w:szCs w:val="21"/>
                      <w:highlight w:val="none"/>
                      <w14:textFill>
                        <w14:solidFill>
                          <w14:schemeClr w14:val="tx1"/>
                        </w14:solidFill>
                      </w14:textFill>
                    </w:rPr>
                    <w:t>项目不属于长江流域。</w:t>
                  </w:r>
                </w:p>
              </w:tc>
              <w:tc>
                <w:tcPr>
                  <w:tcW w:w="884" w:type="dxa"/>
                  <w:vAlign w:val="center"/>
                </w:tcPr>
                <w:p w14:paraId="6EC92967">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r w14:paraId="1099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40CAA4B9">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7、禁止在</w:t>
                  </w:r>
                  <w:r>
                    <w:rPr>
                      <w:rFonts w:hint="eastAsia" w:ascii="Times New Roman" w:hAnsi="Times New Roman" w:eastAsia="宋体"/>
                      <w:color w:val="000000" w:themeColor="text1"/>
                      <w:szCs w:val="21"/>
                      <w:highlight w:val="none"/>
                      <w14:textFill>
                        <w14:solidFill>
                          <w14:schemeClr w14:val="tx1"/>
                        </w14:solidFill>
                      </w14:textFill>
                    </w:rPr>
                    <w:t>“</w:t>
                  </w:r>
                  <w:r>
                    <w:rPr>
                      <w:rFonts w:ascii="Times New Roman" w:hAnsi="Times New Roman" w:eastAsia="宋体"/>
                      <w:color w:val="000000" w:themeColor="text1"/>
                      <w:szCs w:val="21"/>
                      <w:highlight w:val="none"/>
                      <w14:textFill>
                        <w14:solidFill>
                          <w14:schemeClr w14:val="tx1"/>
                        </w14:solidFill>
                      </w14:textFill>
                    </w:rPr>
                    <w:t>一江一口两湖七河</w:t>
                  </w:r>
                  <w:r>
                    <w:rPr>
                      <w:rFonts w:hint="eastAsia" w:ascii="Times New Roman" w:hAnsi="Times New Roman" w:eastAsia="宋体"/>
                      <w:color w:val="000000" w:themeColor="text1"/>
                      <w:szCs w:val="21"/>
                      <w:highlight w:val="none"/>
                      <w14:textFill>
                        <w14:solidFill>
                          <w14:schemeClr w14:val="tx1"/>
                        </w14:solidFill>
                      </w14:textFill>
                    </w:rPr>
                    <w:t>”</w:t>
                  </w:r>
                  <w:r>
                    <w:rPr>
                      <w:rFonts w:ascii="Times New Roman" w:hAnsi="Times New Roman" w:eastAsia="宋体"/>
                      <w:color w:val="000000" w:themeColor="text1"/>
                      <w:szCs w:val="21"/>
                      <w:highlight w:val="none"/>
                      <w14:textFill>
                        <w14:solidFill>
                          <w14:schemeClr w14:val="tx1"/>
                        </w14:solidFill>
                      </w14:textFill>
                    </w:rPr>
                    <w:t>和332个水生生物保护区开展生产性捕捞。</w:t>
                  </w:r>
                </w:p>
              </w:tc>
              <w:tc>
                <w:tcPr>
                  <w:tcW w:w="2476" w:type="dxa"/>
                  <w:vAlign w:val="center"/>
                </w:tcPr>
                <w:p w14:paraId="391E19C9">
                  <w:pPr>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本项目不涉及在</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一江一口两湖七河</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和332个水生生物保护区开展生产性捕捞。</w:t>
                  </w:r>
                </w:p>
              </w:tc>
              <w:tc>
                <w:tcPr>
                  <w:tcW w:w="884" w:type="dxa"/>
                  <w:vAlign w:val="center"/>
                </w:tcPr>
                <w:p w14:paraId="52CFFFEC">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r w14:paraId="7F67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7965EAF1">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8、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476" w:type="dxa"/>
                  <w:vAlign w:val="center"/>
                </w:tcPr>
                <w:p w14:paraId="55F31B2E">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本项目不属于化工项目，不涉及尾矿库、冶炼渣库和磷石膏库。</w:t>
                  </w:r>
                </w:p>
              </w:tc>
              <w:tc>
                <w:tcPr>
                  <w:tcW w:w="884" w:type="dxa"/>
                  <w:vAlign w:val="center"/>
                </w:tcPr>
                <w:p w14:paraId="6A66A8D2">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r w14:paraId="10C4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402C59C8">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9、禁止在合规园区外新建、扩建钢铁、石化、化工、焦化、建材、有色、制浆造纸等高污染项目。</w:t>
                  </w:r>
                </w:p>
              </w:tc>
              <w:tc>
                <w:tcPr>
                  <w:tcW w:w="2476" w:type="dxa"/>
                  <w:vAlign w:val="center"/>
                </w:tcPr>
                <w:p w14:paraId="007D313D">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本</w:t>
                  </w:r>
                  <w:r>
                    <w:rPr>
                      <w:rFonts w:ascii="Times New Roman" w:hAnsi="Times New Roman" w:eastAsia="宋体"/>
                      <w:color w:val="000000" w:themeColor="text1"/>
                      <w:szCs w:val="21"/>
                      <w:highlight w:val="none"/>
                      <w14:textFill>
                        <w14:solidFill>
                          <w14:schemeClr w14:val="tx1"/>
                        </w14:solidFill>
                      </w14:textFill>
                    </w:rPr>
                    <w:t>项目属于</w:t>
                  </w:r>
                  <w:r>
                    <w:rPr>
                      <w:rFonts w:hint="eastAsia" w:ascii="Times New Roman" w:hAnsi="Times New Roman" w:eastAsia="宋体"/>
                      <w:color w:val="000000" w:themeColor="text1"/>
                      <w:szCs w:val="21"/>
                      <w:highlight w:val="none"/>
                      <w14:textFill>
                        <w14:solidFill>
                          <w14:schemeClr w14:val="tx1"/>
                        </w14:solidFill>
                      </w14:textFill>
                    </w:rPr>
                    <w:t>肉羊屠宰建设项目</w:t>
                  </w:r>
                  <w:r>
                    <w:rPr>
                      <w:rFonts w:ascii="Times New Roman" w:hAnsi="Times New Roman" w:eastAsia="宋体"/>
                      <w:color w:val="000000" w:themeColor="text1"/>
                      <w:szCs w:val="21"/>
                      <w:highlight w:val="none"/>
                      <w14:textFill>
                        <w14:solidFill>
                          <w14:schemeClr w14:val="tx1"/>
                        </w14:solidFill>
                      </w14:textFill>
                    </w:rPr>
                    <w:t>，不涉及新建、扩建钢铁、石化、化工、焦化、建材、有色、制浆造纸等高污染项目。</w:t>
                  </w:r>
                </w:p>
              </w:tc>
              <w:tc>
                <w:tcPr>
                  <w:tcW w:w="884" w:type="dxa"/>
                  <w:vAlign w:val="center"/>
                </w:tcPr>
                <w:p w14:paraId="5DD6B3FF">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r w14:paraId="1A43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4DE7FEE7">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1</w:t>
                  </w:r>
                  <w:r>
                    <w:rPr>
                      <w:rFonts w:hint="eastAsia" w:ascii="Times New Roman" w:hAnsi="Times New Roman" w:eastAsia="宋体"/>
                      <w:color w:val="000000" w:themeColor="text1"/>
                      <w:szCs w:val="21"/>
                      <w:highlight w:val="none"/>
                      <w14:textFill>
                        <w14:solidFill>
                          <w14:schemeClr w14:val="tx1"/>
                        </w14:solidFill>
                      </w14:textFill>
                    </w:rPr>
                    <w:t>0</w:t>
                  </w:r>
                  <w:r>
                    <w:rPr>
                      <w:rFonts w:ascii="Times New Roman" w:hAnsi="Times New Roman" w:eastAsia="宋体"/>
                      <w:color w:val="000000" w:themeColor="text1"/>
                      <w:szCs w:val="21"/>
                      <w:highlight w:val="none"/>
                      <w14:textFill>
                        <w14:solidFill>
                          <w14:schemeClr w14:val="tx1"/>
                        </w14:solidFill>
                      </w14:textFill>
                    </w:rPr>
                    <w:t>、</w:t>
                  </w:r>
                  <w:r>
                    <w:rPr>
                      <w:rFonts w:hint="eastAsia" w:ascii="Times New Roman" w:hAnsi="Times New Roman" w:eastAsia="宋体"/>
                      <w:color w:val="000000" w:themeColor="text1"/>
                      <w:szCs w:val="21"/>
                      <w:highlight w:val="none"/>
                      <w14:textFill>
                        <w14:solidFill>
                          <w14:schemeClr w14:val="tx1"/>
                        </w14:solidFill>
                      </w14:textFill>
                    </w:rPr>
                    <w:t>禁止新建、扩建不符合国家石化、现代煤化工等产业布局规划的项目。</w:t>
                  </w:r>
                </w:p>
              </w:tc>
              <w:tc>
                <w:tcPr>
                  <w:tcW w:w="2476" w:type="dxa"/>
                  <w:vAlign w:val="center"/>
                </w:tcPr>
                <w:p w14:paraId="582AD090">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本</w:t>
                  </w:r>
                  <w:r>
                    <w:rPr>
                      <w:rFonts w:ascii="Times New Roman" w:hAnsi="Times New Roman" w:eastAsia="宋体"/>
                      <w:color w:val="000000" w:themeColor="text1"/>
                      <w:szCs w:val="21"/>
                      <w:highlight w:val="none"/>
                      <w14:textFill>
                        <w14:solidFill>
                          <w14:schemeClr w14:val="tx1"/>
                        </w14:solidFill>
                      </w14:textFill>
                    </w:rPr>
                    <w:t>项目属于</w:t>
                  </w:r>
                  <w:r>
                    <w:rPr>
                      <w:rFonts w:hint="eastAsia" w:ascii="Times New Roman" w:hAnsi="Times New Roman" w:eastAsia="宋体"/>
                      <w:color w:val="000000" w:themeColor="text1"/>
                      <w:szCs w:val="21"/>
                      <w:highlight w:val="none"/>
                      <w14:textFill>
                        <w14:solidFill>
                          <w14:schemeClr w14:val="tx1"/>
                        </w14:solidFill>
                      </w14:textFill>
                    </w:rPr>
                    <w:t>肉羊屠宰建设项目</w:t>
                  </w:r>
                  <w:r>
                    <w:rPr>
                      <w:rFonts w:ascii="Times New Roman" w:hAnsi="Times New Roman" w:eastAsia="宋体"/>
                      <w:color w:val="000000" w:themeColor="text1"/>
                      <w:szCs w:val="21"/>
                      <w:highlight w:val="none"/>
                      <w14:textFill>
                        <w14:solidFill>
                          <w14:schemeClr w14:val="tx1"/>
                        </w14:solidFill>
                      </w14:textFill>
                    </w:rPr>
                    <w:t>，</w:t>
                  </w:r>
                  <w:r>
                    <w:rPr>
                      <w:rFonts w:hint="eastAsia" w:ascii="Times New Roman" w:hAnsi="Times New Roman" w:eastAsia="宋体"/>
                      <w:color w:val="000000" w:themeColor="text1"/>
                      <w:szCs w:val="21"/>
                      <w:highlight w:val="none"/>
                      <w14:textFill>
                        <w14:solidFill>
                          <w14:schemeClr w14:val="tx1"/>
                        </w14:solidFill>
                      </w14:textFill>
                    </w:rPr>
                    <w:t>不属于</w:t>
                  </w:r>
                  <w:r>
                    <w:rPr>
                      <w:rFonts w:ascii="Times New Roman" w:hAnsi="Times New Roman" w:eastAsia="宋体"/>
                      <w:color w:val="000000" w:themeColor="text1"/>
                      <w:szCs w:val="21"/>
                      <w:highlight w:val="none"/>
                      <w14:textFill>
                        <w14:solidFill>
                          <w14:schemeClr w14:val="tx1"/>
                        </w14:solidFill>
                      </w14:textFill>
                    </w:rPr>
                    <w:t>新建、扩建不符合</w:t>
                  </w:r>
                  <w:r>
                    <w:rPr>
                      <w:rFonts w:hint="eastAsia" w:ascii="Times New Roman" w:hAnsi="Times New Roman" w:eastAsia="宋体"/>
                      <w:color w:val="000000" w:themeColor="text1"/>
                      <w:szCs w:val="21"/>
                      <w:highlight w:val="none"/>
                      <w14:textFill>
                        <w14:solidFill>
                          <w14:schemeClr w14:val="tx1"/>
                        </w14:solidFill>
                      </w14:textFill>
                    </w:rPr>
                    <w:t>国家石化、现代煤化工等产业布局规划的项目</w:t>
                  </w:r>
                </w:p>
              </w:tc>
              <w:tc>
                <w:tcPr>
                  <w:tcW w:w="884" w:type="dxa"/>
                  <w:vAlign w:val="center"/>
                </w:tcPr>
                <w:p w14:paraId="7D900CAF">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hint="eastAsia" w:ascii="Times New Roman" w:hAnsi="Times New Roman" w:eastAsia="宋体"/>
                      <w:color w:val="000000" w:themeColor="text1"/>
                      <w:szCs w:val="21"/>
                      <w:highlight w:val="none"/>
                      <w14:textFill>
                        <w14:solidFill>
                          <w14:schemeClr w14:val="tx1"/>
                        </w14:solidFill>
                      </w14:textFill>
                    </w:rPr>
                    <w:t>符合</w:t>
                  </w:r>
                </w:p>
              </w:tc>
            </w:tr>
            <w:tr w14:paraId="5D4F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93" w:type="dxa"/>
                  <w:vAlign w:val="center"/>
                </w:tcPr>
                <w:p w14:paraId="2DFB2349">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1</w:t>
                  </w:r>
                  <w:r>
                    <w:rPr>
                      <w:rFonts w:hint="eastAsia" w:ascii="Times New Roman" w:hAnsi="Times New Roman" w:eastAsia="宋体"/>
                      <w:color w:val="000000" w:themeColor="text1"/>
                      <w:szCs w:val="21"/>
                      <w:highlight w:val="none"/>
                      <w14:textFill>
                        <w14:solidFill>
                          <w14:schemeClr w14:val="tx1"/>
                        </w14:solidFill>
                      </w14:textFill>
                    </w:rPr>
                    <w:t>1</w:t>
                  </w:r>
                  <w:r>
                    <w:rPr>
                      <w:rFonts w:ascii="Times New Roman" w:hAnsi="Times New Roman" w:eastAsia="宋体"/>
                      <w:color w:val="000000" w:themeColor="text1"/>
                      <w:szCs w:val="21"/>
                      <w:highlight w:val="none"/>
                      <w14:textFill>
                        <w14:solidFill>
                          <w14:schemeClr w14:val="tx1"/>
                        </w14:solidFill>
                      </w14:textFill>
                    </w:rPr>
                    <w:t>、禁止新建、扩建法律法规和相关政策明令禁止的落后产能项目。禁止新建、扩建不符合国家产能置换要求的严重过剩产能行业的项目。禁止新建、扩建不符合要求的高耗能高排放项目。</w:t>
                  </w:r>
                </w:p>
              </w:tc>
              <w:tc>
                <w:tcPr>
                  <w:tcW w:w="2476" w:type="dxa"/>
                  <w:vAlign w:val="center"/>
                </w:tcPr>
                <w:p w14:paraId="168571B4">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本项目</w:t>
                  </w:r>
                  <w:r>
                    <w:rPr>
                      <w:rFonts w:hint="eastAsia" w:ascii="Times New Roman" w:hAnsi="Times New Roman" w:eastAsia="宋体"/>
                      <w:color w:val="000000" w:themeColor="text1"/>
                      <w:szCs w:val="21"/>
                      <w:highlight w:val="none"/>
                      <w14:textFill>
                        <w14:solidFill>
                          <w14:schemeClr w14:val="tx1"/>
                        </w14:solidFill>
                      </w14:textFill>
                    </w:rPr>
                    <w:t>不属于</w:t>
                  </w:r>
                  <w:r>
                    <w:rPr>
                      <w:rFonts w:ascii="Times New Roman" w:hAnsi="Times New Roman" w:eastAsia="宋体"/>
                      <w:color w:val="000000" w:themeColor="text1"/>
                      <w:szCs w:val="21"/>
                      <w:highlight w:val="none"/>
                      <w14:textFill>
                        <w14:solidFill>
                          <w14:schemeClr w14:val="tx1"/>
                        </w14:solidFill>
                      </w14:textFill>
                    </w:rPr>
                    <w:t>法律法规和相关政策明令禁止的落后产能</w:t>
                  </w:r>
                  <w:r>
                    <w:rPr>
                      <w:rFonts w:hint="eastAsia" w:ascii="Times New Roman" w:hAnsi="Times New Roman" w:eastAsia="宋体"/>
                      <w:color w:val="000000" w:themeColor="text1"/>
                      <w:szCs w:val="21"/>
                      <w:highlight w:val="none"/>
                      <w14:textFill>
                        <w14:solidFill>
                          <w14:schemeClr w14:val="tx1"/>
                        </w14:solidFill>
                      </w14:textFill>
                    </w:rPr>
                    <w:t>及</w:t>
                  </w:r>
                  <w:r>
                    <w:rPr>
                      <w:rFonts w:ascii="Times New Roman" w:hAnsi="Times New Roman" w:eastAsia="宋体"/>
                      <w:color w:val="000000" w:themeColor="text1"/>
                      <w:szCs w:val="21"/>
                      <w:highlight w:val="none"/>
                      <w14:textFill>
                        <w14:solidFill>
                          <w14:schemeClr w14:val="tx1"/>
                        </w14:solidFill>
                      </w14:textFill>
                    </w:rPr>
                    <w:t>高耗能高排放项目</w:t>
                  </w:r>
                  <w:r>
                    <w:rPr>
                      <w:rFonts w:hint="eastAsia" w:ascii="Times New Roman" w:hAnsi="Times New Roman" w:eastAsia="宋体"/>
                      <w:color w:val="000000" w:themeColor="text1"/>
                      <w:szCs w:val="21"/>
                      <w:highlight w:val="none"/>
                      <w14:textFill>
                        <w14:solidFill>
                          <w14:schemeClr w14:val="tx1"/>
                        </w14:solidFill>
                      </w14:textFill>
                    </w:rPr>
                    <w:t>。</w:t>
                  </w:r>
                </w:p>
              </w:tc>
              <w:tc>
                <w:tcPr>
                  <w:tcW w:w="884" w:type="dxa"/>
                  <w:vAlign w:val="center"/>
                </w:tcPr>
                <w:p w14:paraId="1867B320">
                  <w:pPr>
                    <w:pStyle w:val="58"/>
                    <w:spacing w:line="240" w:lineRule="auto"/>
                    <w:ind w:firstLine="0"/>
                    <w:jc w:val="center"/>
                    <w:rPr>
                      <w:rFonts w:ascii="Times New Roman" w:hAnsi="Times New Roman" w:eastAsia="宋体"/>
                      <w:color w:val="000000" w:themeColor="text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t>符合</w:t>
                  </w:r>
                </w:p>
              </w:tc>
            </w:tr>
          </w:tbl>
          <w:p w14:paraId="515F2805">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综上所述</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本</w:t>
            </w:r>
            <w:r>
              <w:rPr>
                <w:color w:val="000000" w:themeColor="text1"/>
                <w:sz w:val="24"/>
                <w:highlight w:val="none"/>
                <w14:textFill>
                  <w14:solidFill>
                    <w14:schemeClr w14:val="tx1"/>
                  </w14:solidFill>
                </w14:textFill>
              </w:rPr>
              <w:t>项目符合《长江经济带发展负面清单指南（试行，2022年版）》的要求。</w:t>
            </w:r>
          </w:p>
          <w:p w14:paraId="4A8F1AB0">
            <w:pPr>
              <w:autoSpaceDE w:val="0"/>
              <w:autoSpaceDN w:val="0"/>
              <w:adjustRightInd w:val="0"/>
              <w:snapToGrid w:val="0"/>
              <w:spacing w:line="360" w:lineRule="auto"/>
              <w:jc w:val="left"/>
              <w:rPr>
                <w:rFonts w:cs="宋体"/>
                <w:b/>
                <w:bCs/>
                <w:color w:val="000000" w:themeColor="text1"/>
                <w:kern w:val="0"/>
                <w:sz w:val="30"/>
                <w:szCs w:val="30"/>
                <w:highlight w:val="none"/>
                <w14:textFill>
                  <w14:solidFill>
                    <w14:schemeClr w14:val="tx1"/>
                  </w14:solidFill>
                </w14:textFill>
              </w:rPr>
            </w:pPr>
            <w:r>
              <w:rPr>
                <w:rFonts w:hint="eastAsia" w:cs="宋体"/>
                <w:b/>
                <w:bCs/>
                <w:color w:val="000000" w:themeColor="text1"/>
                <w:kern w:val="0"/>
                <w:sz w:val="30"/>
                <w:szCs w:val="30"/>
                <w:highlight w:val="none"/>
                <w14:textFill>
                  <w14:solidFill>
                    <w14:schemeClr w14:val="tx1"/>
                  </w14:solidFill>
                </w14:textFill>
              </w:rPr>
              <w:t>4.</w:t>
            </w:r>
            <w:r>
              <w:rPr>
                <w:rFonts w:cs="宋体"/>
                <w:b/>
                <w:bCs/>
                <w:color w:val="000000" w:themeColor="text1"/>
                <w:kern w:val="0"/>
                <w:sz w:val="30"/>
                <w:szCs w:val="30"/>
                <w:highlight w:val="none"/>
                <w14:textFill>
                  <w14:solidFill>
                    <w14:schemeClr w14:val="tx1"/>
                  </w14:solidFill>
                </w14:textFill>
              </w:rPr>
              <w:t>与《云南省长江经济带发展负面清单指南实施细则（试行，2022年版）》符合性分析</w:t>
            </w:r>
          </w:p>
          <w:p w14:paraId="6EFFA7BA">
            <w:pPr>
              <w:snapToGrid w:val="0"/>
              <w:spacing w:line="360" w:lineRule="auto"/>
              <w:ind w:firstLine="480" w:firstLineChars="200"/>
              <w:rPr>
                <w:color w:val="000000" w:themeColor="text1"/>
                <w:kern w:val="0"/>
                <w:sz w:val="24"/>
                <w:highlight w:val="none"/>
                <w:lang w:bidi="ar"/>
                <w14:textFill>
                  <w14:solidFill>
                    <w14:schemeClr w14:val="tx1"/>
                  </w14:solidFill>
                </w14:textFill>
              </w:rPr>
            </w:pPr>
            <w:r>
              <w:rPr>
                <w:rFonts w:hint="eastAsia"/>
                <w:color w:val="000000" w:themeColor="text1"/>
                <w:sz w:val="24"/>
                <w:highlight w:val="none"/>
                <w14:textFill>
                  <w14:solidFill>
                    <w14:schemeClr w14:val="tx1"/>
                  </w14:solidFill>
                </w14:textFill>
              </w:rPr>
              <w:t>本项目位于云南省昆明市寻甸县羊街镇龙池村，在现有牛屠宰车间的基础上，将急宰间改建为肉羊屠宰线，</w:t>
            </w:r>
            <w:r>
              <w:rPr>
                <w:color w:val="000000" w:themeColor="text1"/>
                <w:kern w:val="0"/>
                <w:sz w:val="24"/>
                <w:highlight w:val="none"/>
                <w:lang w:bidi="ar"/>
                <w14:textFill>
                  <w14:solidFill>
                    <w14:schemeClr w14:val="tx1"/>
                  </w14:solidFill>
                </w14:textFill>
              </w:rPr>
              <w:t>项目与《云南省长江经济带发展负面清单指南实施细则（试行，2022年版）》的符合性分析详见下表。</w:t>
            </w:r>
          </w:p>
          <w:p w14:paraId="60D289F2">
            <w:pPr>
              <w:snapToGrid w:val="0"/>
              <w:jc w:val="center"/>
              <w:rPr>
                <w:b/>
                <w:color w:val="000000" w:themeColor="text1"/>
                <w:szCs w:val="40"/>
                <w:highlight w:val="none"/>
                <w14:textFill>
                  <w14:solidFill>
                    <w14:schemeClr w14:val="tx1"/>
                  </w14:solidFill>
                </w14:textFill>
              </w:rPr>
            </w:pPr>
            <w:r>
              <w:rPr>
                <w:rFonts w:hint="eastAsia"/>
                <w:b/>
                <w:color w:val="000000" w:themeColor="text1"/>
                <w:szCs w:val="40"/>
                <w:highlight w:val="none"/>
                <w14:textFill>
                  <w14:solidFill>
                    <w14:schemeClr w14:val="tx1"/>
                  </w14:solidFill>
                </w14:textFill>
              </w:rPr>
              <w:t>表1-6项目与《云南省长江经济带发展负面清单指南实施细则（试行，2022年版）》符合性分析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2254"/>
              <w:gridCol w:w="870"/>
            </w:tblGrid>
            <w:tr w14:paraId="64E4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08030107">
                  <w:pPr>
                    <w:pStyle w:val="28"/>
                    <w:rPr>
                      <w:b/>
                      <w:bCs/>
                      <w:highlight w:val="none"/>
                    </w:rPr>
                  </w:pPr>
                  <w:r>
                    <w:rPr>
                      <w:b/>
                      <w:bCs/>
                      <w:highlight w:val="none"/>
                    </w:rPr>
                    <w:t>相关要求</w:t>
                  </w:r>
                </w:p>
              </w:tc>
              <w:tc>
                <w:tcPr>
                  <w:tcW w:w="2254" w:type="dxa"/>
                  <w:vAlign w:val="center"/>
                </w:tcPr>
                <w:p w14:paraId="764B2389">
                  <w:pPr>
                    <w:pStyle w:val="28"/>
                    <w:rPr>
                      <w:b/>
                      <w:bCs/>
                      <w:highlight w:val="none"/>
                    </w:rPr>
                  </w:pPr>
                  <w:r>
                    <w:rPr>
                      <w:b/>
                      <w:bCs/>
                      <w:highlight w:val="none"/>
                    </w:rPr>
                    <w:t>本项目情况</w:t>
                  </w:r>
                </w:p>
              </w:tc>
              <w:tc>
                <w:tcPr>
                  <w:tcW w:w="870" w:type="dxa"/>
                  <w:vAlign w:val="center"/>
                </w:tcPr>
                <w:p w14:paraId="3B9F2F3D">
                  <w:pPr>
                    <w:pStyle w:val="28"/>
                    <w:rPr>
                      <w:b/>
                      <w:bCs/>
                      <w:highlight w:val="none"/>
                    </w:rPr>
                  </w:pPr>
                  <w:r>
                    <w:rPr>
                      <w:b/>
                      <w:bCs/>
                      <w:highlight w:val="none"/>
                    </w:rPr>
                    <w:t>符合性</w:t>
                  </w:r>
                </w:p>
              </w:tc>
            </w:tr>
            <w:tr w14:paraId="2B04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1A61D636">
                  <w:pPr>
                    <w:pStyle w:val="28"/>
                    <w:rPr>
                      <w:highlight w:val="none"/>
                    </w:rPr>
                  </w:pPr>
                  <w:r>
                    <w:rPr>
                      <w:highlight w:val="none"/>
                    </w:rPr>
                    <w:t>（一）禁止新建、改建和扩建不符合《全国内河航道与港口布局规划》等全国港口规划和《昭通市港口码头岸线规划（金沙江段2019年</w:t>
                  </w:r>
                  <w:r>
                    <w:rPr>
                      <w:rFonts w:hint="eastAsia"/>
                      <w:highlight w:val="none"/>
                    </w:rPr>
                    <w:t>—</w:t>
                  </w:r>
                  <w:r>
                    <w:rPr>
                      <w:highlight w:val="none"/>
                    </w:rPr>
                    <w:t>2035年）》《景洪港总体规划（2019</w:t>
                  </w:r>
                  <w:r>
                    <w:rPr>
                      <w:rFonts w:hint="eastAsia"/>
                      <w:highlight w:val="none"/>
                    </w:rPr>
                    <w:t>—</w:t>
                  </w:r>
                  <w:r>
                    <w:rPr>
                      <w:highlight w:val="none"/>
                    </w:rPr>
                    <w:t>2035年）》等州（市）级以上港口布局规划以及港口总体规划的码头项目。</w:t>
                  </w:r>
                </w:p>
              </w:tc>
              <w:tc>
                <w:tcPr>
                  <w:tcW w:w="2254" w:type="dxa"/>
                  <w:vAlign w:val="center"/>
                </w:tcPr>
                <w:p w14:paraId="36639DC6">
                  <w:pPr>
                    <w:pStyle w:val="28"/>
                    <w:rPr>
                      <w:highlight w:val="none"/>
                    </w:rPr>
                  </w:pPr>
                  <w:r>
                    <w:rPr>
                      <w:rFonts w:hint="eastAsia"/>
                      <w:highlight w:val="none"/>
                    </w:rPr>
                    <w:t>本项目为肉羊屠宰建设项目，</w:t>
                  </w:r>
                  <w:r>
                    <w:rPr>
                      <w:highlight w:val="none"/>
                    </w:rPr>
                    <w:t>不</w:t>
                  </w:r>
                  <w:r>
                    <w:rPr>
                      <w:rFonts w:hint="eastAsia"/>
                      <w:highlight w:val="none"/>
                    </w:rPr>
                    <w:t>属于</w:t>
                  </w:r>
                  <w:r>
                    <w:rPr>
                      <w:highlight w:val="none"/>
                    </w:rPr>
                    <w:t>码头</w:t>
                  </w:r>
                  <w:r>
                    <w:rPr>
                      <w:rFonts w:hint="eastAsia"/>
                      <w:highlight w:val="none"/>
                    </w:rPr>
                    <w:t>项目</w:t>
                  </w:r>
                  <w:r>
                    <w:rPr>
                      <w:highlight w:val="none"/>
                    </w:rPr>
                    <w:t>。</w:t>
                  </w:r>
                </w:p>
              </w:tc>
              <w:tc>
                <w:tcPr>
                  <w:tcW w:w="870" w:type="dxa"/>
                  <w:vAlign w:val="center"/>
                </w:tcPr>
                <w:p w14:paraId="26A88BB3">
                  <w:pPr>
                    <w:pStyle w:val="28"/>
                    <w:rPr>
                      <w:highlight w:val="none"/>
                    </w:rPr>
                  </w:pPr>
                  <w:r>
                    <w:rPr>
                      <w:highlight w:val="none"/>
                    </w:rPr>
                    <w:t>符合</w:t>
                  </w:r>
                </w:p>
              </w:tc>
            </w:tr>
            <w:tr w14:paraId="66C6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56482108">
                  <w:pPr>
                    <w:pStyle w:val="28"/>
                    <w:rPr>
                      <w:highlight w:val="none"/>
                    </w:rPr>
                  </w:pPr>
                  <w:r>
                    <w:rPr>
                      <w:highlight w:val="none"/>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254" w:type="dxa"/>
                  <w:vAlign w:val="center"/>
                </w:tcPr>
                <w:p w14:paraId="28281523">
                  <w:pPr>
                    <w:pStyle w:val="28"/>
                    <w:rPr>
                      <w:highlight w:val="none"/>
                    </w:rPr>
                  </w:pPr>
                  <w:r>
                    <w:rPr>
                      <w:rFonts w:hint="eastAsia"/>
                      <w:highlight w:val="none"/>
                    </w:rPr>
                    <w:t>本项目位于云南省昆明市寻甸县羊街镇龙池村，</w:t>
                  </w:r>
                  <w:r>
                    <w:rPr>
                      <w:highlight w:val="none"/>
                    </w:rPr>
                    <w:t>不涉及自然保护区。</w:t>
                  </w:r>
                </w:p>
              </w:tc>
              <w:tc>
                <w:tcPr>
                  <w:tcW w:w="870" w:type="dxa"/>
                  <w:vAlign w:val="center"/>
                </w:tcPr>
                <w:p w14:paraId="24BFA267">
                  <w:pPr>
                    <w:pStyle w:val="28"/>
                    <w:rPr>
                      <w:highlight w:val="none"/>
                    </w:rPr>
                  </w:pPr>
                  <w:r>
                    <w:rPr>
                      <w:highlight w:val="none"/>
                    </w:rPr>
                    <w:t>符合</w:t>
                  </w:r>
                </w:p>
              </w:tc>
            </w:tr>
            <w:tr w14:paraId="7834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584F4326">
                  <w:pPr>
                    <w:pStyle w:val="28"/>
                    <w:rPr>
                      <w:highlight w:val="none"/>
                    </w:rPr>
                  </w:pPr>
                  <w:r>
                    <w:rPr>
                      <w:highlight w:val="none"/>
                    </w:rPr>
                    <w:t>（三）禁止在风景名胜区核心景区的岸线和河段范围内投资建设与风景名</w:t>
                  </w:r>
                  <w:r>
                    <w:rPr>
                      <w:rFonts w:hint="eastAsia"/>
                      <w:highlight w:val="none"/>
                    </w:rPr>
                    <w:t>胜区</w:t>
                  </w:r>
                  <w:r>
                    <w:rPr>
                      <w:highlight w:val="none"/>
                    </w:rPr>
                    <w:t>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254" w:type="dxa"/>
                  <w:vAlign w:val="center"/>
                </w:tcPr>
                <w:p w14:paraId="73CFFCB7">
                  <w:pPr>
                    <w:pStyle w:val="28"/>
                    <w:rPr>
                      <w:highlight w:val="none"/>
                    </w:rPr>
                  </w:pPr>
                  <w:r>
                    <w:rPr>
                      <w:rFonts w:hint="eastAsia"/>
                      <w:highlight w:val="none"/>
                    </w:rPr>
                    <w:t>本项目位于云南省昆明市寻甸县羊街镇龙池村，为肉羊屠宰建设项目，</w:t>
                  </w:r>
                  <w:r>
                    <w:rPr>
                      <w:highlight w:val="none"/>
                    </w:rPr>
                    <w:t>不涉及风景名胜区。</w:t>
                  </w:r>
                </w:p>
              </w:tc>
              <w:tc>
                <w:tcPr>
                  <w:tcW w:w="870" w:type="dxa"/>
                  <w:vAlign w:val="center"/>
                </w:tcPr>
                <w:p w14:paraId="0D1EF89C">
                  <w:pPr>
                    <w:pStyle w:val="28"/>
                    <w:rPr>
                      <w:highlight w:val="none"/>
                    </w:rPr>
                  </w:pPr>
                  <w:r>
                    <w:rPr>
                      <w:highlight w:val="none"/>
                    </w:rPr>
                    <w:t>符合</w:t>
                  </w:r>
                </w:p>
              </w:tc>
            </w:tr>
            <w:tr w14:paraId="5902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080F5721">
                  <w:pPr>
                    <w:pStyle w:val="28"/>
                    <w:rPr>
                      <w:highlight w:val="none"/>
                    </w:rPr>
                  </w:pPr>
                  <w:r>
                    <w:rPr>
                      <w:highlight w:val="none"/>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2254" w:type="dxa"/>
                  <w:vAlign w:val="center"/>
                </w:tcPr>
                <w:p w14:paraId="4F8E52BF">
                  <w:pPr>
                    <w:pStyle w:val="28"/>
                    <w:rPr>
                      <w:highlight w:val="none"/>
                    </w:rPr>
                  </w:pPr>
                  <w:r>
                    <w:rPr>
                      <w:rFonts w:hint="eastAsia"/>
                      <w:highlight w:val="none"/>
                    </w:rPr>
                    <w:t>本项目位于云南省昆明市寻甸县羊街镇龙池村，为肉羊屠宰建设项目，</w:t>
                  </w:r>
                  <w:r>
                    <w:rPr>
                      <w:highlight w:val="none"/>
                    </w:rPr>
                    <w:t>不涉及饮用水水源保护区。</w:t>
                  </w:r>
                </w:p>
              </w:tc>
              <w:tc>
                <w:tcPr>
                  <w:tcW w:w="870" w:type="dxa"/>
                  <w:vAlign w:val="center"/>
                </w:tcPr>
                <w:p w14:paraId="22094759">
                  <w:pPr>
                    <w:pStyle w:val="28"/>
                    <w:rPr>
                      <w:highlight w:val="none"/>
                    </w:rPr>
                  </w:pPr>
                  <w:r>
                    <w:rPr>
                      <w:highlight w:val="none"/>
                    </w:rPr>
                    <w:t>符合</w:t>
                  </w:r>
                </w:p>
              </w:tc>
            </w:tr>
            <w:tr w14:paraId="26B2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6122E766">
                  <w:pPr>
                    <w:pStyle w:val="28"/>
                    <w:rPr>
                      <w:highlight w:val="none"/>
                    </w:rPr>
                  </w:pPr>
                  <w:r>
                    <w:rPr>
                      <w:highlight w:val="none"/>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2254" w:type="dxa"/>
                  <w:vAlign w:val="center"/>
                </w:tcPr>
                <w:p w14:paraId="131416E3">
                  <w:pPr>
                    <w:pStyle w:val="28"/>
                    <w:rPr>
                      <w:highlight w:val="none"/>
                    </w:rPr>
                  </w:pPr>
                  <w:r>
                    <w:rPr>
                      <w:highlight w:val="none"/>
                    </w:rPr>
                    <w:t>本项目不新增占地，不涉及围湖造田、围湖造地或围填海等，不涉及国家湿地公园。</w:t>
                  </w:r>
                </w:p>
              </w:tc>
              <w:tc>
                <w:tcPr>
                  <w:tcW w:w="870" w:type="dxa"/>
                  <w:vAlign w:val="center"/>
                </w:tcPr>
                <w:p w14:paraId="04BECC59">
                  <w:pPr>
                    <w:pStyle w:val="28"/>
                    <w:rPr>
                      <w:highlight w:val="none"/>
                    </w:rPr>
                  </w:pPr>
                  <w:r>
                    <w:rPr>
                      <w:highlight w:val="none"/>
                    </w:rPr>
                    <w:t>符合</w:t>
                  </w:r>
                </w:p>
              </w:tc>
            </w:tr>
            <w:tr w14:paraId="39C5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1BF10168">
                  <w:pPr>
                    <w:pStyle w:val="28"/>
                    <w:rPr>
                      <w:highlight w:val="none"/>
                    </w:rPr>
                  </w:pPr>
                  <w:r>
                    <w:rPr>
                      <w:highlight w:val="none"/>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254" w:type="dxa"/>
                  <w:vAlign w:val="center"/>
                </w:tcPr>
                <w:p w14:paraId="07CFBDF0">
                  <w:pPr>
                    <w:pStyle w:val="28"/>
                    <w:rPr>
                      <w:highlight w:val="none"/>
                    </w:rPr>
                  </w:pPr>
                  <w:r>
                    <w:rPr>
                      <w:rFonts w:hint="eastAsia"/>
                      <w:highlight w:val="none"/>
                    </w:rPr>
                    <w:t>本</w:t>
                  </w:r>
                  <w:r>
                    <w:rPr>
                      <w:highlight w:val="none"/>
                    </w:rPr>
                    <w:t>项目不涉及占用长江流域河湖岸线</w:t>
                  </w:r>
                  <w:r>
                    <w:rPr>
                      <w:rFonts w:hint="eastAsia"/>
                      <w:highlight w:val="none"/>
                    </w:rPr>
                    <w:t>，不在以上重点流域保护区及保留区内。</w:t>
                  </w:r>
                </w:p>
              </w:tc>
              <w:tc>
                <w:tcPr>
                  <w:tcW w:w="870" w:type="dxa"/>
                  <w:vAlign w:val="center"/>
                </w:tcPr>
                <w:p w14:paraId="47B65AC8">
                  <w:pPr>
                    <w:pStyle w:val="28"/>
                    <w:rPr>
                      <w:highlight w:val="none"/>
                    </w:rPr>
                  </w:pPr>
                  <w:r>
                    <w:rPr>
                      <w:highlight w:val="none"/>
                    </w:rPr>
                    <w:t>符合</w:t>
                  </w:r>
                </w:p>
              </w:tc>
            </w:tr>
            <w:tr w14:paraId="0C17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69B80AF6">
                  <w:pPr>
                    <w:pStyle w:val="28"/>
                    <w:rPr>
                      <w:highlight w:val="none"/>
                    </w:rPr>
                  </w:pPr>
                  <w:r>
                    <w:rPr>
                      <w:highlight w:val="none"/>
                    </w:rPr>
                    <w:t>（七）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2254" w:type="dxa"/>
                  <w:vAlign w:val="center"/>
                </w:tcPr>
                <w:p w14:paraId="5489712F">
                  <w:pPr>
                    <w:pStyle w:val="28"/>
                    <w:rPr>
                      <w:highlight w:val="none"/>
                    </w:rPr>
                  </w:pPr>
                  <w:r>
                    <w:rPr>
                      <w:rFonts w:hint="eastAsia"/>
                      <w:highlight w:val="none"/>
                    </w:rPr>
                    <w:t>本</w:t>
                  </w:r>
                  <w:r>
                    <w:rPr>
                      <w:highlight w:val="none"/>
                    </w:rPr>
                    <w:t>项目不涉及金沙江干流、长江一级支流</w:t>
                  </w:r>
                  <w:r>
                    <w:rPr>
                      <w:rFonts w:hint="eastAsia"/>
                      <w:highlight w:val="none"/>
                    </w:rPr>
                    <w:t>，不在金沙江干流、长江一级支流、</w:t>
                  </w:r>
                  <w:r>
                    <w:rPr>
                      <w:highlight w:val="none"/>
                    </w:rPr>
                    <w:t>九大高原湖泊流域</w:t>
                  </w:r>
                  <w:r>
                    <w:rPr>
                      <w:rFonts w:hint="eastAsia"/>
                      <w:highlight w:val="none"/>
                    </w:rPr>
                    <w:t>内</w:t>
                  </w:r>
                  <w:r>
                    <w:rPr>
                      <w:highlight w:val="none"/>
                    </w:rPr>
                    <w:t>。</w:t>
                  </w:r>
                </w:p>
              </w:tc>
              <w:tc>
                <w:tcPr>
                  <w:tcW w:w="870" w:type="dxa"/>
                  <w:vAlign w:val="center"/>
                </w:tcPr>
                <w:p w14:paraId="37C7EE8B">
                  <w:pPr>
                    <w:pStyle w:val="28"/>
                    <w:rPr>
                      <w:highlight w:val="none"/>
                    </w:rPr>
                  </w:pPr>
                  <w:r>
                    <w:rPr>
                      <w:highlight w:val="none"/>
                    </w:rPr>
                    <w:t>符合</w:t>
                  </w:r>
                </w:p>
              </w:tc>
            </w:tr>
            <w:tr w14:paraId="7433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6CA0A285">
                  <w:pPr>
                    <w:pStyle w:val="28"/>
                    <w:rPr>
                      <w:highlight w:val="none"/>
                    </w:rPr>
                  </w:pPr>
                  <w:r>
                    <w:rPr>
                      <w:rFonts w:hint="eastAsia"/>
                      <w:highlight w:val="none"/>
                    </w:rPr>
                    <w:t>（八）禁止在金沙江干流、长江一级支流、水生生物保护区和长江流域禁捕水域开展天然渔业资源生产性捕捞。</w:t>
                  </w:r>
                </w:p>
              </w:tc>
              <w:tc>
                <w:tcPr>
                  <w:tcW w:w="2254" w:type="dxa"/>
                  <w:vAlign w:val="center"/>
                </w:tcPr>
                <w:p w14:paraId="6987AC0B">
                  <w:pPr>
                    <w:pStyle w:val="28"/>
                    <w:rPr>
                      <w:highlight w:val="none"/>
                    </w:rPr>
                  </w:pPr>
                  <w:r>
                    <w:rPr>
                      <w:rFonts w:hint="eastAsia"/>
                      <w:highlight w:val="none"/>
                    </w:rPr>
                    <w:t>本</w:t>
                  </w:r>
                  <w:r>
                    <w:rPr>
                      <w:highlight w:val="none"/>
                    </w:rPr>
                    <w:t>项目属于</w:t>
                  </w:r>
                  <w:r>
                    <w:rPr>
                      <w:rFonts w:hint="eastAsia"/>
                      <w:highlight w:val="none"/>
                    </w:rPr>
                    <w:t>肉羊屠宰建设项目</w:t>
                  </w:r>
                  <w:r>
                    <w:rPr>
                      <w:highlight w:val="none"/>
                    </w:rPr>
                    <w:t>，不涉</w:t>
                  </w:r>
                  <w:r>
                    <w:rPr>
                      <w:rFonts w:hint="eastAsia"/>
                      <w:highlight w:val="none"/>
                    </w:rPr>
                    <w:t>及在金沙江干流、长江一级支流、水生生物保护区和长江流域禁捕水域开展天然渔业资源生产性捕捞</w:t>
                  </w:r>
                </w:p>
              </w:tc>
              <w:tc>
                <w:tcPr>
                  <w:tcW w:w="870" w:type="dxa"/>
                  <w:vAlign w:val="center"/>
                </w:tcPr>
                <w:p w14:paraId="14E01936">
                  <w:pPr>
                    <w:pStyle w:val="28"/>
                    <w:rPr>
                      <w:highlight w:val="none"/>
                    </w:rPr>
                  </w:pPr>
                  <w:r>
                    <w:rPr>
                      <w:rFonts w:hint="eastAsia"/>
                      <w:highlight w:val="none"/>
                    </w:rPr>
                    <w:t>符合</w:t>
                  </w:r>
                </w:p>
              </w:tc>
            </w:tr>
            <w:tr w14:paraId="79FA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051A6B0B">
                  <w:pPr>
                    <w:pStyle w:val="28"/>
                    <w:rPr>
                      <w:highlight w:val="none"/>
                    </w:rPr>
                  </w:pPr>
                  <w:r>
                    <w:rPr>
                      <w:rFonts w:hint="eastAsia"/>
                      <w:highlight w:val="none"/>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254" w:type="dxa"/>
                  <w:vAlign w:val="center"/>
                </w:tcPr>
                <w:p w14:paraId="61892656">
                  <w:pPr>
                    <w:pStyle w:val="28"/>
                    <w:rPr>
                      <w:highlight w:val="none"/>
                    </w:rPr>
                  </w:pPr>
                  <w:r>
                    <w:rPr>
                      <w:rFonts w:hint="eastAsia"/>
                      <w:highlight w:val="none"/>
                    </w:rPr>
                    <w:t>本</w:t>
                  </w:r>
                  <w:r>
                    <w:rPr>
                      <w:highlight w:val="none"/>
                    </w:rPr>
                    <w:t>项目属于</w:t>
                  </w:r>
                  <w:r>
                    <w:rPr>
                      <w:rFonts w:hint="eastAsia"/>
                      <w:highlight w:val="none"/>
                    </w:rPr>
                    <w:t>肉羊屠宰建设项目</w:t>
                  </w:r>
                  <w:r>
                    <w:rPr>
                      <w:highlight w:val="none"/>
                    </w:rPr>
                    <w:t>，不</w:t>
                  </w:r>
                  <w:r>
                    <w:rPr>
                      <w:rFonts w:hint="eastAsia"/>
                      <w:highlight w:val="none"/>
                    </w:rPr>
                    <w:t>属于在金沙江干流，长江一级支流和九大高原湖泊岸线一公里范围内新建、扩建化工园区和化工项目，不属于金沙江干流岸线三公里范围内和长江一级支流岸线一公里范围内新建、改建、扩建尾矿库、冶炼渣库和磷石膏库。</w:t>
                  </w:r>
                </w:p>
              </w:tc>
              <w:tc>
                <w:tcPr>
                  <w:tcW w:w="870" w:type="dxa"/>
                  <w:vAlign w:val="center"/>
                </w:tcPr>
                <w:p w14:paraId="6590AAEC">
                  <w:pPr>
                    <w:pStyle w:val="28"/>
                    <w:rPr>
                      <w:highlight w:val="none"/>
                    </w:rPr>
                  </w:pPr>
                  <w:r>
                    <w:rPr>
                      <w:rFonts w:hint="eastAsia"/>
                      <w:highlight w:val="none"/>
                    </w:rPr>
                    <w:t>符合</w:t>
                  </w:r>
                </w:p>
              </w:tc>
            </w:tr>
            <w:tr w14:paraId="75E8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0B910CE6">
                  <w:pPr>
                    <w:pStyle w:val="28"/>
                    <w:rPr>
                      <w:highlight w:val="none"/>
                    </w:rPr>
                  </w:pPr>
                  <w:r>
                    <w:rPr>
                      <w:highlight w:val="none"/>
                    </w:rPr>
                    <w:t>（十）禁止在合规园区外新建、扩建钢铁、石化、化工、焦化、建材、有色、制浆造纸行业中的高污染项目。</w:t>
                  </w:r>
                </w:p>
              </w:tc>
              <w:tc>
                <w:tcPr>
                  <w:tcW w:w="2254" w:type="dxa"/>
                  <w:vAlign w:val="center"/>
                </w:tcPr>
                <w:p w14:paraId="56A88156">
                  <w:pPr>
                    <w:pStyle w:val="28"/>
                    <w:rPr>
                      <w:highlight w:val="none"/>
                    </w:rPr>
                  </w:pPr>
                  <w:r>
                    <w:rPr>
                      <w:rFonts w:hint="eastAsia"/>
                      <w:highlight w:val="none"/>
                    </w:rPr>
                    <w:t>本</w:t>
                  </w:r>
                  <w:r>
                    <w:rPr>
                      <w:highlight w:val="none"/>
                    </w:rPr>
                    <w:t>项目属于</w:t>
                  </w:r>
                  <w:r>
                    <w:rPr>
                      <w:rFonts w:hint="eastAsia"/>
                      <w:highlight w:val="none"/>
                    </w:rPr>
                    <w:t>肉羊屠宰建设项目</w:t>
                  </w:r>
                  <w:r>
                    <w:rPr>
                      <w:highlight w:val="none"/>
                    </w:rPr>
                    <w:t>，不涉新建、扩建钢铁、石化、化工、焦化、建材、有色、制浆造纸行业中的高污染项目。</w:t>
                  </w:r>
                </w:p>
              </w:tc>
              <w:tc>
                <w:tcPr>
                  <w:tcW w:w="870" w:type="dxa"/>
                  <w:vAlign w:val="center"/>
                </w:tcPr>
                <w:p w14:paraId="19769969">
                  <w:pPr>
                    <w:pStyle w:val="28"/>
                    <w:rPr>
                      <w:highlight w:val="none"/>
                    </w:rPr>
                  </w:pPr>
                  <w:r>
                    <w:rPr>
                      <w:highlight w:val="none"/>
                    </w:rPr>
                    <w:t>符合</w:t>
                  </w:r>
                </w:p>
              </w:tc>
            </w:tr>
            <w:tr w14:paraId="0CFD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61E64F58">
                  <w:pPr>
                    <w:pStyle w:val="28"/>
                    <w:rPr>
                      <w:highlight w:val="none"/>
                    </w:rPr>
                  </w:pPr>
                  <w:r>
                    <w:rPr>
                      <w:highlight w:val="none"/>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2254" w:type="dxa"/>
                  <w:vAlign w:val="center"/>
                </w:tcPr>
                <w:p w14:paraId="5B7ED42F">
                  <w:pPr>
                    <w:pStyle w:val="28"/>
                    <w:rPr>
                      <w:highlight w:val="none"/>
                    </w:rPr>
                  </w:pPr>
                  <w:r>
                    <w:rPr>
                      <w:rFonts w:hint="eastAsia"/>
                      <w:highlight w:val="none"/>
                    </w:rPr>
                    <w:t>本</w:t>
                  </w:r>
                  <w:r>
                    <w:rPr>
                      <w:highlight w:val="none"/>
                    </w:rPr>
                    <w:t>项目属于</w:t>
                  </w:r>
                  <w:r>
                    <w:rPr>
                      <w:rFonts w:hint="eastAsia"/>
                      <w:highlight w:val="none"/>
                    </w:rPr>
                    <w:t>肉羊屠宰建设项目</w:t>
                  </w:r>
                  <w:r>
                    <w:rPr>
                      <w:highlight w:val="none"/>
                    </w:rPr>
                    <w:t>，不属于新建、扩建不符合国家石化、现代煤化工等产业布局规划的项目</w:t>
                  </w:r>
                  <w:r>
                    <w:rPr>
                      <w:rFonts w:hint="eastAsia"/>
                      <w:highlight w:val="none"/>
                    </w:rPr>
                    <w:t>。</w:t>
                  </w:r>
                </w:p>
              </w:tc>
              <w:tc>
                <w:tcPr>
                  <w:tcW w:w="870" w:type="dxa"/>
                  <w:vAlign w:val="center"/>
                </w:tcPr>
                <w:p w14:paraId="2B9EFA86">
                  <w:pPr>
                    <w:pStyle w:val="28"/>
                    <w:rPr>
                      <w:highlight w:val="none"/>
                    </w:rPr>
                  </w:pPr>
                  <w:r>
                    <w:rPr>
                      <w:highlight w:val="none"/>
                    </w:rPr>
                    <w:t>符合</w:t>
                  </w:r>
                </w:p>
              </w:tc>
            </w:tr>
            <w:tr w14:paraId="2173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8" w:type="dxa"/>
                  <w:vAlign w:val="center"/>
                </w:tcPr>
                <w:p w14:paraId="7AC762E7">
                  <w:pPr>
                    <w:pStyle w:val="28"/>
                    <w:rPr>
                      <w:highlight w:val="none"/>
                    </w:rPr>
                  </w:pPr>
                  <w:r>
                    <w:rPr>
                      <w:highlight w:val="none"/>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2254" w:type="dxa"/>
                  <w:vAlign w:val="center"/>
                </w:tcPr>
                <w:p w14:paraId="4E2A37D2">
                  <w:pPr>
                    <w:pStyle w:val="28"/>
                    <w:rPr>
                      <w:highlight w:val="none"/>
                    </w:rPr>
                  </w:pPr>
                  <w:r>
                    <w:rPr>
                      <w:rFonts w:hint="eastAsia"/>
                      <w:highlight w:val="none"/>
                    </w:rPr>
                    <w:t>根据《产业结构调整指导目录（2024年本）》</w:t>
                  </w:r>
                  <w:r>
                    <w:rPr>
                      <w:rFonts w:hint="eastAsia"/>
                      <w:highlight w:val="none"/>
                      <w:lang w:val="zh-CN"/>
                    </w:rPr>
                    <w:t>，</w:t>
                  </w:r>
                  <w:r>
                    <w:rPr>
                      <w:rFonts w:hint="eastAsia"/>
                      <w:highlight w:val="none"/>
                    </w:rPr>
                    <w:t>本</w:t>
                  </w:r>
                  <w:r>
                    <w:rPr>
                      <w:rFonts w:hint="eastAsia"/>
                      <w:highlight w:val="none"/>
                      <w:lang w:val="zh-CN"/>
                    </w:rPr>
                    <w:t>项目不属于鼓励、限制、禁</w:t>
                  </w:r>
                  <w:r>
                    <w:rPr>
                      <w:rFonts w:hint="eastAsia"/>
                      <w:highlight w:val="none"/>
                    </w:rPr>
                    <w:t>止</w:t>
                  </w:r>
                  <w:r>
                    <w:rPr>
                      <w:rFonts w:hint="eastAsia"/>
                      <w:highlight w:val="none"/>
                      <w:lang w:val="zh-CN"/>
                    </w:rPr>
                    <w:t>类项目，视为</w:t>
                  </w:r>
                  <w:r>
                    <w:rPr>
                      <w:rFonts w:hint="eastAsia"/>
                      <w:highlight w:val="none"/>
                    </w:rPr>
                    <w:t>允许</w:t>
                  </w:r>
                  <w:r>
                    <w:rPr>
                      <w:rFonts w:hint="eastAsia"/>
                      <w:highlight w:val="none"/>
                      <w:lang w:val="zh-CN"/>
                    </w:rPr>
                    <w:t>类项目</w:t>
                  </w:r>
                  <w:r>
                    <w:rPr>
                      <w:rFonts w:hint="eastAsia"/>
                      <w:highlight w:val="none"/>
                    </w:rPr>
                    <w:t>，且项目已于2024年12月6日取得投资项目备案证</w:t>
                  </w:r>
                  <w:r>
                    <w:rPr>
                      <w:rFonts w:hint="eastAsia"/>
                      <w:highlight w:val="none"/>
                      <w:lang w:val="zh-CN"/>
                    </w:rPr>
                    <w:t>，</w:t>
                  </w:r>
                  <w:r>
                    <w:rPr>
                      <w:rFonts w:hint="eastAsia"/>
                      <w:highlight w:val="none"/>
                    </w:rPr>
                    <w:t>同意项目建设。</w:t>
                  </w:r>
                </w:p>
              </w:tc>
              <w:tc>
                <w:tcPr>
                  <w:tcW w:w="870" w:type="dxa"/>
                  <w:vAlign w:val="center"/>
                </w:tcPr>
                <w:p w14:paraId="44AC4F87">
                  <w:pPr>
                    <w:pStyle w:val="28"/>
                    <w:rPr>
                      <w:highlight w:val="none"/>
                    </w:rPr>
                  </w:pPr>
                  <w:r>
                    <w:rPr>
                      <w:highlight w:val="none"/>
                    </w:rPr>
                    <w:t>符合</w:t>
                  </w:r>
                </w:p>
              </w:tc>
            </w:tr>
          </w:tbl>
          <w:p w14:paraId="6F7AB548">
            <w:pPr>
              <w:snapToGrid w:val="0"/>
              <w:spacing w:line="360" w:lineRule="auto"/>
              <w:ind w:firstLine="480" w:firstLineChars="200"/>
              <w:rPr>
                <w:rFonts w:cs="宋体"/>
                <w:color w:val="000000" w:themeColor="text1"/>
                <w:kern w:val="0"/>
                <w:sz w:val="24"/>
                <w:highlight w:val="none"/>
                <w:lang w:bidi="ar"/>
                <w14:textFill>
                  <w14:solidFill>
                    <w14:schemeClr w14:val="tx1"/>
                  </w14:solidFill>
                </w14:textFill>
              </w:rPr>
            </w:pPr>
            <w:r>
              <w:rPr>
                <w:rFonts w:hint="eastAsia"/>
                <w:color w:val="000000" w:themeColor="text1"/>
                <w:sz w:val="24"/>
                <w:highlight w:val="none"/>
                <w14:textFill>
                  <w14:solidFill>
                    <w14:schemeClr w14:val="tx1"/>
                  </w14:solidFill>
                </w14:textFill>
              </w:rPr>
              <w:t>综上所述，本项目符合《云南省长江经济带发展负面清单指南实施细则（试行，2022年版）》的要求。</w:t>
            </w:r>
          </w:p>
          <w:p w14:paraId="51898BBC">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5.与《中华人民共和国水污染防治法》符合性分析</w:t>
            </w:r>
          </w:p>
          <w:p w14:paraId="24C27973">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本项目与《中华人民共和国水污染防治法》符合性分析如下。</w:t>
            </w:r>
          </w:p>
          <w:p w14:paraId="53B9F590">
            <w:pPr>
              <w:pStyle w:val="3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表1-7项目与《中华人民共和国水污染防治法》符合性分析</w:t>
            </w:r>
          </w:p>
          <w:tbl>
            <w:tblPr>
              <w:tblStyle w:val="21"/>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95"/>
              <w:gridCol w:w="2567"/>
              <w:gridCol w:w="903"/>
            </w:tblGrid>
            <w:tr w14:paraId="5D88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pct"/>
                  <w:vAlign w:val="center"/>
                </w:tcPr>
                <w:p w14:paraId="200E656A">
                  <w:pPr>
                    <w:snapToGrid w:val="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2091" w:type="pct"/>
                  <w:vAlign w:val="center"/>
                </w:tcPr>
                <w:p w14:paraId="63554DA6">
                  <w:pPr>
                    <w:snapToGrid w:val="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文件要求</w:t>
                  </w:r>
                </w:p>
              </w:tc>
              <w:tc>
                <w:tcPr>
                  <w:tcW w:w="1680" w:type="pct"/>
                  <w:vAlign w:val="center"/>
                </w:tcPr>
                <w:p w14:paraId="5A90D7B5">
                  <w:pPr>
                    <w:snapToGrid w:val="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项目情况</w:t>
                  </w:r>
                </w:p>
              </w:tc>
              <w:tc>
                <w:tcPr>
                  <w:tcW w:w="591" w:type="pct"/>
                  <w:vAlign w:val="center"/>
                </w:tcPr>
                <w:p w14:paraId="01B02502">
                  <w:pPr>
                    <w:snapToGrid w:val="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符合性</w:t>
                  </w:r>
                </w:p>
              </w:tc>
            </w:tr>
            <w:tr w14:paraId="78FD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pct"/>
                  <w:vAlign w:val="center"/>
                </w:tcPr>
                <w:p w14:paraId="53ED8646">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第十条</w:t>
                  </w:r>
                </w:p>
              </w:tc>
              <w:tc>
                <w:tcPr>
                  <w:tcW w:w="2091" w:type="pct"/>
                  <w:vAlign w:val="center"/>
                </w:tcPr>
                <w:p w14:paraId="5A4515FA">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排放水污染物，不得超过国家或者地方规定的水污染物排放标准和重点水污染物排放总量控制指标。</w:t>
                  </w:r>
                </w:p>
              </w:tc>
              <w:tc>
                <w:tcPr>
                  <w:tcW w:w="1680" w:type="pct"/>
                  <w:vAlign w:val="center"/>
                </w:tcPr>
                <w:p w14:paraId="2768FCE7">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w:t>
                  </w:r>
                  <w:r>
                    <w:rPr>
                      <w:rFonts w:hint="eastAsia"/>
                      <w:color w:val="000000" w:themeColor="text1"/>
                      <w:highlight w:val="none"/>
                      <w14:textFill>
                        <w14:solidFill>
                          <w14:schemeClr w14:val="tx1"/>
                        </w14:solidFill>
                      </w14:textFill>
                    </w:rPr>
                    <w:t>废水经管道流入现有的污水处理系统进行处理，达到</w:t>
                  </w:r>
                  <w:r>
                    <w:rPr>
                      <w:rFonts w:hint="eastAsia"/>
                      <w:highlight w:val="none"/>
                      <w:lang w:val="zh-CN"/>
                    </w:rPr>
                    <w:t>《城市污水再生利用</w:t>
                  </w:r>
                  <w:r>
                    <w:rPr>
                      <w:rFonts w:hint="eastAsia"/>
                      <w:highlight w:val="none"/>
                    </w:rPr>
                    <w:t xml:space="preserve"> </w:t>
                  </w:r>
                  <w:r>
                    <w:rPr>
                      <w:rFonts w:hint="eastAsia"/>
                      <w:highlight w:val="none"/>
                      <w:lang w:val="zh-CN"/>
                    </w:rPr>
                    <w:t>城市杂用水水质》（GB/T18920-20</w:t>
                  </w:r>
                  <w:r>
                    <w:rPr>
                      <w:rFonts w:hint="eastAsia"/>
                      <w:highlight w:val="none"/>
                    </w:rPr>
                    <w:t>20</w:t>
                  </w:r>
                  <w:r>
                    <w:rPr>
                      <w:rFonts w:hint="eastAsia"/>
                      <w:highlight w:val="none"/>
                      <w:lang w:val="zh-CN"/>
                    </w:rPr>
                    <w:t>）</w:t>
                  </w:r>
                  <w:r>
                    <w:rPr>
                      <w:rFonts w:hint="eastAsia"/>
                      <w:color w:val="000000" w:themeColor="text1"/>
                      <w:highlight w:val="none"/>
                      <w14:textFill>
                        <w14:solidFill>
                          <w14:schemeClr w14:val="tx1"/>
                        </w14:solidFill>
                      </w14:textFill>
                    </w:rPr>
                    <w:t>后综合利用于绿化浇灌，清洁卫生和喷洒扬尘等，不外排。</w:t>
                  </w:r>
                </w:p>
              </w:tc>
              <w:tc>
                <w:tcPr>
                  <w:tcW w:w="591" w:type="pct"/>
                  <w:vAlign w:val="center"/>
                </w:tcPr>
                <w:p w14:paraId="01BADEAC">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14:paraId="509E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pct"/>
                  <w:vAlign w:val="center"/>
                </w:tcPr>
                <w:p w14:paraId="2107FA52">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第十九条</w:t>
                  </w:r>
                </w:p>
              </w:tc>
              <w:tc>
                <w:tcPr>
                  <w:tcW w:w="2091" w:type="pct"/>
                  <w:vAlign w:val="center"/>
                </w:tcPr>
                <w:p w14:paraId="4A1AE119">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新建、改建、扩建直接或者间接向水体排放污染物的建设项目和其他水上设施，应当依法进行环境影响评价</w:t>
                  </w:r>
                </w:p>
              </w:tc>
              <w:tc>
                <w:tcPr>
                  <w:tcW w:w="1680" w:type="pct"/>
                  <w:vAlign w:val="center"/>
                </w:tcPr>
                <w:p w14:paraId="043A5699">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项目未直接或间接向水体排放污染物</w:t>
                  </w:r>
                  <w:r>
                    <w:rPr>
                      <w:rFonts w:hint="eastAsia"/>
                      <w:color w:val="000000" w:themeColor="text1"/>
                      <w:szCs w:val="21"/>
                      <w:highlight w:val="none"/>
                      <w14:textFill>
                        <w14:solidFill>
                          <w14:schemeClr w14:val="tx1"/>
                        </w14:solidFill>
                      </w14:textFill>
                    </w:rPr>
                    <w:t>。</w:t>
                  </w:r>
                </w:p>
              </w:tc>
              <w:tc>
                <w:tcPr>
                  <w:tcW w:w="591" w:type="pct"/>
                  <w:vAlign w:val="center"/>
                </w:tcPr>
                <w:p w14:paraId="4D18EF3E">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14:paraId="18CA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pct"/>
                  <w:vAlign w:val="center"/>
                </w:tcPr>
                <w:p w14:paraId="7DA41B08">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第三十三条</w:t>
                  </w:r>
                </w:p>
              </w:tc>
              <w:tc>
                <w:tcPr>
                  <w:tcW w:w="2091" w:type="pct"/>
                  <w:vAlign w:val="center"/>
                </w:tcPr>
                <w:p w14:paraId="1BADFAB1">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禁止向水体排放油类、酸液、碱液或者剧毒废液</w:t>
                  </w:r>
                </w:p>
              </w:tc>
              <w:tc>
                <w:tcPr>
                  <w:tcW w:w="1680" w:type="pct"/>
                  <w:vAlign w:val="center"/>
                </w:tcPr>
                <w:p w14:paraId="7C772AA5">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项目属于肉羊屠宰建设项目，</w:t>
                  </w:r>
                  <w:r>
                    <w:rPr>
                      <w:rFonts w:hint="eastAsia"/>
                      <w:highlight w:val="none"/>
                    </w:rPr>
                    <w:t>产生的废水是屠宰废水及生活污水，回用于厂区内，</w:t>
                  </w:r>
                  <w:r>
                    <w:rPr>
                      <w:rFonts w:hint="eastAsia"/>
                      <w:color w:val="000000" w:themeColor="text1"/>
                      <w:szCs w:val="21"/>
                      <w:highlight w:val="none"/>
                      <w14:textFill>
                        <w14:solidFill>
                          <w14:schemeClr w14:val="tx1"/>
                        </w14:solidFill>
                      </w14:textFill>
                    </w:rPr>
                    <w:t>且无</w:t>
                  </w:r>
                  <w:r>
                    <w:rPr>
                      <w:color w:val="000000" w:themeColor="text1"/>
                      <w:szCs w:val="21"/>
                      <w:highlight w:val="none"/>
                      <w14:textFill>
                        <w14:solidFill>
                          <w14:schemeClr w14:val="tx1"/>
                        </w14:solidFill>
                      </w14:textFill>
                    </w:rPr>
                    <w:t>向水体排放油类、酸液、碱液或者剧毒废液</w:t>
                  </w:r>
                  <w:r>
                    <w:rPr>
                      <w:rFonts w:hint="eastAsia"/>
                      <w:color w:val="000000" w:themeColor="text1"/>
                      <w:szCs w:val="21"/>
                      <w:highlight w:val="none"/>
                      <w14:textFill>
                        <w14:solidFill>
                          <w14:schemeClr w14:val="tx1"/>
                        </w14:solidFill>
                      </w14:textFill>
                    </w:rPr>
                    <w:t>的现象。</w:t>
                  </w:r>
                </w:p>
              </w:tc>
              <w:tc>
                <w:tcPr>
                  <w:tcW w:w="591" w:type="pct"/>
                  <w:vAlign w:val="center"/>
                </w:tcPr>
                <w:p w14:paraId="02ABEDB0">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14:paraId="6161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pct"/>
                  <w:vAlign w:val="center"/>
                </w:tcPr>
                <w:p w14:paraId="1D8FC1C6">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第四十七条</w:t>
                  </w:r>
                </w:p>
              </w:tc>
              <w:tc>
                <w:tcPr>
                  <w:tcW w:w="2091" w:type="pct"/>
                  <w:vAlign w:val="center"/>
                </w:tcPr>
                <w:p w14:paraId="2F0983F9">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国家禁止新建不符合国家产业政策的小型造纸、制革、印染、染料、炼焦、炼硫、炼砷、炼汞、炼油、电镀</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药、石棉、水泥、玻璃、钢铁、火电以及其他严重污染水环境的生产项目。</w:t>
                  </w:r>
                </w:p>
              </w:tc>
              <w:tc>
                <w:tcPr>
                  <w:tcW w:w="1680" w:type="pct"/>
                  <w:vAlign w:val="center"/>
                </w:tcPr>
                <w:p w14:paraId="1B18C665">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项目属于肉羊屠宰建设项目，不属于</w:t>
                  </w:r>
                  <w:r>
                    <w:rPr>
                      <w:color w:val="000000" w:themeColor="text1"/>
                      <w:szCs w:val="21"/>
                      <w:highlight w:val="none"/>
                      <w14:textFill>
                        <w14:solidFill>
                          <w14:schemeClr w14:val="tx1"/>
                        </w14:solidFill>
                      </w14:textFill>
                    </w:rPr>
                    <w:t>不符合国家产业政策的小型造纸、制革、印染、染料、炼焦、炼硫、炼砷、炼汞、炼油、电镀</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药、石棉、水泥、玻璃、钢铁、火电以及其他严重污染水环境的生产项目。</w:t>
                  </w:r>
                </w:p>
              </w:tc>
              <w:tc>
                <w:tcPr>
                  <w:tcW w:w="591" w:type="pct"/>
                  <w:vAlign w:val="center"/>
                </w:tcPr>
                <w:p w14:paraId="207FC97D">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r w14:paraId="670E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pct"/>
                  <w:vAlign w:val="center"/>
                </w:tcPr>
                <w:p w14:paraId="7695AFDF">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第六十四条</w:t>
                  </w:r>
                </w:p>
              </w:tc>
              <w:tc>
                <w:tcPr>
                  <w:tcW w:w="2091" w:type="pct"/>
                  <w:vAlign w:val="center"/>
                </w:tcPr>
                <w:p w14:paraId="6788E6D6">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在饮用水水源保护区内，禁止设置排污口。</w:t>
                  </w:r>
                </w:p>
              </w:tc>
              <w:tc>
                <w:tcPr>
                  <w:tcW w:w="1680" w:type="pct"/>
                  <w:vAlign w:val="center"/>
                </w:tcPr>
                <w:p w14:paraId="0A0C7E15">
                  <w:pPr>
                    <w:snapToGrid w:val="0"/>
                    <w:jc w:val="center"/>
                    <w:rPr>
                      <w:color w:val="000000" w:themeColor="text1"/>
                      <w:szCs w:val="21"/>
                      <w:highlight w:val="none"/>
                      <w14:textFill>
                        <w14:solidFill>
                          <w14:schemeClr w14:val="tx1"/>
                        </w14:solidFill>
                      </w14:textFill>
                    </w:rPr>
                  </w:pPr>
                  <w:r>
                    <w:rPr>
                      <w:rFonts w:hint="eastAsia"/>
                      <w:highlight w:val="none"/>
                    </w:rPr>
                    <w:t>本项目位于云南省昆明市寻甸县羊街镇龙池村原听牧产业园内，在现有牛屠宰车间的基础上，将急宰间改建为肉羊屠宰线，不涉及新增用地，不涉及</w:t>
                  </w:r>
                  <w:r>
                    <w:rPr>
                      <w:color w:val="000000" w:themeColor="text1"/>
                      <w:szCs w:val="21"/>
                      <w:highlight w:val="none"/>
                      <w14:textFill>
                        <w14:solidFill>
                          <w14:schemeClr w14:val="tx1"/>
                        </w14:solidFill>
                      </w14:textFill>
                    </w:rPr>
                    <w:t>饮用水水源保护区</w:t>
                  </w:r>
                  <w:r>
                    <w:rPr>
                      <w:rFonts w:hint="eastAsia"/>
                      <w:color w:val="000000" w:themeColor="text1"/>
                      <w:szCs w:val="21"/>
                      <w:highlight w:val="none"/>
                      <w14:textFill>
                        <w14:solidFill>
                          <w14:schemeClr w14:val="tx1"/>
                        </w14:solidFill>
                      </w14:textFill>
                    </w:rPr>
                    <w:t>。</w:t>
                  </w:r>
                </w:p>
              </w:tc>
              <w:tc>
                <w:tcPr>
                  <w:tcW w:w="591" w:type="pct"/>
                  <w:vAlign w:val="center"/>
                </w:tcPr>
                <w:p w14:paraId="1C4D930B">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w:t>
                  </w:r>
                </w:p>
              </w:tc>
            </w:tr>
          </w:tbl>
          <w:p w14:paraId="3F19CFAD">
            <w:pPr>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综上所述，本项目符合《中华人民共和国水污染防治法》的要求。</w:t>
            </w:r>
          </w:p>
          <w:p w14:paraId="5C40FE7B">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6.与《云南省大气污染防治条例》符合性分析</w:t>
            </w:r>
          </w:p>
          <w:p w14:paraId="446F9E55">
            <w:pPr>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2018年11月29日，云南省第十三届人民代表大会常务委员会第七次会议通过《云南省大气污染防治条例》，本项目与《云南省大气污染防治条例》符合性分析如下。</w:t>
            </w:r>
          </w:p>
          <w:p w14:paraId="091A0111">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表1-8项目与《云南省大气污染防治条例》符合性分析</w:t>
            </w:r>
          </w:p>
          <w:tbl>
            <w:tblPr>
              <w:tblStyle w:val="21"/>
              <w:tblW w:w="7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865"/>
              <w:gridCol w:w="2877"/>
              <w:gridCol w:w="851"/>
            </w:tblGrid>
            <w:tr w14:paraId="443D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45A7A904">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序号</w:t>
                  </w:r>
                </w:p>
              </w:tc>
              <w:tc>
                <w:tcPr>
                  <w:tcW w:w="2865" w:type="dxa"/>
                  <w:vAlign w:val="center"/>
                </w:tcPr>
                <w:p w14:paraId="4C0BCF00">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条例要求</w:t>
                  </w:r>
                </w:p>
              </w:tc>
              <w:tc>
                <w:tcPr>
                  <w:tcW w:w="2877" w:type="dxa"/>
                  <w:vAlign w:val="center"/>
                </w:tcPr>
                <w:p w14:paraId="7C1116F3">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项目情况</w:t>
                  </w:r>
                </w:p>
              </w:tc>
              <w:tc>
                <w:tcPr>
                  <w:tcW w:w="851" w:type="dxa"/>
                  <w:vAlign w:val="center"/>
                </w:tcPr>
                <w:p w14:paraId="36AA7452">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符合性</w:t>
                  </w:r>
                </w:p>
              </w:tc>
            </w:tr>
            <w:tr w14:paraId="70BD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7B009F0A">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w:t>
                  </w:r>
                </w:p>
              </w:tc>
              <w:tc>
                <w:tcPr>
                  <w:tcW w:w="2865" w:type="dxa"/>
                  <w:vAlign w:val="center"/>
                </w:tcPr>
                <w:p w14:paraId="61E247EE">
                  <w:pPr>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按照国家有关规定依法实行排污许可管理的单位，应当取得排污许可证，并按照排污许可证的规定排放大气污染物，禁止无排污许可证或者不按照排污许可证的规定排放大气污染物。</w:t>
                  </w:r>
                </w:p>
              </w:tc>
              <w:tc>
                <w:tcPr>
                  <w:tcW w:w="2877" w:type="dxa"/>
                  <w:vAlign w:val="center"/>
                </w:tcPr>
                <w:p w14:paraId="40EE54B2">
                  <w:pPr>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本项目企业在肉牛屠宰时已办理排污许可证，编号为：91530100775514867E001U。待本项目建设完成后，将根据《排污许可管理条例》，进行排污许可证变更手续。</w:t>
                  </w:r>
                </w:p>
              </w:tc>
              <w:tc>
                <w:tcPr>
                  <w:tcW w:w="851" w:type="dxa"/>
                  <w:vAlign w:val="center"/>
                </w:tcPr>
                <w:p w14:paraId="12340556">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r w14:paraId="15B9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2EB67EB4">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w:t>
                  </w:r>
                </w:p>
              </w:tc>
              <w:tc>
                <w:tcPr>
                  <w:tcW w:w="2865" w:type="dxa"/>
                  <w:vAlign w:val="center"/>
                </w:tcPr>
                <w:p w14:paraId="2A279A21">
                  <w:pPr>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企业事业单位和其他生产经营者在生产经营活动中产生恶臭气体的，应当安装净化装置或者采取其他措施防止恶臭气体排放。</w:t>
                  </w:r>
                </w:p>
                <w:p w14:paraId="4C50BC8E">
                  <w:pPr>
                    <w:pStyle w:val="9"/>
                    <w:rPr>
                      <w:highlight w:val="none"/>
                    </w:rPr>
                  </w:pPr>
                  <w:r>
                    <w:rPr>
                      <w:bCs/>
                      <w:color w:val="000000" w:themeColor="text1"/>
                      <w:kern w:val="2"/>
                      <w:sz w:val="21"/>
                      <w:szCs w:val="21"/>
                      <w:highlight w:val="none"/>
                      <w14:textFill>
                        <w14:solidFill>
                          <w14:schemeClr w14:val="tx1"/>
                        </w14:solidFill>
                      </w14:textFill>
                    </w:rPr>
                    <w:t>垃圾处理场、垃圾中转站、污水处理厂、橡胶制品生产生物发酵、规模化畜禽养殖、屠宰等产生恶臭气体的单位应当科学选址，与机关、学校、医院、居民住宅区等人口集中地区和其他依法需要特殊保护的区域保持符合规定的防护距离。</w:t>
                  </w:r>
                </w:p>
              </w:tc>
              <w:tc>
                <w:tcPr>
                  <w:tcW w:w="2877" w:type="dxa"/>
                  <w:vAlign w:val="center"/>
                </w:tcPr>
                <w:p w14:paraId="505E61E3">
                  <w:pPr>
                    <w:snapToGrid w:val="0"/>
                    <w:jc w:val="center"/>
                    <w:rPr>
                      <w:color w:val="000000" w:themeColor="text1"/>
                      <w:szCs w:val="21"/>
                      <w:highlight w:val="none"/>
                      <w14:textFill>
                        <w14:solidFill>
                          <w14:schemeClr w14:val="tx1"/>
                        </w14:solidFill>
                      </w14:textFill>
                    </w:rPr>
                  </w:pPr>
                  <w:r>
                    <w:rPr>
                      <w:rFonts w:hint="eastAsia"/>
                      <w:highlight w:val="none"/>
                    </w:rPr>
                    <w:t>本项目属于肉羊屠宰，屠宰过程中的羊毛、内脏杂物、粪便、血产生恶臭气体，及时</w:t>
                  </w:r>
                  <w:r>
                    <w:rPr>
                      <w:rFonts w:hint="eastAsia" w:cs="宋体"/>
                      <w:color w:val="000000" w:themeColor="text1"/>
                      <w:kern w:val="0"/>
                      <w:szCs w:val="21"/>
                      <w:highlight w:val="none"/>
                      <w:lang w:bidi="ar"/>
                      <w14:textFill>
                        <w14:solidFill>
                          <w14:schemeClr w14:val="tx1"/>
                        </w14:solidFill>
                      </w14:textFill>
                    </w:rPr>
                    <w:t>收集处置</w:t>
                  </w:r>
                  <w:r>
                    <w:rPr>
                      <w:rFonts w:hint="eastAsia"/>
                      <w:highlight w:val="none"/>
                    </w:rPr>
                    <w:t>清运，</w:t>
                  </w:r>
                  <w:r>
                    <w:rPr>
                      <w:rFonts w:hint="eastAsia"/>
                      <w:bCs/>
                      <w:color w:val="000000" w:themeColor="text1"/>
                      <w:szCs w:val="21"/>
                      <w:highlight w:val="none"/>
                      <w14:textFill>
                        <w14:solidFill>
                          <w14:schemeClr w14:val="tx1"/>
                        </w14:solidFill>
                      </w14:textFill>
                    </w:rPr>
                    <w:t>减少</w:t>
                  </w:r>
                  <w:r>
                    <w:rPr>
                      <w:bCs/>
                      <w:color w:val="000000" w:themeColor="text1"/>
                      <w:szCs w:val="21"/>
                      <w:highlight w:val="none"/>
                      <w14:textFill>
                        <w14:solidFill>
                          <w14:schemeClr w14:val="tx1"/>
                        </w14:solidFill>
                      </w14:textFill>
                    </w:rPr>
                    <w:t>恶臭气体排放。</w:t>
                  </w:r>
                  <w:r>
                    <w:rPr>
                      <w:rFonts w:hint="eastAsia"/>
                      <w:highlight w:val="none"/>
                    </w:rPr>
                    <w:t>本项目位于云南省昆明市寻甸县羊街镇龙池村，</w:t>
                  </w:r>
                  <w:r>
                    <w:rPr>
                      <w:bCs/>
                      <w:color w:val="000000" w:themeColor="text1"/>
                      <w:szCs w:val="21"/>
                      <w:highlight w:val="none"/>
                      <w14:textFill>
                        <w14:solidFill>
                          <w14:schemeClr w14:val="tx1"/>
                        </w14:solidFill>
                      </w14:textFill>
                    </w:rPr>
                    <w:t>与机关、学校、医院、居民住宅区等人口集中地区和其他依法需要特殊保护的区域保持符合规定的防护距离。</w:t>
                  </w:r>
                </w:p>
              </w:tc>
              <w:tc>
                <w:tcPr>
                  <w:tcW w:w="851" w:type="dxa"/>
                  <w:vAlign w:val="center"/>
                </w:tcPr>
                <w:p w14:paraId="4FDE142F">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bl>
          <w:p w14:paraId="7E714780">
            <w:pPr>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综上所述，本项目符合《云南省大气污染防治条例》要求。</w:t>
            </w:r>
          </w:p>
          <w:p w14:paraId="5AD0F0DC">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7.与《屠宰与肉类加工废水治理工程技术规范》符合性分析</w:t>
            </w:r>
          </w:p>
          <w:p w14:paraId="1CB50F66">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表1-9与《屠宰与肉类加工废水治理工程技术规范》符合性分析</w:t>
            </w:r>
          </w:p>
          <w:tbl>
            <w:tblPr>
              <w:tblStyle w:val="21"/>
              <w:tblW w:w="7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2880"/>
              <w:gridCol w:w="1281"/>
            </w:tblGrid>
            <w:tr w14:paraId="7C09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691C8FF9">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要求内容</w:t>
                  </w:r>
                </w:p>
              </w:tc>
              <w:tc>
                <w:tcPr>
                  <w:tcW w:w="2880" w:type="dxa"/>
                  <w:vAlign w:val="center"/>
                </w:tcPr>
                <w:p w14:paraId="07CC2E15">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本项目情况</w:t>
                  </w:r>
                </w:p>
              </w:tc>
              <w:tc>
                <w:tcPr>
                  <w:tcW w:w="1281" w:type="dxa"/>
                  <w:vAlign w:val="center"/>
                </w:tcPr>
                <w:p w14:paraId="3F10A150">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符合性</w:t>
                  </w:r>
                </w:p>
              </w:tc>
            </w:tr>
            <w:tr w14:paraId="4133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0C775B82">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应根据屠宰场和肉类加工厂的类型、建设规模、当地自然地理环境条件、排水去向及排放标准等因素确定废水处理工艺路线及处理目标，力求经济合理、技术先进可靠、运行稳定。</w:t>
                  </w:r>
                </w:p>
              </w:tc>
              <w:tc>
                <w:tcPr>
                  <w:tcW w:w="2880" w:type="dxa"/>
                  <w:vAlign w:val="center"/>
                </w:tcPr>
                <w:p w14:paraId="59FE4066">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项目废水处理工艺采用“机械格栅+气浮+强化厌氧+接触氧化+过滤吸附+臭氧”处理工艺。该工艺经济合理、技术先进可靠、运行稳定。</w:t>
                  </w:r>
                </w:p>
              </w:tc>
              <w:tc>
                <w:tcPr>
                  <w:tcW w:w="1281" w:type="dxa"/>
                  <w:vAlign w:val="center"/>
                </w:tcPr>
                <w:p w14:paraId="09F96F69">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r w14:paraId="553B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7A70576A">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屠宰与肉类加工废水处理工艺应包含消毒及除臭单元。</w:t>
                  </w:r>
                </w:p>
              </w:tc>
              <w:tc>
                <w:tcPr>
                  <w:tcW w:w="2880" w:type="dxa"/>
                  <w:vAlign w:val="center"/>
                </w:tcPr>
                <w:p w14:paraId="42D663EF">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项目污水站采用次氯酸钠消毒剂对废水进行消毒，污水站对</w:t>
                  </w:r>
                  <w:r>
                    <w:rPr>
                      <w:highlight w:val="none"/>
                    </w:rPr>
                    <w:t>产生恶臭区域</w:t>
                  </w:r>
                  <w:r>
                    <w:rPr>
                      <w:rFonts w:hint="eastAsia"/>
                      <w:highlight w:val="none"/>
                    </w:rPr>
                    <w:t>均进行</w:t>
                  </w:r>
                  <w:r>
                    <w:rPr>
                      <w:highlight w:val="none"/>
                    </w:rPr>
                    <w:t>加罩或加盖</w:t>
                  </w:r>
                  <w:r>
                    <w:rPr>
                      <w:rFonts w:hint="eastAsia"/>
                      <w:highlight w:val="none"/>
                    </w:rPr>
                    <w:t>处理</w:t>
                  </w:r>
                  <w:r>
                    <w:rPr>
                      <w:rFonts w:hint="eastAsia"/>
                      <w:bCs/>
                      <w:color w:val="000000" w:themeColor="text1"/>
                      <w:szCs w:val="21"/>
                      <w:highlight w:val="none"/>
                      <w14:textFill>
                        <w14:solidFill>
                          <w14:schemeClr w14:val="tx1"/>
                        </w14:solidFill>
                      </w14:textFill>
                    </w:rPr>
                    <w:t>。</w:t>
                  </w:r>
                </w:p>
              </w:tc>
              <w:tc>
                <w:tcPr>
                  <w:tcW w:w="1281" w:type="dxa"/>
                  <w:vAlign w:val="center"/>
                </w:tcPr>
                <w:p w14:paraId="35C4AD5A">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r w14:paraId="34FB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5B50844B">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废水治理工程应独立布置在厂区主导风向的下风向，各处理单元平面布置尽量紧凑（中小规模的废水处理构筑物可采用一体式构建），力求土建施工方便，设备按照、各类管线连接简捷且便于维护管理。</w:t>
                  </w:r>
                </w:p>
              </w:tc>
              <w:tc>
                <w:tcPr>
                  <w:tcW w:w="2880" w:type="dxa"/>
                  <w:vAlign w:val="center"/>
                </w:tcPr>
                <w:p w14:paraId="3AF0138D">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本项目废水治理工程独立布置，构筑物采用一体式构建。</w:t>
                  </w:r>
                </w:p>
              </w:tc>
              <w:tc>
                <w:tcPr>
                  <w:tcW w:w="1281" w:type="dxa"/>
                  <w:vAlign w:val="center"/>
                </w:tcPr>
                <w:p w14:paraId="272AEE0D">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r w14:paraId="14DC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255809F2">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工业选择应以连续稳定达标排放为前提，选择成熟、可靠的废水处理工艺。</w:t>
                  </w:r>
                </w:p>
              </w:tc>
              <w:tc>
                <w:tcPr>
                  <w:tcW w:w="2880" w:type="dxa"/>
                  <w:vAlign w:val="center"/>
                </w:tcPr>
                <w:p w14:paraId="3D82465B">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本项目污水处理工艺成熟可靠，为《排污许可证申请和核发技术规范农副食品加工工业 屠宰及肉类加工工业》（HI860.3-2018）中可行性技术。</w:t>
                  </w:r>
                </w:p>
              </w:tc>
              <w:tc>
                <w:tcPr>
                  <w:tcW w:w="1281" w:type="dxa"/>
                  <w:vAlign w:val="center"/>
                </w:tcPr>
                <w:p w14:paraId="49D1E8CD">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r w14:paraId="0058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75F83485">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有恶臭源的废水处理单元（调节池、进水泵站、厌氧、污泥储存、污泥脱水等）宜设计为密闭式，并配备恶臭集中处理设施，将各工艺过程中产生的臭气集中收集处理，减少恶臭对周围环境的污染。</w:t>
                  </w:r>
                </w:p>
              </w:tc>
              <w:tc>
                <w:tcPr>
                  <w:tcW w:w="2880" w:type="dxa"/>
                  <w:vAlign w:val="center"/>
                </w:tcPr>
                <w:p w14:paraId="4E03BC6A">
                  <w:pPr>
                    <w:snapToGrid w:val="0"/>
                    <w:jc w:val="center"/>
                    <w:rPr>
                      <w:bCs/>
                      <w:color w:val="000000" w:themeColor="text1"/>
                      <w:szCs w:val="21"/>
                      <w:highlight w:val="none"/>
                      <w14:textFill>
                        <w14:solidFill>
                          <w14:schemeClr w14:val="tx1"/>
                        </w14:solidFill>
                      </w14:textFill>
                    </w:rPr>
                  </w:pPr>
                  <w:r>
                    <w:rPr>
                      <w:rFonts w:hint="eastAsia"/>
                      <w:highlight w:val="none"/>
                    </w:rPr>
                    <w:t>污水处理站对</w:t>
                  </w:r>
                  <w:r>
                    <w:rPr>
                      <w:highlight w:val="none"/>
                    </w:rPr>
                    <w:t>产生恶臭区域</w:t>
                  </w:r>
                  <w:r>
                    <w:rPr>
                      <w:rFonts w:hint="eastAsia"/>
                      <w:highlight w:val="none"/>
                    </w:rPr>
                    <w:t>均进行</w:t>
                  </w:r>
                  <w:r>
                    <w:rPr>
                      <w:highlight w:val="none"/>
                    </w:rPr>
                    <w:t>加罩或加盖</w:t>
                  </w:r>
                  <w:r>
                    <w:rPr>
                      <w:rFonts w:hint="eastAsia"/>
                      <w:highlight w:val="none"/>
                    </w:rPr>
                    <w:t>处理</w:t>
                  </w:r>
                  <w:r>
                    <w:rPr>
                      <w:rFonts w:hint="eastAsia"/>
                      <w:bCs/>
                      <w:color w:val="000000" w:themeColor="text1"/>
                      <w:szCs w:val="21"/>
                      <w:highlight w:val="none"/>
                      <w14:textFill>
                        <w14:solidFill>
                          <w14:schemeClr w14:val="tx1"/>
                        </w14:solidFill>
                      </w14:textFill>
                    </w:rPr>
                    <w:t>。</w:t>
                  </w:r>
                </w:p>
              </w:tc>
              <w:tc>
                <w:tcPr>
                  <w:tcW w:w="1281" w:type="dxa"/>
                  <w:vAlign w:val="center"/>
                </w:tcPr>
                <w:p w14:paraId="00601025">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bl>
          <w:p w14:paraId="4B66D462">
            <w:pPr>
              <w:widowControl/>
              <w:numPr>
                <w:ilvl w:val="255"/>
                <w:numId w:val="0"/>
              </w:numPr>
              <w:snapToGrid w:val="0"/>
              <w:spacing w:line="360" w:lineRule="auto"/>
              <w:ind w:firstLine="480" w:firstLineChars="200"/>
              <w:jc w:val="left"/>
              <w:rPr>
                <w:color w:val="000000" w:themeColor="text1"/>
                <w:sz w:val="24"/>
                <w:highlight w:val="none"/>
                <w:lang w:bidi="ar"/>
                <w14:textFill>
                  <w14:solidFill>
                    <w14:schemeClr w14:val="tx1"/>
                  </w14:solidFill>
                </w14:textFill>
              </w:rPr>
            </w:pPr>
            <w:r>
              <w:rPr>
                <w:rFonts w:hint="eastAsia"/>
                <w:color w:val="000000" w:themeColor="text1"/>
                <w:sz w:val="24"/>
                <w:highlight w:val="none"/>
                <w14:textFill>
                  <w14:solidFill>
                    <w14:schemeClr w14:val="tx1"/>
                  </w14:solidFill>
                </w14:textFill>
              </w:rPr>
              <w:t>综上所述，本项目符合《屠宰与肉类加工废水治理工程技术规范》的相关要求。</w:t>
            </w:r>
          </w:p>
          <w:p w14:paraId="42EE90CD">
            <w:pPr>
              <w:snapToGrid w:val="0"/>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8.与《畜禽屠宰加工卫生规范》符合性分析</w:t>
            </w:r>
          </w:p>
          <w:p w14:paraId="5535DB31">
            <w:pPr>
              <w:numPr>
                <w:ilvl w:val="255"/>
                <w:numId w:val="0"/>
              </w:num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表1-10与《畜禽屠宰加工卫生规范》符合性分析</w:t>
            </w:r>
          </w:p>
          <w:tbl>
            <w:tblPr>
              <w:tblStyle w:val="20"/>
              <w:tblW w:w="7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4"/>
              <w:gridCol w:w="2880"/>
              <w:gridCol w:w="1281"/>
            </w:tblGrid>
            <w:tr w14:paraId="5BB0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0E26D506">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要求内容</w:t>
                  </w:r>
                </w:p>
              </w:tc>
              <w:tc>
                <w:tcPr>
                  <w:tcW w:w="2880" w:type="dxa"/>
                  <w:vAlign w:val="center"/>
                </w:tcPr>
                <w:p w14:paraId="02C70214">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本项目情况</w:t>
                  </w:r>
                </w:p>
              </w:tc>
              <w:tc>
                <w:tcPr>
                  <w:tcW w:w="1281" w:type="dxa"/>
                  <w:vAlign w:val="center"/>
                </w:tcPr>
                <w:p w14:paraId="27A763E7">
                  <w:pPr>
                    <w:snapToGrid w:val="0"/>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符合性</w:t>
                  </w:r>
                </w:p>
              </w:tc>
            </w:tr>
            <w:tr w14:paraId="43BC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16DE7BF6">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厂址周围应有良好的环境卫生条件，厂区应远离受污染的水体，并应避开产生有害气体、烟雾、粉尘等污染源的工业企业或其他产生污染源的地区或场所。</w:t>
                  </w:r>
                </w:p>
              </w:tc>
              <w:tc>
                <w:tcPr>
                  <w:tcW w:w="2880" w:type="dxa"/>
                  <w:vAlign w:val="center"/>
                </w:tcPr>
                <w:p w14:paraId="70464BAE">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本项目厂区周围有良好的环境卫生条件，厂区应远离受污染的水体，并避开产生有害气体、烟雾、粉尘等污染源的工业企业或其他产生污染源的地区或场所。</w:t>
                  </w:r>
                </w:p>
              </w:tc>
              <w:tc>
                <w:tcPr>
                  <w:tcW w:w="1281" w:type="dxa"/>
                  <w:vAlign w:val="center"/>
                </w:tcPr>
                <w:p w14:paraId="53D23EB5">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r w14:paraId="7895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318EBADB">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厂址必须具备符合要求的水源和电源，应结合工艺要求因地制宜确定，并应符合屠宰企业设置规划的要求。</w:t>
                  </w:r>
                </w:p>
              </w:tc>
              <w:tc>
                <w:tcPr>
                  <w:tcW w:w="2880" w:type="dxa"/>
                  <w:vAlign w:val="center"/>
                </w:tcPr>
                <w:p w14:paraId="4BA34258">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本项目水源</w:t>
                  </w:r>
                  <w:r>
                    <w:rPr>
                      <w:highlight w:val="none"/>
                    </w:rPr>
                    <w:t>由市政供水管网供水</w:t>
                  </w:r>
                  <w:r>
                    <w:rPr>
                      <w:rFonts w:hint="eastAsia"/>
                      <w:highlight w:val="none"/>
                    </w:rPr>
                    <w:t>，且厂区内已建水塔、管网</w:t>
                  </w:r>
                  <w:r>
                    <w:rPr>
                      <w:rFonts w:hint="eastAsia"/>
                      <w:bCs/>
                      <w:color w:val="000000" w:themeColor="text1"/>
                      <w:szCs w:val="21"/>
                      <w:highlight w:val="none"/>
                      <w14:textFill>
                        <w14:solidFill>
                          <w14:schemeClr w14:val="tx1"/>
                        </w14:solidFill>
                      </w14:textFill>
                    </w:rPr>
                    <w:t>，用电</w:t>
                  </w:r>
                  <w:r>
                    <w:rPr>
                      <w:highlight w:val="none"/>
                    </w:rPr>
                    <w:t>由市政供电系统供电</w:t>
                  </w:r>
                  <w:r>
                    <w:rPr>
                      <w:rFonts w:hint="eastAsia"/>
                      <w:bCs/>
                      <w:color w:val="000000" w:themeColor="text1"/>
                      <w:szCs w:val="21"/>
                      <w:highlight w:val="none"/>
                      <w14:textFill>
                        <w14:solidFill>
                          <w14:schemeClr w14:val="tx1"/>
                        </w14:solidFill>
                      </w14:textFill>
                    </w:rPr>
                    <w:t>。</w:t>
                  </w:r>
                </w:p>
              </w:tc>
              <w:tc>
                <w:tcPr>
                  <w:tcW w:w="1281" w:type="dxa"/>
                  <w:vAlign w:val="center"/>
                </w:tcPr>
                <w:p w14:paraId="5134FB31">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r w14:paraId="768B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1513CBFA">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厂区道路应硬化，路面平整易冲洗，不积水。厂区废弃物存放和处理排放符合国家环保要求。厂区内禁止饲养与屠宰加工无关的动物。</w:t>
                  </w:r>
                </w:p>
              </w:tc>
              <w:tc>
                <w:tcPr>
                  <w:tcW w:w="2880" w:type="dxa"/>
                  <w:vAlign w:val="center"/>
                </w:tcPr>
                <w:p w14:paraId="3384FF7A">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本项目道路进行硬化处理，厂区三废排放均采取合理有效的措施，厂区内不涉及饲养无关动物。</w:t>
                  </w:r>
                </w:p>
              </w:tc>
              <w:tc>
                <w:tcPr>
                  <w:tcW w:w="1281" w:type="dxa"/>
                  <w:vAlign w:val="center"/>
                </w:tcPr>
                <w:p w14:paraId="1049B401">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r w14:paraId="45D5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57E9E61A">
                  <w:pPr>
                    <w:snapToGrid w:val="0"/>
                    <w:jc w:val="center"/>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厂区各车间布局满足生产工艺流程及卫生要求，清洁区与非清洁区相分隔，人流物流互不干扰，并符合工艺、卫生及检验检疫要求。</w:t>
                  </w:r>
                </w:p>
              </w:tc>
              <w:tc>
                <w:tcPr>
                  <w:tcW w:w="2880" w:type="dxa"/>
                  <w:vAlign w:val="center"/>
                </w:tcPr>
                <w:p w14:paraId="432D5EF8">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屠宰车间布局满足屠宰工序流程及卫生要求，将半清洁区与非清洁区分隔设置，符合工艺、卫生及检验检疫要求。</w:t>
                  </w:r>
                </w:p>
              </w:tc>
              <w:tc>
                <w:tcPr>
                  <w:tcW w:w="1281" w:type="dxa"/>
                  <w:vAlign w:val="center"/>
                </w:tcPr>
                <w:p w14:paraId="3EA11CAC">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r w14:paraId="5419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4" w:type="dxa"/>
                  <w:vAlign w:val="center"/>
                </w:tcPr>
                <w:p w14:paraId="33F5B5E1">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应在远离车间的适当地点设置废弃物临时存放设施，便于清洁和消毒。</w:t>
                  </w:r>
                </w:p>
              </w:tc>
              <w:tc>
                <w:tcPr>
                  <w:tcW w:w="2880" w:type="dxa"/>
                  <w:vAlign w:val="center"/>
                </w:tcPr>
                <w:p w14:paraId="744F5160">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本项目在远离车间的适当地点设置废弃物临时存放设施，便于清洁和消毒。</w:t>
                  </w:r>
                </w:p>
              </w:tc>
              <w:tc>
                <w:tcPr>
                  <w:tcW w:w="1281" w:type="dxa"/>
                  <w:vAlign w:val="center"/>
                </w:tcPr>
                <w:p w14:paraId="21F1CB82">
                  <w:pPr>
                    <w:snapToGrid w:val="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符合</w:t>
                  </w:r>
                </w:p>
              </w:tc>
            </w:tr>
          </w:tbl>
          <w:p w14:paraId="5F7A34FC">
            <w:pPr>
              <w:widowControl/>
              <w:numPr>
                <w:ilvl w:val="255"/>
                <w:numId w:val="0"/>
              </w:numPr>
              <w:snapToGrid w:val="0"/>
              <w:spacing w:line="360" w:lineRule="auto"/>
              <w:ind w:firstLine="480" w:firstLineChars="200"/>
              <w:jc w:val="left"/>
              <w:rPr>
                <w:color w:val="000000" w:themeColor="text1"/>
                <w:sz w:val="24"/>
                <w:highlight w:val="none"/>
                <w:lang w:bidi="ar"/>
                <w14:textFill>
                  <w14:solidFill>
                    <w14:schemeClr w14:val="tx1"/>
                  </w14:solidFill>
                </w14:textFill>
              </w:rPr>
            </w:pPr>
            <w:r>
              <w:rPr>
                <w:rFonts w:hint="eastAsia"/>
                <w:color w:val="000000" w:themeColor="text1"/>
                <w:sz w:val="24"/>
                <w:highlight w:val="none"/>
                <w14:textFill>
                  <w14:solidFill>
                    <w14:schemeClr w14:val="tx1"/>
                  </w14:solidFill>
                </w14:textFill>
              </w:rPr>
              <w:t>综上所述，本项目符合《</w:t>
            </w:r>
            <w:r>
              <w:rPr>
                <w:rFonts w:hint="eastAsia"/>
                <w:color w:val="000000" w:themeColor="text1"/>
                <w:sz w:val="24"/>
                <w:highlight w:val="none"/>
                <w:lang w:bidi="ar"/>
                <w14:textFill>
                  <w14:solidFill>
                    <w14:schemeClr w14:val="tx1"/>
                  </w14:solidFill>
                </w14:textFill>
              </w:rPr>
              <w:t>畜禽屠宰加工卫生规范</w:t>
            </w:r>
            <w:r>
              <w:rPr>
                <w:rFonts w:hint="eastAsia"/>
                <w:color w:val="000000" w:themeColor="text1"/>
                <w:sz w:val="24"/>
                <w:highlight w:val="none"/>
                <w14:textFill>
                  <w14:solidFill>
                    <w14:schemeClr w14:val="tx1"/>
                  </w14:solidFill>
                </w14:textFill>
              </w:rPr>
              <w:t>》的相关要求。</w:t>
            </w:r>
          </w:p>
          <w:p w14:paraId="6E4FA367">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9.其他符合性分析</w:t>
            </w:r>
          </w:p>
          <w:p w14:paraId="003C89ED">
            <w:pPr>
              <w:widowControl/>
              <w:spacing w:line="360" w:lineRule="auto"/>
              <w:ind w:firstLine="482" w:firstLineChars="200"/>
              <w:jc w:val="left"/>
              <w:rPr>
                <w:rFonts w:cs="宋体"/>
                <w:color w:val="000000" w:themeColor="text1"/>
                <w:kern w:val="0"/>
                <w:sz w:val="24"/>
                <w:highlight w:val="none"/>
                <w:lang w:bidi="ar"/>
                <w14:textFill>
                  <w14:solidFill>
                    <w14:schemeClr w14:val="tx1"/>
                  </w14:solidFill>
                </w14:textFill>
              </w:rPr>
            </w:pPr>
            <w:r>
              <w:rPr>
                <w:rFonts w:hint="eastAsia" w:cs="宋体"/>
                <w:b/>
                <w:bCs/>
                <w:color w:val="000000" w:themeColor="text1"/>
                <w:kern w:val="0"/>
                <w:sz w:val="24"/>
                <w:highlight w:val="none"/>
                <w:lang w:bidi="ar"/>
                <w14:textFill>
                  <w14:solidFill>
                    <w14:schemeClr w14:val="tx1"/>
                  </w14:solidFill>
                </w14:textFill>
              </w:rPr>
              <w:t>①选址合理性分析</w:t>
            </w:r>
          </w:p>
          <w:p w14:paraId="2D8404F8">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根据《食品安全国家标准畜禽屠宰加工卫生规范》（GB12694-2016）选址要求，“3.2.1卫生防护距离应符合GB18078.1（农副食品加工业卫生防护距离第1部分:屠及肉类加工业）及动物防疫要求。3.2.2厂址周围应有良好的环境卫生条件，厂区应远离受污染的水体，并应避开产生有害气体、烟雾、粉尘等污染源的工业企业或其他产生污染源的地区或场所。3.2.3厂址必须具备符合要求的水源和电源，应结合工艺要求因地制宜地确定，并应符合屠宰企业设置规划的要求。”</w:t>
            </w:r>
          </w:p>
          <w:p w14:paraId="3CBF5697">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a.根据《农副食品加工业卫生防护距离第1部分：屠宰及肉类加工业》（GB18078.1-2012），寻甸县常年年平均风速为3m，项目生产车间卫生防护距离限值（生产车间边界至居民区、学校和医院的最小距离）应为300m。本项目位于云南省昆明市寻甸县羊街镇龙池村，在现有牛屠宰车间的基础上，将急宰间改建为肉羊屠宰线，为原有占地，不新增占地。项目西北侧为龙池村，距离项目最近距离为380m，项目改建生产车间周边300m范围内无居民区、学校和医院，禁止在卫生防护距离内新建居民区、学校和医院。且项目区主导风向为西南风，龙池村位于项目西北侧为风向侧，受废气影响</w:t>
            </w:r>
            <w:r>
              <w:rPr>
                <w:rStyle w:val="26"/>
                <w:rFonts w:hint="eastAsia"/>
                <w:kern w:val="0"/>
                <w:szCs w:val="20"/>
                <w:highlight w:val="none"/>
              </w:rPr>
              <w:t>较小</w:t>
            </w:r>
            <w:r>
              <w:rPr>
                <w:rFonts w:hint="eastAsia" w:cs="宋体"/>
                <w:color w:val="000000" w:themeColor="text1"/>
                <w:kern w:val="0"/>
                <w:sz w:val="24"/>
                <w:highlight w:val="none"/>
                <w:lang w:bidi="ar"/>
                <w14:textFill>
                  <w14:solidFill>
                    <w14:schemeClr w14:val="tx1"/>
                  </w14:solidFill>
                </w14:textFill>
              </w:rPr>
              <w:t>；项目夜间不运行，噪声在运营期东、南、西、北侧厂界能达到《工业企业厂界环境噪声排放标准》（GB12348-2008）中的2类（昼间60dB（A），夜间50dB（A））标准要求；</w:t>
            </w:r>
          </w:p>
          <w:p w14:paraId="1369C56F">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cs="宋体"/>
                <w:color w:val="000000" w:themeColor="text1"/>
                <w:kern w:val="0"/>
                <w:sz w:val="24"/>
                <w:highlight w:val="none"/>
                <w:lang w:bidi="ar"/>
                <w14:textFill>
                  <w14:solidFill>
                    <w14:schemeClr w14:val="tx1"/>
                  </w14:solidFill>
                </w14:textFill>
              </w:rPr>
              <w:t>b</w:t>
            </w:r>
            <w:r>
              <w:rPr>
                <w:rFonts w:hint="eastAsia" w:cs="宋体"/>
                <w:color w:val="000000" w:themeColor="text1"/>
                <w:kern w:val="0"/>
                <w:sz w:val="24"/>
                <w:highlight w:val="none"/>
                <w:lang w:bidi="ar"/>
                <w14:textFill>
                  <w14:solidFill>
                    <w14:schemeClr w14:val="tx1"/>
                  </w14:solidFill>
                </w14:textFill>
              </w:rPr>
              <w:t>.厂址所在地周围无受污染水体，无有害气体、烟雾、粉尘等污染源的工业企业或其他产生污染源的地区或场所。</w:t>
            </w:r>
          </w:p>
          <w:p w14:paraId="5BC80059">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c.厂址所在地具备符合要求的水源和电源。</w:t>
            </w:r>
          </w:p>
          <w:p w14:paraId="22C24C0C">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d.项目区不涉及国务院、国家有关部门、省（自治区、直辖市）人民政府、市、县人民政府规定的饮用水水源保护区、自然保护区、风景名胜区、生态功能保护区、森林公园、地质公园、世界遗产地、国家重点文物保护单位、历史文化保护地，项目占地不涉及基本农田及公益林，无国家规定的保护动植物种类。</w:t>
            </w:r>
          </w:p>
          <w:p w14:paraId="12EC298D">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因此，项目选址合理。</w:t>
            </w:r>
          </w:p>
          <w:p w14:paraId="0902BAC0">
            <w:pPr>
              <w:widowControl/>
              <w:spacing w:line="360" w:lineRule="auto"/>
              <w:ind w:firstLine="482" w:firstLineChars="200"/>
              <w:jc w:val="left"/>
              <w:rPr>
                <w:color w:val="000000" w:themeColor="text1"/>
                <w:highlight w:val="none"/>
                <w14:textFill>
                  <w14:solidFill>
                    <w14:schemeClr w14:val="tx1"/>
                  </w14:solidFill>
                </w14:textFill>
              </w:rPr>
            </w:pPr>
            <w:r>
              <w:rPr>
                <w:rFonts w:hint="eastAsia" w:cs="宋体"/>
                <w:b/>
                <w:bCs/>
                <w:color w:val="000000" w:themeColor="text1"/>
                <w:kern w:val="0"/>
                <w:sz w:val="24"/>
                <w:highlight w:val="none"/>
                <w:lang w:bidi="ar"/>
                <w14:textFill>
                  <w14:solidFill>
                    <w14:schemeClr w14:val="tx1"/>
                  </w14:solidFill>
                </w14:textFill>
              </w:rPr>
              <w:t>②环境相容性可行性分析</w:t>
            </w:r>
          </w:p>
          <w:p w14:paraId="48C317E3">
            <w:pPr>
              <w:widowControl/>
              <w:spacing w:line="360" w:lineRule="auto"/>
              <w:ind w:firstLine="480" w:firstLineChars="200"/>
              <w:jc w:val="left"/>
              <w:rPr>
                <w:b/>
                <w:bCs/>
                <w:color w:val="000000" w:themeColor="text1"/>
                <w:spacing w:val="7"/>
                <w:sz w:val="20"/>
                <w:szCs w:val="20"/>
                <w:highlight w:val="none"/>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项目位于云南省昆明市寻甸县羊街镇龙池村，在现有牛屠宰车间的基础上，将急宰间改建为肉羊屠宰线。周边主要是村庄、畜产品交易市场，生活交通较为便利。项目区废水依托原污水收集管网进入污水处理设施（250m</w:t>
            </w:r>
            <w:r>
              <w:rPr>
                <w:rFonts w:hint="eastAsia" w:cs="宋体"/>
                <w:color w:val="000000" w:themeColor="text1"/>
                <w:kern w:val="0"/>
                <w:sz w:val="24"/>
                <w:highlight w:val="none"/>
                <w:vertAlign w:val="superscript"/>
                <w:lang w:bidi="ar"/>
                <w14:textFill>
                  <w14:solidFill>
                    <w14:schemeClr w14:val="tx1"/>
                  </w14:solidFill>
                </w14:textFill>
              </w:rPr>
              <w:t>3</w:t>
            </w:r>
            <w:r>
              <w:rPr>
                <w:rFonts w:hint="eastAsia" w:cs="宋体"/>
                <w:color w:val="000000" w:themeColor="text1"/>
                <w:kern w:val="0"/>
                <w:sz w:val="24"/>
                <w:highlight w:val="none"/>
                <w:lang w:bidi="ar"/>
                <w14:textFill>
                  <w14:solidFill>
                    <w14:schemeClr w14:val="tx1"/>
                  </w14:solidFill>
                </w14:textFill>
              </w:rPr>
              <w:t>/d）处理后的水用于绿化浇灌，清洁卫生和喷洒扬尘等，不外排；项目区主导风向为西南风，龙池村位于项目西北侧为风向侧，受废气影响</w:t>
            </w:r>
            <w:r>
              <w:rPr>
                <w:rStyle w:val="26"/>
                <w:rFonts w:hint="eastAsia"/>
                <w:kern w:val="0"/>
                <w:szCs w:val="20"/>
                <w:highlight w:val="none"/>
              </w:rPr>
              <w:t>较小</w:t>
            </w:r>
            <w:r>
              <w:rPr>
                <w:rFonts w:hint="eastAsia" w:cs="宋体"/>
                <w:color w:val="000000" w:themeColor="text1"/>
                <w:kern w:val="0"/>
                <w:sz w:val="24"/>
                <w:highlight w:val="none"/>
                <w:lang w:bidi="ar"/>
                <w14:textFill>
                  <w14:solidFill>
                    <w14:schemeClr w14:val="tx1"/>
                  </w14:solidFill>
                </w14:textFill>
              </w:rPr>
              <w:t>；项目夜间不运行，噪声在运营期东、南、西、北侧厂界能达到《工业企业厂界环境噪声排放标准》（GB12348-2008）中的2类（昼间60dB（A），夜间50dB（A））标准要求；固体废物处置率100%；项目周边无大型污染企业，周围的企业对本项目无制约性因素，因此，项目与周边环境是相容的。</w:t>
            </w:r>
          </w:p>
        </w:tc>
      </w:tr>
    </w:tbl>
    <w:p w14:paraId="450416EF">
      <w:pPr>
        <w:spacing w:line="360" w:lineRule="auto"/>
        <w:rPr>
          <w:color w:val="000000" w:themeColor="text1"/>
          <w:sz w:val="30"/>
          <w14:textFill>
            <w14:solidFill>
              <w14:schemeClr w14:val="tx1"/>
            </w14:solidFill>
          </w14:textFill>
        </w:rPr>
        <w:sectPr>
          <w:footerReference r:id="rId7" w:type="default"/>
          <w:pgSz w:w="11906" w:h="16838"/>
          <w:pgMar w:top="1701" w:right="1531" w:bottom="1701" w:left="1531" w:header="851" w:footer="1077" w:gutter="0"/>
          <w:pgNumType w:start="1"/>
          <w:cols w:space="720" w:num="1"/>
          <w:docGrid w:linePitch="312" w:charSpace="0"/>
        </w:sectPr>
      </w:pPr>
    </w:p>
    <w:p w14:paraId="48F0B626">
      <w:pPr>
        <w:pStyle w:val="16"/>
        <w:spacing w:before="0" w:beforeAutospacing="0" w:after="0" w:afterAutospacing="0"/>
        <w:jc w:val="center"/>
        <w:outlineLvl w:val="0"/>
        <w:rPr>
          <w:rFonts w:ascii="Times New Roman" w:hAnsi="Times New Roman"/>
          <w:snapToGrid w:val="0"/>
          <w:color w:val="000000" w:themeColor="text1"/>
          <w:sz w:val="36"/>
          <w:szCs w:val="36"/>
          <w14:textFill>
            <w14:solidFill>
              <w14:schemeClr w14:val="tx1"/>
            </w14:solidFill>
          </w14:textFill>
        </w:rPr>
      </w:pPr>
      <w:bookmarkStart w:id="5" w:name="_Toc22085"/>
      <w:r>
        <w:rPr>
          <w:rFonts w:hint="eastAsia" w:ascii="Times New Roman" w:hAnsi="Times New Roman"/>
          <w:snapToGrid w:val="0"/>
          <w:color w:val="000000" w:themeColor="text1"/>
          <w:sz w:val="36"/>
          <w:szCs w:val="36"/>
          <w14:textFill>
            <w14:solidFill>
              <w14:schemeClr w14:val="tx1"/>
            </w14:solidFill>
          </w14:textFill>
        </w:rPr>
        <w:t>二、建设项目工程分析</w:t>
      </w:r>
      <w:bookmarkEnd w:id="5"/>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587"/>
      </w:tblGrid>
      <w:tr w14:paraId="46EDC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397" w:type="dxa"/>
            <w:vAlign w:val="center"/>
          </w:tcPr>
          <w:p w14:paraId="5588BC26">
            <w:pPr>
              <w:pStyle w:val="16"/>
              <w:adjustRightInd w:val="0"/>
              <w:snapToGrid w:val="0"/>
              <w:spacing w:before="0" w:beforeAutospacing="0" w:after="0" w:afterAutospacing="0"/>
              <w:jc w:val="center"/>
              <w:rPr>
                <w:rFonts w:ascii="Times New Roman" w:hAnsi="Times New Roman" w:cs="宋体"/>
                <w:color w:val="000000" w:themeColor="text1"/>
                <w:szCs w:val="24"/>
                <w:highlight w:val="none"/>
                <w14:textFill>
                  <w14:solidFill>
                    <w14:schemeClr w14:val="tx1"/>
                  </w14:solidFill>
                </w14:textFill>
              </w:rPr>
            </w:pPr>
            <w:r>
              <w:rPr>
                <w:rFonts w:hint="eastAsia" w:ascii="Times New Roman" w:hAnsi="Times New Roman" w:cs="宋体"/>
                <w:color w:val="000000" w:themeColor="text1"/>
                <w:szCs w:val="24"/>
                <w:highlight w:val="none"/>
                <w14:textFill>
                  <w14:solidFill>
                    <w14:schemeClr w14:val="tx1"/>
                  </w14:solidFill>
                </w14:textFill>
              </w:rPr>
              <w:t>建设内容</w:t>
            </w:r>
          </w:p>
        </w:tc>
        <w:tc>
          <w:tcPr>
            <w:tcW w:w="8587" w:type="dxa"/>
          </w:tcPr>
          <w:p w14:paraId="79A6F0AB">
            <w:pPr>
              <w:widowControl/>
              <w:spacing w:line="360" w:lineRule="auto"/>
              <w:jc w:val="left"/>
              <w:rPr>
                <w:b/>
                <w:bCs/>
                <w:color w:val="000000" w:themeColor="text1"/>
                <w:kern w:val="0"/>
                <w:sz w:val="28"/>
                <w:szCs w:val="28"/>
                <w:highlight w:val="none"/>
                <w:lang w:bidi="ar"/>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1</w:t>
            </w:r>
            <w:r>
              <w:rPr>
                <w:rFonts w:hint="eastAsia"/>
                <w:b/>
                <w:bCs/>
                <w:color w:val="000000" w:themeColor="text1"/>
                <w:kern w:val="0"/>
                <w:sz w:val="28"/>
                <w:szCs w:val="28"/>
                <w:highlight w:val="none"/>
                <w:lang w:bidi="ar"/>
                <w14:textFill>
                  <w14:solidFill>
                    <w14:schemeClr w14:val="tx1"/>
                  </w14:solidFill>
                </w14:textFill>
              </w:rPr>
              <w:t>.建设规模及建设内容</w:t>
            </w:r>
          </w:p>
          <w:p w14:paraId="146BBB6C">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云南海潮集团听牧肉牛产业股份有限公司注册资本11610.75万元，于2005年成立，现公司已发展成为集肉牛良种化繁育、规模化生态化养殖、机械化屠宰及牛肉标准化精细化深加工、冷链物流配送、专卖连锁销售、特色餐饮经营和市场管理于一体的肉牛产业化国家级龙头企业。公司于2015年3月在新三板挂牌上市。截至2023年底，企业资产总额为37066.97万元，实现销售收入67377.70万元，净利润1157.58万元，主要技术合作单位为云南省草地动物科学研究院、云南农业大学动物科学院，在肉牛品种改良、疫病防治、饲养管理、畜产品研究开发等方面有较强技术力量。</w:t>
            </w:r>
          </w:p>
          <w:p w14:paraId="0401D5E9">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公司于2009年投资建设30000头/年肉牛屠宰项目，建成年屠宰3万头肉牛的机械化屠宰生产线1条，污水处理站、生活服务及综合大楼、仓储和保鲜区；2020年建设1万吨优质牛肉精深加工配送系统改建项目，新建一条10000吨/年优质牛肉精深加工生产线，配套建设冷链系统、可追溯系统、信息系统、销售系统及相应的公辅设施，形成年产牛肉10000吨的生产能力；本项目新增50000只/年的肉羊屠宰线加工及配送系统技术改造项目。</w:t>
            </w:r>
          </w:p>
          <w:p w14:paraId="5577FD8C">
            <w:pPr>
              <w:widowControl/>
              <w:spacing w:line="360" w:lineRule="auto"/>
              <w:ind w:firstLine="480" w:firstLineChars="200"/>
              <w:jc w:val="left"/>
              <w:rPr>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本项目位于云南省昆明市寻甸县羊街镇龙池村，</w:t>
            </w:r>
            <w:r>
              <w:rPr>
                <w:color w:val="000000" w:themeColor="text1"/>
                <w:kern w:val="0"/>
                <w:sz w:val="24"/>
                <w:highlight w:val="none"/>
                <w:lang w:bidi="ar"/>
                <w14:textFill>
                  <w14:solidFill>
                    <w14:schemeClr w14:val="tx1"/>
                  </w14:solidFill>
                </w14:textFill>
              </w:rPr>
              <w:t>主要进行肉羊屠宰加工车间的改造</w:t>
            </w:r>
            <w:r>
              <w:rPr>
                <w:rFonts w:hint="eastAsia"/>
                <w:color w:val="000000" w:themeColor="text1"/>
                <w:kern w:val="0"/>
                <w:sz w:val="24"/>
                <w:highlight w:val="none"/>
                <w:lang w:bidi="ar"/>
                <w14:textFill>
                  <w14:solidFill>
                    <w14:schemeClr w14:val="tx1"/>
                  </w14:solidFill>
                </w14:textFill>
              </w:rPr>
              <w:t>及</w:t>
            </w:r>
            <w:r>
              <w:rPr>
                <w:rFonts w:hint="eastAsia" w:cs="宋体"/>
                <w:color w:val="000000" w:themeColor="text1"/>
                <w:kern w:val="0"/>
                <w:sz w:val="24"/>
                <w:highlight w:val="none"/>
                <w:lang w:bidi="ar"/>
                <w14:textFill>
                  <w14:solidFill>
                    <w14:schemeClr w14:val="tx1"/>
                  </w14:solidFill>
                </w14:textFill>
              </w:rPr>
              <w:t>配送系统技术改造</w:t>
            </w:r>
            <w:r>
              <w:rPr>
                <w:rFonts w:hint="eastAsia"/>
                <w:color w:val="000000" w:themeColor="text1"/>
                <w:kern w:val="0"/>
                <w:sz w:val="24"/>
                <w:highlight w:val="none"/>
                <w:lang w:bidi="ar"/>
                <w14:textFill>
                  <w14:solidFill>
                    <w14:schemeClr w14:val="tx1"/>
                  </w14:solidFill>
                </w14:textFill>
              </w:rPr>
              <w:t>，</w:t>
            </w:r>
            <w:r>
              <w:rPr>
                <w:rFonts w:hint="eastAsia" w:cs="宋体"/>
                <w:color w:val="000000" w:themeColor="text1"/>
                <w:kern w:val="0"/>
                <w:sz w:val="24"/>
                <w:highlight w:val="none"/>
                <w:lang w:bidi="ar"/>
                <w14:textFill>
                  <w14:solidFill>
                    <w14:schemeClr w14:val="tx1"/>
                  </w14:solidFill>
                </w14:textFill>
              </w:rPr>
              <w:t>在现有牛屠宰车间的基础上，将急宰间改建为肉羊屠宰线，将肉牛屠宰辅助轨道改建为肉羊屠宰辅助轨道，辅助轨道可实现自动化输送、人员精准分割，减少人力输出，将急宰间原有肉牛配送系统改造为肉羊配送系统。项目总建筑面积约为2314.96m</w:t>
            </w:r>
            <w:r>
              <w:rPr>
                <w:rFonts w:hint="eastAsia" w:cs="宋体"/>
                <w:color w:val="000000" w:themeColor="text1"/>
                <w:kern w:val="0"/>
                <w:sz w:val="24"/>
                <w:highlight w:val="none"/>
                <w:vertAlign w:val="superscript"/>
                <w:lang w:bidi="ar"/>
                <w14:textFill>
                  <w14:solidFill>
                    <w14:schemeClr w14:val="tx1"/>
                  </w14:solidFill>
                </w14:textFill>
              </w:rPr>
              <w:t>2</w:t>
            </w:r>
            <w:r>
              <w:rPr>
                <w:rFonts w:hint="eastAsia" w:cs="宋体"/>
                <w:color w:val="000000" w:themeColor="text1"/>
                <w:kern w:val="0"/>
                <w:sz w:val="24"/>
                <w:highlight w:val="none"/>
                <w:lang w:bidi="ar"/>
                <w14:textFill>
                  <w14:solidFill>
                    <w14:schemeClr w14:val="tx1"/>
                  </w14:solidFill>
                </w14:textFill>
              </w:rPr>
              <w:t>。</w:t>
            </w:r>
            <w:r>
              <w:rPr>
                <w:color w:val="000000" w:themeColor="text1"/>
                <w:kern w:val="0"/>
                <w:sz w:val="24"/>
                <w:highlight w:val="none"/>
                <w:lang w:bidi="ar"/>
                <w14:textFill>
                  <w14:solidFill>
                    <w14:schemeClr w14:val="tx1"/>
                  </w14:solidFill>
                </w14:textFill>
              </w:rPr>
              <w:t>项目内容主要包括：554.97</w:t>
            </w:r>
            <w:r>
              <w:rPr>
                <w:rFonts w:hint="eastAsia" w:cs="宋体"/>
                <w:color w:val="000000" w:themeColor="text1"/>
                <w:kern w:val="0"/>
                <w:sz w:val="24"/>
                <w:highlight w:val="none"/>
                <w:lang w:bidi="ar"/>
                <w14:textFill>
                  <w14:solidFill>
                    <w14:schemeClr w14:val="tx1"/>
                  </w14:solidFill>
                </w14:textFill>
              </w:rPr>
              <w:t>m</w:t>
            </w:r>
            <w:r>
              <w:rPr>
                <w:rFonts w:hint="eastAsia" w:cs="宋体"/>
                <w:color w:val="000000" w:themeColor="text1"/>
                <w:kern w:val="0"/>
                <w:sz w:val="24"/>
                <w:highlight w:val="none"/>
                <w:vertAlign w:val="superscript"/>
                <w:lang w:bidi="ar"/>
                <w14:textFill>
                  <w14:solidFill>
                    <w14:schemeClr w14:val="tx1"/>
                  </w14:solidFill>
                </w14:textFill>
              </w:rPr>
              <w:t>2</w:t>
            </w:r>
            <w:r>
              <w:rPr>
                <w:color w:val="000000" w:themeColor="text1"/>
                <w:kern w:val="0"/>
                <w:sz w:val="24"/>
                <w:highlight w:val="none"/>
                <w:lang w:bidi="ar"/>
                <w14:textFill>
                  <w14:solidFill>
                    <w14:schemeClr w14:val="tx1"/>
                  </w14:solidFill>
                </w14:textFill>
              </w:rPr>
              <w:t>的屠宰加工车间改造</w:t>
            </w:r>
            <w:r>
              <w:rPr>
                <w:rFonts w:hint="eastAsia"/>
                <w:color w:val="000000" w:themeColor="text1"/>
                <w:kern w:val="0"/>
                <w:sz w:val="24"/>
                <w:highlight w:val="none"/>
                <w:lang w:bidi="ar"/>
                <w14:textFill>
                  <w14:solidFill>
                    <w14:schemeClr w14:val="tx1"/>
                  </w14:solidFill>
                </w14:textFill>
              </w:rPr>
              <w:t>、760</w:t>
            </w:r>
            <w:r>
              <w:rPr>
                <w:rFonts w:hint="eastAsia" w:cs="宋体"/>
                <w:color w:val="000000" w:themeColor="text1"/>
                <w:kern w:val="0"/>
                <w:sz w:val="24"/>
                <w:highlight w:val="none"/>
                <w:lang w:bidi="ar"/>
                <w14:textFill>
                  <w14:solidFill>
                    <w14:schemeClr w14:val="tx1"/>
                  </w14:solidFill>
                </w14:textFill>
              </w:rPr>
              <w:t>m</w:t>
            </w:r>
            <w:r>
              <w:rPr>
                <w:rFonts w:hint="eastAsia" w:cs="宋体"/>
                <w:color w:val="000000" w:themeColor="text1"/>
                <w:kern w:val="0"/>
                <w:sz w:val="24"/>
                <w:highlight w:val="none"/>
                <w:vertAlign w:val="superscript"/>
                <w:lang w:bidi="ar"/>
                <w14:textFill>
                  <w14:solidFill>
                    <w14:schemeClr w14:val="tx1"/>
                  </w14:solidFill>
                </w14:textFill>
              </w:rPr>
              <w:t>2</w:t>
            </w:r>
            <w:r>
              <w:rPr>
                <w:color w:val="000000" w:themeColor="text1"/>
                <w:kern w:val="0"/>
                <w:sz w:val="24"/>
                <w:highlight w:val="none"/>
                <w:lang w:bidi="ar"/>
                <w14:textFill>
                  <w14:solidFill>
                    <w14:schemeClr w14:val="tx1"/>
                  </w14:solidFill>
                </w14:textFill>
              </w:rPr>
              <w:t>的待宰圈舍</w:t>
            </w:r>
            <w:r>
              <w:rPr>
                <w:rFonts w:hint="eastAsia"/>
                <w:color w:val="000000" w:themeColor="text1"/>
                <w:kern w:val="0"/>
                <w:sz w:val="24"/>
                <w:highlight w:val="none"/>
                <w:lang w:bidi="ar"/>
                <w14:textFill>
                  <w14:solidFill>
                    <w14:schemeClr w14:val="tx1"/>
                  </w14:solidFill>
                </w14:textFill>
              </w:rPr>
              <w:t>、1000</w:t>
            </w:r>
            <w:r>
              <w:rPr>
                <w:rFonts w:hint="eastAsia" w:cs="宋体"/>
                <w:color w:val="000000" w:themeColor="text1"/>
                <w:kern w:val="0"/>
                <w:sz w:val="24"/>
                <w:highlight w:val="none"/>
                <w:lang w:bidi="ar"/>
                <w14:textFill>
                  <w14:solidFill>
                    <w14:schemeClr w14:val="tx1"/>
                  </w14:solidFill>
                </w14:textFill>
              </w:rPr>
              <w:t>m</w:t>
            </w:r>
            <w:r>
              <w:rPr>
                <w:rFonts w:hint="eastAsia" w:cs="宋体"/>
                <w:color w:val="000000" w:themeColor="text1"/>
                <w:kern w:val="0"/>
                <w:sz w:val="24"/>
                <w:highlight w:val="none"/>
                <w:vertAlign w:val="superscript"/>
                <w:lang w:bidi="ar"/>
                <w14:textFill>
                  <w14:solidFill>
                    <w14:schemeClr w14:val="tx1"/>
                  </w14:solidFill>
                </w14:textFill>
              </w:rPr>
              <w:t>2</w:t>
            </w:r>
            <w:r>
              <w:rPr>
                <w:color w:val="000000" w:themeColor="text1"/>
                <w:kern w:val="0"/>
                <w:sz w:val="24"/>
                <w:highlight w:val="none"/>
                <w:lang w:bidi="ar"/>
                <w14:textFill>
                  <w14:solidFill>
                    <w14:schemeClr w14:val="tx1"/>
                  </w14:solidFill>
                </w14:textFill>
              </w:rPr>
              <w:t>的仓储保鲜区</w:t>
            </w:r>
            <w:r>
              <w:rPr>
                <w:rFonts w:hint="eastAsia"/>
                <w:color w:val="000000" w:themeColor="text1"/>
                <w:kern w:val="0"/>
                <w:sz w:val="24"/>
                <w:highlight w:val="none"/>
                <w:lang w:bidi="ar"/>
                <w14:textFill>
                  <w14:solidFill>
                    <w14:schemeClr w14:val="tx1"/>
                  </w14:solidFill>
                </w14:textFill>
              </w:rPr>
              <w:t>、</w:t>
            </w:r>
            <w:r>
              <w:rPr>
                <w:color w:val="000000" w:themeColor="text1"/>
                <w:kern w:val="0"/>
                <w:sz w:val="24"/>
                <w:highlight w:val="none"/>
                <w:lang w:bidi="ar"/>
                <w14:textFill>
                  <w14:solidFill>
                    <w14:schemeClr w14:val="tx1"/>
                  </w14:solidFill>
                </w14:textFill>
              </w:rPr>
              <w:t>设备</w:t>
            </w:r>
            <w:r>
              <w:rPr>
                <w:rFonts w:hint="eastAsia"/>
                <w:color w:val="000000" w:themeColor="text1"/>
                <w:kern w:val="0"/>
                <w:sz w:val="24"/>
                <w:highlight w:val="none"/>
                <w:lang w:bidi="ar"/>
                <w14:textFill>
                  <w14:solidFill>
                    <w14:schemeClr w14:val="tx1"/>
                  </w14:solidFill>
                </w14:textFill>
              </w:rPr>
              <w:t>及</w:t>
            </w:r>
            <w:r>
              <w:rPr>
                <w:color w:val="000000" w:themeColor="text1"/>
                <w:kern w:val="0"/>
                <w:sz w:val="24"/>
                <w:highlight w:val="none"/>
                <w:lang w:bidi="ar"/>
                <w14:textFill>
                  <w14:solidFill>
                    <w14:schemeClr w14:val="tx1"/>
                  </w14:solidFill>
                </w14:textFill>
              </w:rPr>
              <w:t>相关附属设施。</w:t>
            </w:r>
            <w:r>
              <w:rPr>
                <w:rFonts w:hint="eastAsia" w:cs="宋体"/>
                <w:color w:val="000000" w:themeColor="text1"/>
                <w:kern w:val="0"/>
                <w:sz w:val="24"/>
                <w:highlight w:val="none"/>
                <w:lang w:bidi="ar"/>
                <w14:textFill>
                  <w14:solidFill>
                    <w14:schemeClr w14:val="tx1"/>
                  </w14:solidFill>
                </w14:textFill>
              </w:rPr>
              <w:t>项目建设内容主要包括主体工程、辅助工程及环保工程。</w:t>
            </w:r>
          </w:p>
          <w:p w14:paraId="7746BCA5">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根据项目实际情况，排水系统、供电系统、卫生间等均依托云南海潮集团听牧肉牛产业股份有限公司原已有设施，本项目不再单独建设。详情见附件8。</w:t>
            </w:r>
          </w:p>
          <w:p w14:paraId="6FC00F82">
            <w:pPr>
              <w:widowControl/>
              <w:spacing w:line="360" w:lineRule="auto"/>
              <w:ind w:firstLine="480" w:firstLineChars="200"/>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根据建设单位提供资料，本项目主要建设内容见表</w:t>
            </w:r>
            <w:r>
              <w:rPr>
                <w:color w:val="000000" w:themeColor="text1"/>
                <w:kern w:val="0"/>
                <w:sz w:val="24"/>
                <w:highlight w:val="none"/>
                <w:lang w:bidi="ar"/>
                <w14:textFill>
                  <w14:solidFill>
                    <w14:schemeClr w14:val="tx1"/>
                  </w14:solidFill>
                </w14:textFill>
              </w:rPr>
              <w:t>2-1</w:t>
            </w:r>
            <w:r>
              <w:rPr>
                <w:rFonts w:hint="eastAsia" w:cs="宋体"/>
                <w:color w:val="000000" w:themeColor="text1"/>
                <w:kern w:val="0"/>
                <w:sz w:val="24"/>
                <w:highlight w:val="none"/>
                <w:lang w:bidi="ar"/>
                <w14:textFill>
                  <w14:solidFill>
                    <w14:schemeClr w14:val="tx1"/>
                  </w14:solidFill>
                </w14:textFill>
              </w:rPr>
              <w:t>。</w:t>
            </w:r>
          </w:p>
          <w:p w14:paraId="361FDAF3">
            <w:pPr>
              <w:pStyle w:val="30"/>
              <w:rPr>
                <w:rFonts w:hint="default"/>
                <w:highlight w:val="none"/>
              </w:rPr>
            </w:pPr>
            <w:r>
              <w:rPr>
                <w:highlight w:val="none"/>
              </w:rPr>
              <w:t>表2-1项目主要建设内容一览表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1"/>
              <w:gridCol w:w="768"/>
              <w:gridCol w:w="510"/>
              <w:gridCol w:w="2780"/>
              <w:gridCol w:w="2114"/>
              <w:gridCol w:w="1885"/>
            </w:tblGrid>
            <w:tr w14:paraId="2A02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Align w:val="center"/>
                </w:tcPr>
                <w:p w14:paraId="7F1F6554">
                  <w:pPr>
                    <w:pStyle w:val="28"/>
                    <w:rPr>
                      <w:b/>
                      <w:bCs/>
                      <w:highlight w:val="none"/>
                    </w:rPr>
                  </w:pPr>
                  <w:r>
                    <w:rPr>
                      <w:rFonts w:hint="eastAsia"/>
                      <w:b/>
                      <w:bCs/>
                      <w:highlight w:val="none"/>
                    </w:rPr>
                    <w:t>类别</w:t>
                  </w:r>
                </w:p>
              </w:tc>
              <w:tc>
                <w:tcPr>
                  <w:tcW w:w="764" w:type="pct"/>
                  <w:gridSpan w:val="2"/>
                  <w:vAlign w:val="center"/>
                </w:tcPr>
                <w:p w14:paraId="727F4B89">
                  <w:pPr>
                    <w:pStyle w:val="28"/>
                    <w:rPr>
                      <w:b/>
                      <w:bCs/>
                      <w:highlight w:val="none"/>
                    </w:rPr>
                  </w:pPr>
                  <w:r>
                    <w:rPr>
                      <w:rFonts w:hint="eastAsia"/>
                      <w:b/>
                      <w:bCs/>
                      <w:highlight w:val="none"/>
                    </w:rPr>
                    <w:t>工程名称</w:t>
                  </w:r>
                </w:p>
              </w:tc>
              <w:tc>
                <w:tcPr>
                  <w:tcW w:w="1662" w:type="pct"/>
                  <w:vAlign w:val="center"/>
                </w:tcPr>
                <w:p w14:paraId="1881C913">
                  <w:pPr>
                    <w:pStyle w:val="28"/>
                    <w:rPr>
                      <w:b/>
                      <w:bCs/>
                      <w:highlight w:val="none"/>
                    </w:rPr>
                  </w:pPr>
                  <w:r>
                    <w:rPr>
                      <w:rFonts w:hint="eastAsia"/>
                      <w:b/>
                      <w:bCs/>
                      <w:highlight w:val="none"/>
                    </w:rPr>
                    <w:t>改建前情况</w:t>
                  </w:r>
                </w:p>
              </w:tc>
              <w:tc>
                <w:tcPr>
                  <w:tcW w:w="1264" w:type="pct"/>
                  <w:vAlign w:val="center"/>
                </w:tcPr>
                <w:p w14:paraId="460B8C95">
                  <w:pPr>
                    <w:pStyle w:val="28"/>
                    <w:rPr>
                      <w:b/>
                      <w:bCs/>
                      <w:highlight w:val="none"/>
                    </w:rPr>
                  </w:pPr>
                  <w:r>
                    <w:rPr>
                      <w:rFonts w:hint="eastAsia"/>
                      <w:b/>
                      <w:bCs/>
                      <w:highlight w:val="none"/>
                    </w:rPr>
                    <w:t>本次改建</w:t>
                  </w:r>
                  <w:r>
                    <w:rPr>
                      <w:b/>
                      <w:bCs/>
                      <w:highlight w:val="none"/>
                    </w:rPr>
                    <w:t>内容</w:t>
                  </w:r>
                </w:p>
              </w:tc>
              <w:tc>
                <w:tcPr>
                  <w:tcW w:w="1127" w:type="pct"/>
                  <w:vAlign w:val="center"/>
                </w:tcPr>
                <w:p w14:paraId="441D1030">
                  <w:pPr>
                    <w:pStyle w:val="28"/>
                    <w:rPr>
                      <w:b/>
                      <w:bCs/>
                      <w:highlight w:val="none"/>
                    </w:rPr>
                  </w:pPr>
                  <w:r>
                    <w:rPr>
                      <w:rFonts w:hint="eastAsia"/>
                      <w:b/>
                      <w:bCs/>
                      <w:highlight w:val="none"/>
                    </w:rPr>
                    <w:t>改建后变化情况</w:t>
                  </w:r>
                </w:p>
              </w:tc>
            </w:tr>
            <w:tr w14:paraId="707A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restart"/>
                  <w:vAlign w:val="center"/>
                </w:tcPr>
                <w:p w14:paraId="49D9CD84">
                  <w:pPr>
                    <w:pStyle w:val="28"/>
                    <w:rPr>
                      <w:highlight w:val="none"/>
                    </w:rPr>
                  </w:pPr>
                  <w:r>
                    <w:rPr>
                      <w:rFonts w:hint="eastAsia"/>
                      <w:highlight w:val="none"/>
                    </w:rPr>
                    <w:t>主体工程</w:t>
                  </w:r>
                </w:p>
              </w:tc>
              <w:tc>
                <w:tcPr>
                  <w:tcW w:w="764" w:type="pct"/>
                  <w:gridSpan w:val="2"/>
                  <w:vAlign w:val="center"/>
                </w:tcPr>
                <w:p w14:paraId="43AE2E46">
                  <w:pPr>
                    <w:pStyle w:val="28"/>
                    <w:rPr>
                      <w:highlight w:val="none"/>
                    </w:rPr>
                  </w:pPr>
                  <w:r>
                    <w:rPr>
                      <w:rFonts w:hint="eastAsia"/>
                      <w:highlight w:val="none"/>
                    </w:rPr>
                    <w:t>临时待宰区</w:t>
                  </w:r>
                </w:p>
              </w:tc>
              <w:tc>
                <w:tcPr>
                  <w:tcW w:w="1662" w:type="pct"/>
                  <w:vAlign w:val="center"/>
                </w:tcPr>
                <w:p w14:paraId="0C320DCC">
                  <w:pPr>
                    <w:pStyle w:val="28"/>
                    <w:rPr>
                      <w:highlight w:val="none"/>
                    </w:rPr>
                  </w:pPr>
                  <w:r>
                    <w:rPr>
                      <w:rFonts w:hint="eastAsia"/>
                      <w:highlight w:val="none"/>
                    </w:rPr>
                    <w:t>30000头/肉牛屠宰项目建设</w:t>
                  </w:r>
                  <w:r>
                    <w:rPr>
                      <w:rFonts w:hint="eastAsia"/>
                      <w:highlight w:val="none"/>
                      <w:lang w:val="en-US" w:eastAsia="zh-CN"/>
                    </w:rPr>
                    <w:t>2200</w:t>
                  </w:r>
                  <w:r>
                    <w:rPr>
                      <w:rFonts w:hint="eastAsia"/>
                      <w:highlight w:val="none"/>
                    </w:rPr>
                    <w:t>m</w:t>
                  </w:r>
                  <w:r>
                    <w:rPr>
                      <w:rFonts w:hint="eastAsia"/>
                      <w:highlight w:val="none"/>
                      <w:vertAlign w:val="superscript"/>
                    </w:rPr>
                    <w:t>2</w:t>
                  </w:r>
                  <w:r>
                    <w:rPr>
                      <w:rFonts w:hint="eastAsia"/>
                      <w:highlight w:val="none"/>
                    </w:rPr>
                    <w:t>的</w:t>
                  </w:r>
                  <w:r>
                    <w:rPr>
                      <w:rFonts w:hint="eastAsia"/>
                      <w:highlight w:val="none"/>
                      <w:lang w:val="en-US" w:eastAsia="zh-CN"/>
                    </w:rPr>
                    <w:t>圈舍</w:t>
                  </w:r>
                  <w:r>
                    <w:rPr>
                      <w:rFonts w:hint="eastAsia"/>
                      <w:highlight w:val="none"/>
                    </w:rPr>
                    <w:t>作为牛待宰区。根据项目实际生产需求，建设单位2007年底于污水处理站西南侧建成一间2000m</w:t>
                  </w:r>
                  <w:r>
                    <w:rPr>
                      <w:rFonts w:hint="eastAsia"/>
                      <w:highlight w:val="none"/>
                      <w:vertAlign w:val="superscript"/>
                    </w:rPr>
                    <w:t>2</w:t>
                  </w:r>
                  <w:r>
                    <w:rPr>
                      <w:rFonts w:hint="eastAsia"/>
                      <w:highlight w:val="none"/>
                    </w:rPr>
                    <w:t>的简易大棚作为牛待宰区，2014年7月于污水处理站西侧建成一间2400m</w:t>
                  </w:r>
                  <w:r>
                    <w:rPr>
                      <w:rFonts w:hint="eastAsia"/>
                      <w:highlight w:val="none"/>
                      <w:vertAlign w:val="superscript"/>
                    </w:rPr>
                    <w:t>2</w:t>
                  </w:r>
                  <w:r>
                    <w:rPr>
                      <w:rFonts w:hint="eastAsia"/>
                      <w:highlight w:val="none"/>
                    </w:rPr>
                    <w:t>的简易大棚作为牛待宰区。</w:t>
                  </w:r>
                </w:p>
              </w:tc>
              <w:tc>
                <w:tcPr>
                  <w:tcW w:w="2119" w:type="dxa"/>
                  <w:vAlign w:val="center"/>
                </w:tcPr>
                <w:p w14:paraId="774800D4">
                  <w:pPr>
                    <w:pStyle w:val="28"/>
                    <w:ind w:firstLine="0" w:firstLineChars="0"/>
                    <w:rPr>
                      <w:highlight w:val="none"/>
                    </w:rPr>
                  </w:pPr>
                  <w:r>
                    <w:rPr>
                      <w:rFonts w:hint="eastAsia"/>
                      <w:highlight w:val="none"/>
                    </w:rPr>
                    <w:t>本次改建不涉及</w:t>
                  </w:r>
                </w:p>
              </w:tc>
              <w:tc>
                <w:tcPr>
                  <w:tcW w:w="1890" w:type="dxa"/>
                  <w:vAlign w:val="center"/>
                </w:tcPr>
                <w:p w14:paraId="2054CE49">
                  <w:pPr>
                    <w:pStyle w:val="28"/>
                    <w:ind w:firstLine="0" w:firstLineChars="0"/>
                    <w:rPr>
                      <w:highlight w:val="none"/>
                    </w:rPr>
                  </w:pPr>
                  <w:r>
                    <w:rPr>
                      <w:rFonts w:hint="eastAsia"/>
                      <w:highlight w:val="none"/>
                    </w:rPr>
                    <w:t>改建前后不变</w:t>
                  </w:r>
                </w:p>
              </w:tc>
            </w:tr>
            <w:tr w14:paraId="21F7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2A0DCA9D">
                  <w:pPr>
                    <w:pStyle w:val="28"/>
                    <w:rPr>
                      <w:highlight w:val="none"/>
                    </w:rPr>
                  </w:pPr>
                </w:p>
              </w:tc>
              <w:tc>
                <w:tcPr>
                  <w:tcW w:w="764" w:type="pct"/>
                  <w:gridSpan w:val="2"/>
                  <w:vAlign w:val="center"/>
                </w:tcPr>
                <w:p w14:paraId="6E22BE60">
                  <w:pPr>
                    <w:pStyle w:val="28"/>
                    <w:rPr>
                      <w:highlight w:val="none"/>
                    </w:rPr>
                  </w:pPr>
                  <w:r>
                    <w:rPr>
                      <w:rFonts w:hint="eastAsia"/>
                      <w:highlight w:val="none"/>
                    </w:rPr>
                    <w:t>屠宰区</w:t>
                  </w:r>
                </w:p>
              </w:tc>
              <w:tc>
                <w:tcPr>
                  <w:tcW w:w="1662" w:type="pct"/>
                  <w:vAlign w:val="center"/>
                </w:tcPr>
                <w:p w14:paraId="45EE64CE">
                  <w:pPr>
                    <w:pStyle w:val="28"/>
                    <w:rPr>
                      <w:highlight w:val="none"/>
                    </w:rPr>
                  </w:pPr>
                  <w:r>
                    <w:rPr>
                      <w:rFonts w:hint="eastAsia"/>
                      <w:highlight w:val="none"/>
                    </w:rPr>
                    <w:t>建设占地面积为3000m</w:t>
                  </w:r>
                  <w:r>
                    <w:rPr>
                      <w:rFonts w:hint="eastAsia"/>
                      <w:highlight w:val="none"/>
                      <w:vertAlign w:val="superscript"/>
                    </w:rPr>
                    <w:t>2</w:t>
                  </w:r>
                  <w:r>
                    <w:rPr>
                      <w:rFonts w:hint="eastAsia"/>
                      <w:highlight w:val="none"/>
                    </w:rPr>
                    <w:t>，结构为钢结构的屠宰车间。面积为554.97m</w:t>
                  </w:r>
                  <w:r>
                    <w:rPr>
                      <w:rFonts w:hint="eastAsia"/>
                      <w:highlight w:val="none"/>
                      <w:vertAlign w:val="superscript"/>
                    </w:rPr>
                    <w:t>2</w:t>
                  </w:r>
                  <w:r>
                    <w:rPr>
                      <w:rFonts w:hint="eastAsia"/>
                      <w:highlight w:val="none"/>
                    </w:rPr>
                    <w:t>的急宰间及一条30000头/年肉牛屠宰的生产线。一条辅助轨道及肉牛配送运输车辆。急宰间主要是用于紧急屠宰运输过程中导致伤残的牛，其主要目的是保障食品安全、减少动物痛苦。主要污染物有屠宰废气、废水和牛肠胃内容物。</w:t>
                  </w:r>
                </w:p>
              </w:tc>
              <w:tc>
                <w:tcPr>
                  <w:tcW w:w="1264" w:type="pct"/>
                  <w:vAlign w:val="center"/>
                </w:tcPr>
                <w:p w14:paraId="659E1D75">
                  <w:pPr>
                    <w:pStyle w:val="28"/>
                    <w:rPr>
                      <w:highlight w:val="none"/>
                    </w:rPr>
                  </w:pPr>
                  <w:r>
                    <w:rPr>
                      <w:rFonts w:hint="eastAsia"/>
                      <w:highlight w:val="none"/>
                    </w:rPr>
                    <w:t>将占地面积为554.97m</w:t>
                  </w:r>
                  <w:r>
                    <w:rPr>
                      <w:rFonts w:hint="eastAsia"/>
                      <w:highlight w:val="none"/>
                      <w:vertAlign w:val="superscript"/>
                    </w:rPr>
                    <w:t>2</w:t>
                  </w:r>
                  <w:r>
                    <w:rPr>
                      <w:rFonts w:hint="eastAsia"/>
                      <w:highlight w:val="none"/>
                    </w:rPr>
                    <w:t>的急宰间改建为肉羊屠宰线</w:t>
                  </w:r>
                  <w:r>
                    <w:rPr>
                      <w:highlight w:val="none"/>
                    </w:rPr>
                    <w:t>，主要进行</w:t>
                  </w:r>
                  <w:r>
                    <w:rPr>
                      <w:rFonts w:hint="eastAsia"/>
                      <w:highlight w:val="none"/>
                    </w:rPr>
                    <w:t>肉羊的屠宰工作</w:t>
                  </w:r>
                  <w:r>
                    <w:rPr>
                      <w:highlight w:val="none"/>
                    </w:rPr>
                    <w:t>。</w:t>
                  </w:r>
                  <w:r>
                    <w:rPr>
                      <w:rFonts w:hint="eastAsia"/>
                      <w:highlight w:val="none"/>
                    </w:rPr>
                    <w:t>增加设备及将宰牛的辅助轨道改造为宰羊的辅助轨道，将肉牛配送运输车辆改为肉羊运输车辆。</w:t>
                  </w:r>
                </w:p>
              </w:tc>
              <w:tc>
                <w:tcPr>
                  <w:tcW w:w="1127" w:type="pct"/>
                  <w:vAlign w:val="center"/>
                </w:tcPr>
                <w:p w14:paraId="7DDCFD8C">
                  <w:pPr>
                    <w:pStyle w:val="28"/>
                    <w:rPr>
                      <w:highlight w:val="none"/>
                    </w:rPr>
                  </w:pPr>
                  <w:r>
                    <w:rPr>
                      <w:rFonts w:hint="eastAsia"/>
                      <w:highlight w:val="none"/>
                    </w:rPr>
                    <w:t>原有占地面积为554.97m</w:t>
                  </w:r>
                  <w:r>
                    <w:rPr>
                      <w:rFonts w:hint="eastAsia"/>
                      <w:highlight w:val="none"/>
                      <w:vertAlign w:val="superscript"/>
                    </w:rPr>
                    <w:t>2</w:t>
                  </w:r>
                  <w:r>
                    <w:rPr>
                      <w:rFonts w:hint="eastAsia"/>
                      <w:highlight w:val="none"/>
                    </w:rPr>
                    <w:t>的急宰间改建为肉羊屠宰线，改建后原有污染消失，替代成现有肉羊屠宰废气、废水和羊肠胃内容物等污染物，辅助轨道及车辆用途改变。</w:t>
                  </w:r>
                </w:p>
              </w:tc>
            </w:tr>
            <w:tr w14:paraId="25F7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3D87D079">
                  <w:pPr>
                    <w:pStyle w:val="28"/>
                    <w:rPr>
                      <w:highlight w:val="none"/>
                    </w:rPr>
                  </w:pPr>
                </w:p>
              </w:tc>
              <w:tc>
                <w:tcPr>
                  <w:tcW w:w="764" w:type="pct"/>
                  <w:gridSpan w:val="2"/>
                  <w:vAlign w:val="center"/>
                </w:tcPr>
                <w:p w14:paraId="1E559577">
                  <w:pPr>
                    <w:pStyle w:val="28"/>
                    <w:rPr>
                      <w:highlight w:val="none"/>
                    </w:rPr>
                  </w:pPr>
                  <w:r>
                    <w:rPr>
                      <w:rFonts w:hint="eastAsia"/>
                      <w:highlight w:val="none"/>
                    </w:rPr>
                    <w:t>仓储和保鲜区</w:t>
                  </w:r>
                </w:p>
              </w:tc>
              <w:tc>
                <w:tcPr>
                  <w:tcW w:w="1662" w:type="pct"/>
                  <w:vAlign w:val="center"/>
                </w:tcPr>
                <w:p w14:paraId="5453B219">
                  <w:pPr>
                    <w:pStyle w:val="28"/>
                    <w:rPr>
                      <w:highlight w:val="none"/>
                    </w:rPr>
                  </w:pPr>
                  <w:r>
                    <w:rPr>
                      <w:rFonts w:hint="eastAsia"/>
                      <w:highlight w:val="none"/>
                    </w:rPr>
                    <w:t>建设占地面积为1500m</w:t>
                  </w:r>
                  <w:r>
                    <w:rPr>
                      <w:rFonts w:hint="eastAsia"/>
                      <w:highlight w:val="none"/>
                      <w:vertAlign w:val="superscript"/>
                    </w:rPr>
                    <w:t>2</w:t>
                  </w:r>
                  <w:r>
                    <w:rPr>
                      <w:rFonts w:hint="eastAsia"/>
                      <w:highlight w:val="none"/>
                    </w:rPr>
                    <w:t>，建筑面积1000m</w:t>
                  </w:r>
                  <w:r>
                    <w:rPr>
                      <w:rFonts w:hint="eastAsia"/>
                      <w:highlight w:val="none"/>
                      <w:vertAlign w:val="superscript"/>
                    </w:rPr>
                    <w:t>2</w:t>
                  </w:r>
                  <w:r>
                    <w:rPr>
                      <w:rFonts w:hint="eastAsia"/>
                      <w:highlight w:val="none"/>
                    </w:rPr>
                    <w:t>（一层）的仓库作为仓储和保鲜区，对牛肉进行存储和保鲜。</w:t>
                  </w:r>
                </w:p>
              </w:tc>
              <w:tc>
                <w:tcPr>
                  <w:tcW w:w="1264" w:type="pct"/>
                  <w:vAlign w:val="center"/>
                </w:tcPr>
                <w:p w14:paraId="29E447F1">
                  <w:pPr>
                    <w:pStyle w:val="28"/>
                    <w:rPr>
                      <w:highlight w:val="none"/>
                    </w:rPr>
                  </w:pPr>
                  <w:r>
                    <w:rPr>
                      <w:rFonts w:hint="eastAsia"/>
                      <w:highlight w:val="none"/>
                    </w:rPr>
                    <w:t>使用原有建设占地面积为1500m</w:t>
                  </w:r>
                  <w:r>
                    <w:rPr>
                      <w:rFonts w:hint="eastAsia"/>
                      <w:highlight w:val="none"/>
                      <w:vertAlign w:val="superscript"/>
                    </w:rPr>
                    <w:t>2</w:t>
                  </w:r>
                  <w:r>
                    <w:rPr>
                      <w:rFonts w:hint="eastAsia"/>
                      <w:highlight w:val="none"/>
                    </w:rPr>
                    <w:t>，建筑面积1000m</w:t>
                  </w:r>
                  <w:r>
                    <w:rPr>
                      <w:rFonts w:hint="eastAsia"/>
                      <w:highlight w:val="none"/>
                      <w:vertAlign w:val="superscript"/>
                    </w:rPr>
                    <w:t>2</w:t>
                  </w:r>
                  <w:r>
                    <w:rPr>
                      <w:rFonts w:hint="eastAsia"/>
                      <w:highlight w:val="none"/>
                    </w:rPr>
                    <w:t>（一层）的仓库作为仓储和保鲜区。对羊肉进行存储和保鲜。</w:t>
                  </w:r>
                </w:p>
              </w:tc>
              <w:tc>
                <w:tcPr>
                  <w:tcW w:w="1127" w:type="pct"/>
                  <w:vAlign w:val="center"/>
                </w:tcPr>
                <w:p w14:paraId="35A8C0BE">
                  <w:pPr>
                    <w:pStyle w:val="28"/>
                    <w:rPr>
                      <w:highlight w:val="none"/>
                    </w:rPr>
                  </w:pPr>
                  <w:r>
                    <w:rPr>
                      <w:rFonts w:hint="eastAsia"/>
                      <w:highlight w:val="none"/>
                    </w:rPr>
                    <w:t>本次改建项目将羊肉储存于仓储和保鲜区中。</w:t>
                  </w:r>
                </w:p>
              </w:tc>
            </w:tr>
            <w:tr w14:paraId="7AD2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0CBEA20B">
                  <w:pPr>
                    <w:pStyle w:val="28"/>
                    <w:rPr>
                      <w:highlight w:val="none"/>
                    </w:rPr>
                  </w:pPr>
                </w:p>
              </w:tc>
              <w:tc>
                <w:tcPr>
                  <w:tcW w:w="764" w:type="pct"/>
                  <w:gridSpan w:val="2"/>
                  <w:vAlign w:val="center"/>
                </w:tcPr>
                <w:p w14:paraId="6AAC43A2">
                  <w:pPr>
                    <w:pStyle w:val="28"/>
                    <w:rPr>
                      <w:rFonts w:hint="default" w:eastAsia="宋体"/>
                      <w:highlight w:val="none"/>
                      <w:lang w:val="en-US" w:eastAsia="zh-CN"/>
                    </w:rPr>
                  </w:pPr>
                  <w:r>
                    <w:rPr>
                      <w:rFonts w:hint="eastAsia"/>
                      <w:highlight w:val="none"/>
                      <w:lang w:val="en-US" w:eastAsia="zh-CN"/>
                    </w:rPr>
                    <w:t>青储料池</w:t>
                  </w:r>
                </w:p>
              </w:tc>
              <w:tc>
                <w:tcPr>
                  <w:tcW w:w="1662" w:type="pct"/>
                  <w:vAlign w:val="center"/>
                </w:tcPr>
                <w:p w14:paraId="5102D6BE">
                  <w:pPr>
                    <w:pStyle w:val="28"/>
                    <w:rPr>
                      <w:rFonts w:hint="default" w:eastAsia="宋体"/>
                      <w:highlight w:val="none"/>
                      <w:lang w:val="en-US" w:eastAsia="zh-CN"/>
                    </w:rPr>
                  </w:pPr>
                  <w:r>
                    <w:rPr>
                      <w:rFonts w:hint="eastAsia"/>
                      <w:highlight w:val="none"/>
                      <w:lang w:val="en-US" w:eastAsia="zh-CN"/>
                    </w:rPr>
                    <w:t>建设占地面积为760m</w:t>
                  </w:r>
                  <w:r>
                    <w:rPr>
                      <w:rFonts w:hint="eastAsia"/>
                      <w:highlight w:val="none"/>
                      <w:vertAlign w:val="superscript"/>
                      <w:lang w:val="en-US" w:eastAsia="zh-CN"/>
                    </w:rPr>
                    <w:t>2</w:t>
                  </w:r>
                  <w:r>
                    <w:rPr>
                      <w:rFonts w:hint="eastAsia"/>
                      <w:highlight w:val="none"/>
                      <w:lang w:val="en-US" w:eastAsia="zh-CN"/>
                    </w:rPr>
                    <w:t>的钢瓦结构，对青贮饲料进行储存。根据存储需求</w:t>
                  </w:r>
                  <w:r>
                    <w:rPr>
                      <w:rFonts w:hint="eastAsia"/>
                      <w:highlight w:val="none"/>
                    </w:rPr>
                    <w:t>2014年7月于污水处理站西侧</w:t>
                  </w:r>
                  <w:r>
                    <w:rPr>
                      <w:rFonts w:hint="eastAsia"/>
                      <w:highlight w:val="none"/>
                      <w:lang w:eastAsia="zh-CN"/>
                    </w:rPr>
                    <w:t>，</w:t>
                  </w:r>
                  <w:r>
                    <w:rPr>
                      <w:rFonts w:hint="eastAsia"/>
                      <w:highlight w:val="none"/>
                      <w:lang w:val="en-US" w:eastAsia="zh-CN"/>
                    </w:rPr>
                    <w:t>牛待宰区北侧</w:t>
                  </w:r>
                  <w:r>
                    <w:rPr>
                      <w:rFonts w:hint="eastAsia"/>
                      <w:highlight w:val="none"/>
                    </w:rPr>
                    <w:t>建成一间</w:t>
                  </w:r>
                  <w:r>
                    <w:rPr>
                      <w:rFonts w:hint="eastAsia"/>
                      <w:highlight w:val="none"/>
                      <w:lang w:val="en-US" w:eastAsia="zh-CN"/>
                    </w:rPr>
                    <w:t>550</w:t>
                  </w:r>
                  <w:r>
                    <w:rPr>
                      <w:rFonts w:hint="eastAsia"/>
                      <w:highlight w:val="none"/>
                    </w:rPr>
                    <w:t>m</w:t>
                  </w:r>
                  <w:r>
                    <w:rPr>
                      <w:rFonts w:hint="eastAsia"/>
                      <w:highlight w:val="none"/>
                      <w:vertAlign w:val="superscript"/>
                    </w:rPr>
                    <w:t>2</w:t>
                  </w:r>
                  <w:r>
                    <w:rPr>
                      <w:rFonts w:hint="eastAsia"/>
                      <w:highlight w:val="none"/>
                    </w:rPr>
                    <w:t>的</w:t>
                  </w:r>
                  <w:r>
                    <w:rPr>
                      <w:rFonts w:hint="eastAsia"/>
                      <w:highlight w:val="none"/>
                      <w:lang w:val="en-US" w:eastAsia="zh-CN"/>
                    </w:rPr>
                    <w:t>青储料池。</w:t>
                  </w:r>
                </w:p>
              </w:tc>
              <w:tc>
                <w:tcPr>
                  <w:tcW w:w="2119" w:type="dxa"/>
                  <w:vAlign w:val="center"/>
                </w:tcPr>
                <w:p w14:paraId="6C001AE1">
                  <w:pPr>
                    <w:pStyle w:val="28"/>
                    <w:ind w:firstLine="0" w:firstLineChars="0"/>
                    <w:rPr>
                      <w:rFonts w:hint="default" w:eastAsia="宋体"/>
                      <w:highlight w:val="none"/>
                      <w:lang w:val="en-US" w:eastAsia="zh-CN"/>
                    </w:rPr>
                  </w:pPr>
                  <w:r>
                    <w:rPr>
                      <w:rFonts w:hint="eastAsia"/>
                      <w:highlight w:val="none"/>
                    </w:rPr>
                    <w:t>将原有的760m</w:t>
                  </w:r>
                  <w:r>
                    <w:rPr>
                      <w:rFonts w:hint="eastAsia"/>
                      <w:highlight w:val="none"/>
                      <w:vertAlign w:val="superscript"/>
                    </w:rPr>
                    <w:t>2</w:t>
                  </w:r>
                  <w:r>
                    <w:rPr>
                      <w:rFonts w:hint="eastAsia"/>
                      <w:highlight w:val="none"/>
                      <w:lang w:val="en-US" w:eastAsia="zh-CN"/>
                    </w:rPr>
                    <w:t>青储料池</w:t>
                  </w:r>
                  <w:r>
                    <w:rPr>
                      <w:rFonts w:hint="eastAsia"/>
                      <w:highlight w:val="none"/>
                    </w:rPr>
                    <w:t>改建为肉羊待宰区（含宰前检疫区），位于项目区西侧，主要用于安置活羊。</w:t>
                  </w:r>
                </w:p>
              </w:tc>
              <w:tc>
                <w:tcPr>
                  <w:tcW w:w="1890" w:type="dxa"/>
                  <w:vAlign w:val="center"/>
                </w:tcPr>
                <w:p w14:paraId="039E8D32">
                  <w:pPr>
                    <w:pStyle w:val="28"/>
                    <w:ind w:firstLine="0" w:firstLineChars="0"/>
                    <w:rPr>
                      <w:rFonts w:hint="eastAsia"/>
                      <w:highlight w:val="none"/>
                    </w:rPr>
                  </w:pPr>
                  <w:r>
                    <w:rPr>
                      <w:rFonts w:hint="eastAsia"/>
                      <w:highlight w:val="none"/>
                    </w:rPr>
                    <w:t>原760m</w:t>
                  </w:r>
                  <w:r>
                    <w:rPr>
                      <w:rFonts w:hint="eastAsia"/>
                      <w:highlight w:val="none"/>
                      <w:vertAlign w:val="superscript"/>
                    </w:rPr>
                    <w:t>2</w:t>
                  </w:r>
                  <w:r>
                    <w:rPr>
                      <w:rFonts w:hint="eastAsia"/>
                      <w:highlight w:val="none"/>
                    </w:rPr>
                    <w:t>的</w:t>
                  </w:r>
                  <w:r>
                    <w:rPr>
                      <w:rFonts w:hint="eastAsia"/>
                      <w:highlight w:val="none"/>
                      <w:lang w:val="en-US" w:eastAsia="zh-CN"/>
                    </w:rPr>
                    <w:t>青储料池</w:t>
                  </w:r>
                  <w:r>
                    <w:rPr>
                      <w:rFonts w:hint="eastAsia"/>
                      <w:highlight w:val="none"/>
                    </w:rPr>
                    <w:t>改建为肉羊待宰区（含宰前检疫区）。</w:t>
                  </w:r>
                </w:p>
              </w:tc>
            </w:tr>
            <w:tr w14:paraId="176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1349B98D">
                  <w:pPr>
                    <w:pStyle w:val="28"/>
                    <w:rPr>
                      <w:highlight w:val="none"/>
                    </w:rPr>
                  </w:pPr>
                </w:p>
              </w:tc>
              <w:tc>
                <w:tcPr>
                  <w:tcW w:w="764" w:type="pct"/>
                  <w:gridSpan w:val="2"/>
                  <w:vAlign w:val="center"/>
                </w:tcPr>
                <w:p w14:paraId="5A344317">
                  <w:pPr>
                    <w:pStyle w:val="28"/>
                    <w:rPr>
                      <w:highlight w:val="none"/>
                    </w:rPr>
                  </w:pPr>
                  <w:r>
                    <w:rPr>
                      <w:rFonts w:hint="eastAsia"/>
                      <w:highlight w:val="none"/>
                    </w:rPr>
                    <w:t>精加工生产</w:t>
                  </w:r>
                </w:p>
              </w:tc>
              <w:tc>
                <w:tcPr>
                  <w:tcW w:w="1662" w:type="pct"/>
                  <w:vAlign w:val="center"/>
                </w:tcPr>
                <w:p w14:paraId="21FEBC39">
                  <w:pPr>
                    <w:pStyle w:val="28"/>
                    <w:rPr>
                      <w:highlight w:val="none"/>
                    </w:rPr>
                  </w:pPr>
                  <w:r>
                    <w:rPr>
                      <w:highlight w:val="none"/>
                    </w:rPr>
                    <w:t>精加工生产建筑</w:t>
                  </w:r>
                  <w:r>
                    <w:rPr>
                      <w:rFonts w:hint="eastAsia"/>
                      <w:highlight w:val="none"/>
                    </w:rPr>
                    <w:t>占地面积</w:t>
                  </w:r>
                  <w:r>
                    <w:rPr>
                      <w:highlight w:val="none"/>
                    </w:rPr>
                    <w:t>1980m</w:t>
                  </w:r>
                  <w:r>
                    <w:rPr>
                      <w:highlight w:val="none"/>
                      <w:vertAlign w:val="superscript"/>
                    </w:rPr>
                    <w:t>2</w:t>
                  </w:r>
                  <w:r>
                    <w:rPr>
                      <w:rFonts w:hint="eastAsia"/>
                      <w:highlight w:val="none"/>
                    </w:rPr>
                    <w:t>，</w:t>
                  </w:r>
                  <w:r>
                    <w:rPr>
                      <w:highlight w:val="none"/>
                    </w:rPr>
                    <w:t>采用双层钢架彩钢结构，柱子用H型钢，周围用砖混，扣板吊顶，贴墙砖和地板砖。一层为冷鲜肉加工车间</w:t>
                  </w:r>
                  <w:r>
                    <w:rPr>
                      <w:rFonts w:hint="eastAsia"/>
                      <w:highlight w:val="none"/>
                    </w:rPr>
                    <w:t>及</w:t>
                  </w:r>
                  <w:r>
                    <w:rPr>
                      <w:highlight w:val="none"/>
                    </w:rPr>
                    <w:t>熟肉制品车间，二层</w:t>
                  </w:r>
                  <w:r>
                    <w:rPr>
                      <w:rFonts w:hint="eastAsia"/>
                      <w:highlight w:val="none"/>
                    </w:rPr>
                    <w:t>闲置</w:t>
                  </w:r>
                  <w:r>
                    <w:rPr>
                      <w:highlight w:val="none"/>
                    </w:rPr>
                    <w:t>。熟肉制品加工车间设置有45m</w:t>
                  </w:r>
                  <w:r>
                    <w:rPr>
                      <w:highlight w:val="none"/>
                      <w:vertAlign w:val="superscript"/>
                    </w:rPr>
                    <w:t>2</w:t>
                  </w:r>
                  <w:r>
                    <w:rPr>
                      <w:highlight w:val="none"/>
                    </w:rPr>
                    <w:t>冷库一间，140m</w:t>
                  </w:r>
                  <w:r>
                    <w:rPr>
                      <w:highlight w:val="none"/>
                      <w:vertAlign w:val="superscript"/>
                    </w:rPr>
                    <w:t>2</w:t>
                  </w:r>
                  <w:r>
                    <w:rPr>
                      <w:highlight w:val="none"/>
                    </w:rPr>
                    <w:t>高温冷库（0~4℃）一间；牛肉冷鲜加工车间设置有23.6m</w:t>
                  </w:r>
                  <w:r>
                    <w:rPr>
                      <w:rFonts w:hint="eastAsia"/>
                      <w:highlight w:val="none"/>
                      <w:vertAlign w:val="superscript"/>
                    </w:rPr>
                    <w:t>2</w:t>
                  </w:r>
                  <w:r>
                    <w:rPr>
                      <w:highlight w:val="none"/>
                    </w:rPr>
                    <w:t>速冻库两间，23.6m</w:t>
                  </w:r>
                  <w:r>
                    <w:rPr>
                      <w:highlight w:val="none"/>
                      <w:vertAlign w:val="superscript"/>
                    </w:rPr>
                    <w:t>2</w:t>
                  </w:r>
                  <w:r>
                    <w:rPr>
                      <w:highlight w:val="none"/>
                    </w:rPr>
                    <w:t>高温库一间（0~4℃），72m</w:t>
                  </w:r>
                  <w:r>
                    <w:rPr>
                      <w:highlight w:val="none"/>
                      <w:vertAlign w:val="superscript"/>
                    </w:rPr>
                    <w:t>2</w:t>
                  </w:r>
                  <w:r>
                    <w:rPr>
                      <w:highlight w:val="none"/>
                    </w:rPr>
                    <w:t>成品冷库一间，87.5m</w:t>
                  </w:r>
                  <w:r>
                    <w:rPr>
                      <w:rFonts w:hint="eastAsia"/>
                      <w:highlight w:val="none"/>
                      <w:vertAlign w:val="superscript"/>
                    </w:rPr>
                    <w:t>2</w:t>
                  </w:r>
                  <w:r>
                    <w:rPr>
                      <w:highlight w:val="none"/>
                    </w:rPr>
                    <w:t>滚揉间一间（0~4°C）</w:t>
                  </w:r>
                </w:p>
              </w:tc>
              <w:tc>
                <w:tcPr>
                  <w:tcW w:w="1264" w:type="pct"/>
                  <w:vAlign w:val="center"/>
                </w:tcPr>
                <w:p w14:paraId="44879BA4">
                  <w:pPr>
                    <w:pStyle w:val="28"/>
                    <w:rPr>
                      <w:highlight w:val="none"/>
                    </w:rPr>
                  </w:pPr>
                  <w:r>
                    <w:rPr>
                      <w:rFonts w:hint="eastAsia"/>
                      <w:highlight w:val="none"/>
                    </w:rPr>
                    <w:t>本次改建不涉及</w:t>
                  </w:r>
                </w:p>
              </w:tc>
              <w:tc>
                <w:tcPr>
                  <w:tcW w:w="1127" w:type="pct"/>
                  <w:vAlign w:val="center"/>
                </w:tcPr>
                <w:p w14:paraId="216AC09E">
                  <w:pPr>
                    <w:pStyle w:val="28"/>
                    <w:rPr>
                      <w:highlight w:val="none"/>
                    </w:rPr>
                  </w:pPr>
                  <w:r>
                    <w:rPr>
                      <w:rFonts w:hint="eastAsia"/>
                      <w:highlight w:val="none"/>
                    </w:rPr>
                    <w:t>改建前后不变</w:t>
                  </w:r>
                </w:p>
              </w:tc>
            </w:tr>
            <w:tr w14:paraId="4BC4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29F9A5C4">
                  <w:pPr>
                    <w:pStyle w:val="28"/>
                    <w:rPr>
                      <w:highlight w:val="none"/>
                    </w:rPr>
                  </w:pPr>
                </w:p>
              </w:tc>
              <w:tc>
                <w:tcPr>
                  <w:tcW w:w="764" w:type="pct"/>
                  <w:gridSpan w:val="2"/>
                  <w:shd w:val="clear" w:color="auto" w:fill="auto"/>
                  <w:vAlign w:val="center"/>
                </w:tcPr>
                <w:p w14:paraId="69590D0B">
                  <w:pPr>
                    <w:pStyle w:val="28"/>
                    <w:rPr>
                      <w:highlight w:val="none"/>
                    </w:rPr>
                  </w:pPr>
                  <w:r>
                    <w:rPr>
                      <w:rFonts w:hint="eastAsia"/>
                      <w:highlight w:val="none"/>
                    </w:rPr>
                    <w:t>冷链系统</w:t>
                  </w:r>
                </w:p>
              </w:tc>
              <w:tc>
                <w:tcPr>
                  <w:tcW w:w="1662" w:type="pct"/>
                  <w:shd w:val="clear" w:color="auto" w:fill="auto"/>
                  <w:vAlign w:val="center"/>
                </w:tcPr>
                <w:p w14:paraId="18564BB8">
                  <w:pPr>
                    <w:pStyle w:val="28"/>
                    <w:rPr>
                      <w:highlight w:val="none"/>
                    </w:rPr>
                  </w:pPr>
                  <w:r>
                    <w:rPr>
                      <w:rFonts w:hint="eastAsia"/>
                      <w:highlight w:val="none"/>
                    </w:rPr>
                    <w:t>在昆明租用200m</w:t>
                  </w:r>
                  <w:r>
                    <w:rPr>
                      <w:rFonts w:hint="eastAsia"/>
                      <w:highlight w:val="none"/>
                      <w:vertAlign w:val="superscript"/>
                    </w:rPr>
                    <w:t>2</w:t>
                  </w:r>
                  <w:r>
                    <w:rPr>
                      <w:rFonts w:hint="eastAsia"/>
                      <w:highlight w:val="none"/>
                    </w:rPr>
                    <w:t>冷库，进行中转。</w:t>
                  </w:r>
                </w:p>
              </w:tc>
              <w:tc>
                <w:tcPr>
                  <w:tcW w:w="1264" w:type="pct"/>
                  <w:shd w:val="clear" w:color="auto" w:fill="auto"/>
                  <w:vAlign w:val="center"/>
                </w:tcPr>
                <w:p w14:paraId="41A39AD3">
                  <w:pPr>
                    <w:pStyle w:val="28"/>
                    <w:rPr>
                      <w:highlight w:val="none"/>
                    </w:rPr>
                  </w:pPr>
                  <w:r>
                    <w:rPr>
                      <w:rFonts w:hint="eastAsia"/>
                      <w:highlight w:val="none"/>
                    </w:rPr>
                    <w:t>本次改建不涉及</w:t>
                  </w:r>
                </w:p>
              </w:tc>
              <w:tc>
                <w:tcPr>
                  <w:tcW w:w="1127" w:type="pct"/>
                  <w:shd w:val="clear" w:color="auto" w:fill="auto"/>
                  <w:vAlign w:val="center"/>
                </w:tcPr>
                <w:p w14:paraId="3C776758">
                  <w:pPr>
                    <w:pStyle w:val="28"/>
                    <w:rPr>
                      <w:highlight w:val="none"/>
                    </w:rPr>
                  </w:pPr>
                  <w:r>
                    <w:rPr>
                      <w:rFonts w:hint="eastAsia"/>
                      <w:highlight w:val="none"/>
                    </w:rPr>
                    <w:t>改建前后不变</w:t>
                  </w:r>
                </w:p>
              </w:tc>
            </w:tr>
            <w:tr w14:paraId="344C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4BAAD065">
                  <w:pPr>
                    <w:pStyle w:val="28"/>
                    <w:rPr>
                      <w:highlight w:val="none"/>
                    </w:rPr>
                  </w:pPr>
                </w:p>
              </w:tc>
              <w:tc>
                <w:tcPr>
                  <w:tcW w:w="764" w:type="pct"/>
                  <w:gridSpan w:val="2"/>
                  <w:shd w:val="clear" w:color="auto" w:fill="auto"/>
                  <w:vAlign w:val="center"/>
                </w:tcPr>
                <w:p w14:paraId="7309978B">
                  <w:pPr>
                    <w:pStyle w:val="28"/>
                    <w:rPr>
                      <w:highlight w:val="none"/>
                    </w:rPr>
                  </w:pPr>
                  <w:r>
                    <w:rPr>
                      <w:rFonts w:hint="eastAsia"/>
                      <w:highlight w:val="none"/>
                    </w:rPr>
                    <w:t>可追溯系统、信息系统、销售系统等建设</w:t>
                  </w:r>
                </w:p>
              </w:tc>
              <w:tc>
                <w:tcPr>
                  <w:tcW w:w="1662" w:type="pct"/>
                  <w:shd w:val="clear" w:color="auto" w:fill="auto"/>
                  <w:vAlign w:val="center"/>
                </w:tcPr>
                <w:p w14:paraId="52079C11">
                  <w:pPr>
                    <w:pStyle w:val="28"/>
                    <w:rPr>
                      <w:highlight w:val="none"/>
                    </w:rPr>
                  </w:pPr>
                  <w:r>
                    <w:rPr>
                      <w:rFonts w:hint="eastAsia"/>
                      <w:highlight w:val="none"/>
                    </w:rPr>
                    <w:t>系统设置在生活服务及综合大楼的办公管理用房内。</w:t>
                  </w:r>
                </w:p>
              </w:tc>
              <w:tc>
                <w:tcPr>
                  <w:tcW w:w="1264" w:type="pct"/>
                  <w:shd w:val="clear" w:color="auto" w:fill="auto"/>
                  <w:vAlign w:val="center"/>
                </w:tcPr>
                <w:p w14:paraId="08FB19A9">
                  <w:pPr>
                    <w:pStyle w:val="28"/>
                    <w:rPr>
                      <w:highlight w:val="none"/>
                    </w:rPr>
                  </w:pPr>
                  <w:r>
                    <w:rPr>
                      <w:rFonts w:hint="eastAsia"/>
                      <w:highlight w:val="none"/>
                    </w:rPr>
                    <w:t>本次改建不涉及</w:t>
                  </w:r>
                </w:p>
              </w:tc>
              <w:tc>
                <w:tcPr>
                  <w:tcW w:w="1127" w:type="pct"/>
                  <w:shd w:val="clear" w:color="auto" w:fill="auto"/>
                  <w:vAlign w:val="center"/>
                </w:tcPr>
                <w:p w14:paraId="241427F0">
                  <w:pPr>
                    <w:pStyle w:val="28"/>
                    <w:rPr>
                      <w:highlight w:val="none"/>
                    </w:rPr>
                  </w:pPr>
                  <w:r>
                    <w:rPr>
                      <w:rFonts w:hint="eastAsia"/>
                      <w:highlight w:val="none"/>
                    </w:rPr>
                    <w:t>改建前后不变</w:t>
                  </w:r>
                </w:p>
              </w:tc>
            </w:tr>
            <w:tr w14:paraId="1DFD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02DBAA5D">
                  <w:pPr>
                    <w:pStyle w:val="28"/>
                    <w:rPr>
                      <w:highlight w:val="none"/>
                    </w:rPr>
                  </w:pPr>
                </w:p>
              </w:tc>
              <w:tc>
                <w:tcPr>
                  <w:tcW w:w="764" w:type="pct"/>
                  <w:gridSpan w:val="2"/>
                  <w:vAlign w:val="center"/>
                </w:tcPr>
                <w:p w14:paraId="40236F9A">
                  <w:pPr>
                    <w:pStyle w:val="28"/>
                    <w:rPr>
                      <w:highlight w:val="none"/>
                    </w:rPr>
                  </w:pPr>
                  <w:r>
                    <w:rPr>
                      <w:rFonts w:hint="eastAsia"/>
                      <w:highlight w:val="none"/>
                    </w:rPr>
                    <w:t>蔬菜冷库</w:t>
                  </w:r>
                </w:p>
              </w:tc>
              <w:tc>
                <w:tcPr>
                  <w:tcW w:w="1662" w:type="pct"/>
                  <w:vAlign w:val="center"/>
                </w:tcPr>
                <w:p w14:paraId="2A7D3B2B">
                  <w:pPr>
                    <w:pStyle w:val="28"/>
                    <w:rPr>
                      <w:highlight w:val="none"/>
                    </w:rPr>
                  </w:pPr>
                  <w:r>
                    <w:rPr>
                      <w:rFonts w:hint="eastAsia"/>
                      <w:highlight w:val="none"/>
                    </w:rPr>
                    <w:t>根据项目实际生产需求，建设单位于2016年底建成7000m</w:t>
                  </w:r>
                  <w:r>
                    <w:rPr>
                      <w:rFonts w:hint="eastAsia"/>
                      <w:highlight w:val="none"/>
                      <w:vertAlign w:val="superscript"/>
                    </w:rPr>
                    <w:t>2</w:t>
                  </w:r>
                  <w:r>
                    <w:rPr>
                      <w:rFonts w:hint="eastAsia"/>
                      <w:highlight w:val="none"/>
                    </w:rPr>
                    <w:t>的蔬菜库。</w:t>
                  </w:r>
                </w:p>
              </w:tc>
              <w:tc>
                <w:tcPr>
                  <w:tcW w:w="1264" w:type="pct"/>
                  <w:vAlign w:val="center"/>
                </w:tcPr>
                <w:p w14:paraId="2153B165">
                  <w:pPr>
                    <w:pStyle w:val="28"/>
                    <w:rPr>
                      <w:highlight w:val="none"/>
                    </w:rPr>
                  </w:pPr>
                  <w:r>
                    <w:rPr>
                      <w:rFonts w:hint="eastAsia"/>
                      <w:highlight w:val="none"/>
                    </w:rPr>
                    <w:t>本次改建不涉及</w:t>
                  </w:r>
                </w:p>
              </w:tc>
              <w:tc>
                <w:tcPr>
                  <w:tcW w:w="1127" w:type="pct"/>
                  <w:vAlign w:val="center"/>
                </w:tcPr>
                <w:p w14:paraId="22C94231">
                  <w:pPr>
                    <w:pStyle w:val="28"/>
                    <w:rPr>
                      <w:highlight w:val="none"/>
                    </w:rPr>
                  </w:pPr>
                  <w:r>
                    <w:rPr>
                      <w:rFonts w:hint="eastAsia"/>
                      <w:highlight w:val="none"/>
                    </w:rPr>
                    <w:t>改建前后不变</w:t>
                  </w:r>
                </w:p>
              </w:tc>
            </w:tr>
            <w:tr w14:paraId="106A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restart"/>
                  <w:vAlign w:val="center"/>
                </w:tcPr>
                <w:p w14:paraId="0EAC2760">
                  <w:pPr>
                    <w:pStyle w:val="28"/>
                    <w:rPr>
                      <w:highlight w:val="none"/>
                    </w:rPr>
                  </w:pPr>
                  <w:r>
                    <w:rPr>
                      <w:rFonts w:hint="eastAsia"/>
                      <w:highlight w:val="none"/>
                    </w:rPr>
                    <w:t>辅助工程</w:t>
                  </w:r>
                </w:p>
              </w:tc>
              <w:tc>
                <w:tcPr>
                  <w:tcW w:w="764" w:type="pct"/>
                  <w:gridSpan w:val="2"/>
                  <w:vAlign w:val="center"/>
                </w:tcPr>
                <w:p w14:paraId="7D6F3762">
                  <w:pPr>
                    <w:pStyle w:val="28"/>
                    <w:rPr>
                      <w:highlight w:val="none"/>
                    </w:rPr>
                  </w:pPr>
                  <w:r>
                    <w:rPr>
                      <w:rFonts w:hint="eastAsia"/>
                      <w:highlight w:val="none"/>
                    </w:rPr>
                    <w:t>生活服务及综合大楼</w:t>
                  </w:r>
                </w:p>
              </w:tc>
              <w:tc>
                <w:tcPr>
                  <w:tcW w:w="1662" w:type="pct"/>
                  <w:vAlign w:val="center"/>
                </w:tcPr>
                <w:p w14:paraId="2EAC9C92">
                  <w:pPr>
                    <w:pStyle w:val="28"/>
                    <w:rPr>
                      <w:highlight w:val="none"/>
                    </w:rPr>
                  </w:pPr>
                  <w:r>
                    <w:rPr>
                      <w:rFonts w:hint="eastAsia"/>
                      <w:highlight w:val="none"/>
                    </w:rPr>
                    <w:t>建设5000m</w:t>
                  </w:r>
                  <w:r>
                    <w:rPr>
                      <w:rFonts w:hint="eastAsia"/>
                      <w:highlight w:val="none"/>
                      <w:vertAlign w:val="superscript"/>
                    </w:rPr>
                    <w:t>2</w:t>
                  </w:r>
                  <w:r>
                    <w:rPr>
                      <w:rFonts w:hint="eastAsia"/>
                      <w:highlight w:val="none"/>
                    </w:rPr>
                    <w:t>的生活服务及综合大楼，用于办公。</w:t>
                  </w:r>
                </w:p>
              </w:tc>
              <w:tc>
                <w:tcPr>
                  <w:tcW w:w="1264" w:type="pct"/>
                  <w:shd w:val="clear" w:color="auto" w:fill="auto"/>
                  <w:vAlign w:val="center"/>
                </w:tcPr>
                <w:p w14:paraId="2EFF4B28">
                  <w:pPr>
                    <w:pStyle w:val="28"/>
                    <w:rPr>
                      <w:highlight w:val="none"/>
                    </w:rPr>
                  </w:pPr>
                  <w:r>
                    <w:rPr>
                      <w:rFonts w:hint="eastAsia"/>
                      <w:highlight w:val="none"/>
                    </w:rPr>
                    <w:t>本次改建不涉及</w:t>
                  </w:r>
                </w:p>
              </w:tc>
              <w:tc>
                <w:tcPr>
                  <w:tcW w:w="1127" w:type="pct"/>
                  <w:vAlign w:val="center"/>
                </w:tcPr>
                <w:p w14:paraId="12F30744">
                  <w:pPr>
                    <w:pStyle w:val="28"/>
                    <w:rPr>
                      <w:highlight w:val="none"/>
                    </w:rPr>
                  </w:pPr>
                  <w:r>
                    <w:rPr>
                      <w:rFonts w:hint="eastAsia"/>
                      <w:highlight w:val="none"/>
                    </w:rPr>
                    <w:t>改建前后不变</w:t>
                  </w:r>
                </w:p>
              </w:tc>
            </w:tr>
            <w:tr w14:paraId="486D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5CB11AF8">
                  <w:pPr>
                    <w:pStyle w:val="28"/>
                    <w:rPr>
                      <w:highlight w:val="none"/>
                    </w:rPr>
                  </w:pPr>
                </w:p>
              </w:tc>
              <w:tc>
                <w:tcPr>
                  <w:tcW w:w="764" w:type="pct"/>
                  <w:gridSpan w:val="2"/>
                  <w:vAlign w:val="center"/>
                </w:tcPr>
                <w:p w14:paraId="11648CDD">
                  <w:pPr>
                    <w:pStyle w:val="28"/>
                    <w:rPr>
                      <w:highlight w:val="none"/>
                    </w:rPr>
                  </w:pPr>
                  <w:r>
                    <w:rPr>
                      <w:rFonts w:hint="eastAsia"/>
                      <w:highlight w:val="none"/>
                    </w:rPr>
                    <w:t>污水、污物处理区</w:t>
                  </w:r>
                </w:p>
              </w:tc>
              <w:tc>
                <w:tcPr>
                  <w:tcW w:w="1662" w:type="pct"/>
                  <w:vAlign w:val="center"/>
                </w:tcPr>
                <w:p w14:paraId="597CBBEC">
                  <w:pPr>
                    <w:pStyle w:val="28"/>
                    <w:rPr>
                      <w:highlight w:val="none"/>
                    </w:rPr>
                  </w:pPr>
                  <w:r>
                    <w:rPr>
                      <w:rFonts w:hint="eastAsia"/>
                      <w:highlight w:val="none"/>
                    </w:rPr>
                    <w:t>建设雨污管网、处理规模为250m</w:t>
                  </w:r>
                  <w:r>
                    <w:rPr>
                      <w:rFonts w:hint="eastAsia"/>
                      <w:highlight w:val="none"/>
                      <w:vertAlign w:val="superscript"/>
                    </w:rPr>
                    <w:t>3</w:t>
                  </w:r>
                  <w:r>
                    <w:rPr>
                      <w:rFonts w:hint="eastAsia"/>
                      <w:highlight w:val="none"/>
                    </w:rPr>
                    <w:t>/d的污水处理站及4700m</w:t>
                  </w:r>
                  <w:r>
                    <w:rPr>
                      <w:rFonts w:hint="eastAsia"/>
                      <w:highlight w:val="none"/>
                      <w:vertAlign w:val="superscript"/>
                    </w:rPr>
                    <w:t>3</w:t>
                  </w:r>
                  <w:r>
                    <w:rPr>
                      <w:rFonts w:hint="eastAsia"/>
                      <w:highlight w:val="none"/>
                    </w:rPr>
                    <w:t>回用水蓄水池。</w:t>
                  </w:r>
                </w:p>
              </w:tc>
              <w:tc>
                <w:tcPr>
                  <w:tcW w:w="1264" w:type="pct"/>
                  <w:shd w:val="clear" w:color="auto" w:fill="auto"/>
                  <w:vAlign w:val="center"/>
                </w:tcPr>
                <w:p w14:paraId="21422B12">
                  <w:pPr>
                    <w:pStyle w:val="28"/>
                    <w:rPr>
                      <w:highlight w:val="none"/>
                    </w:rPr>
                  </w:pPr>
                  <w:r>
                    <w:rPr>
                      <w:rFonts w:hint="eastAsia"/>
                      <w:highlight w:val="none"/>
                    </w:rPr>
                    <w:t>本次改建不涉及</w:t>
                  </w:r>
                </w:p>
              </w:tc>
              <w:tc>
                <w:tcPr>
                  <w:tcW w:w="1127" w:type="pct"/>
                  <w:vAlign w:val="center"/>
                </w:tcPr>
                <w:p w14:paraId="027B1F52">
                  <w:pPr>
                    <w:pStyle w:val="28"/>
                    <w:rPr>
                      <w:highlight w:val="none"/>
                    </w:rPr>
                  </w:pPr>
                  <w:r>
                    <w:rPr>
                      <w:rFonts w:hint="eastAsia"/>
                      <w:highlight w:val="none"/>
                    </w:rPr>
                    <w:t>改建前后不变</w:t>
                  </w:r>
                </w:p>
              </w:tc>
            </w:tr>
            <w:tr w14:paraId="07F4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1FA6A0A4">
                  <w:pPr>
                    <w:pStyle w:val="28"/>
                    <w:rPr>
                      <w:highlight w:val="none"/>
                    </w:rPr>
                  </w:pPr>
                </w:p>
              </w:tc>
              <w:tc>
                <w:tcPr>
                  <w:tcW w:w="764" w:type="pct"/>
                  <w:gridSpan w:val="2"/>
                  <w:vAlign w:val="center"/>
                </w:tcPr>
                <w:p w14:paraId="566D82DA">
                  <w:pPr>
                    <w:pStyle w:val="28"/>
                    <w:rPr>
                      <w:highlight w:val="none"/>
                    </w:rPr>
                  </w:pPr>
                  <w:r>
                    <w:rPr>
                      <w:rFonts w:hint="eastAsia"/>
                      <w:highlight w:val="none"/>
                    </w:rPr>
                    <w:t>场内道路</w:t>
                  </w:r>
                </w:p>
              </w:tc>
              <w:tc>
                <w:tcPr>
                  <w:tcW w:w="1662" w:type="pct"/>
                  <w:vAlign w:val="center"/>
                </w:tcPr>
                <w:p w14:paraId="4241C5C7">
                  <w:pPr>
                    <w:pStyle w:val="28"/>
                    <w:rPr>
                      <w:highlight w:val="none"/>
                    </w:rPr>
                  </w:pPr>
                  <w:r>
                    <w:rPr>
                      <w:rFonts w:hint="eastAsia"/>
                      <w:highlight w:val="none"/>
                    </w:rPr>
                    <w:t>混凝土路面2000m</w:t>
                  </w:r>
                  <w:r>
                    <w:rPr>
                      <w:rFonts w:hint="eastAsia"/>
                      <w:highlight w:val="none"/>
                      <w:vertAlign w:val="superscript"/>
                    </w:rPr>
                    <w:t>2</w:t>
                  </w:r>
                  <w:r>
                    <w:rPr>
                      <w:rFonts w:hint="eastAsia"/>
                      <w:highlight w:val="none"/>
                    </w:rPr>
                    <w:t>。</w:t>
                  </w:r>
                </w:p>
              </w:tc>
              <w:tc>
                <w:tcPr>
                  <w:tcW w:w="1264" w:type="pct"/>
                  <w:shd w:val="clear" w:color="auto" w:fill="auto"/>
                  <w:vAlign w:val="center"/>
                </w:tcPr>
                <w:p w14:paraId="704D424D">
                  <w:pPr>
                    <w:pStyle w:val="28"/>
                    <w:rPr>
                      <w:highlight w:val="none"/>
                    </w:rPr>
                  </w:pPr>
                  <w:r>
                    <w:rPr>
                      <w:rFonts w:hint="eastAsia"/>
                      <w:highlight w:val="none"/>
                    </w:rPr>
                    <w:t>本次改建不涉及</w:t>
                  </w:r>
                </w:p>
              </w:tc>
              <w:tc>
                <w:tcPr>
                  <w:tcW w:w="1127" w:type="pct"/>
                  <w:vAlign w:val="center"/>
                </w:tcPr>
                <w:p w14:paraId="5EF56A19">
                  <w:pPr>
                    <w:pStyle w:val="28"/>
                    <w:rPr>
                      <w:highlight w:val="none"/>
                    </w:rPr>
                  </w:pPr>
                  <w:r>
                    <w:rPr>
                      <w:rFonts w:hint="eastAsia"/>
                      <w:highlight w:val="none"/>
                    </w:rPr>
                    <w:t>改建前后不变</w:t>
                  </w:r>
                </w:p>
              </w:tc>
            </w:tr>
            <w:tr w14:paraId="2523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3E0C7B20">
                  <w:pPr>
                    <w:pStyle w:val="28"/>
                    <w:rPr>
                      <w:highlight w:val="none"/>
                    </w:rPr>
                  </w:pPr>
                </w:p>
              </w:tc>
              <w:tc>
                <w:tcPr>
                  <w:tcW w:w="764" w:type="pct"/>
                  <w:gridSpan w:val="2"/>
                  <w:vAlign w:val="center"/>
                </w:tcPr>
                <w:p w14:paraId="7FDC5BCE">
                  <w:pPr>
                    <w:pStyle w:val="28"/>
                    <w:rPr>
                      <w:highlight w:val="none"/>
                    </w:rPr>
                  </w:pPr>
                  <w:r>
                    <w:rPr>
                      <w:rFonts w:hint="eastAsia"/>
                      <w:highlight w:val="none"/>
                    </w:rPr>
                    <w:t>停车场</w:t>
                  </w:r>
                </w:p>
              </w:tc>
              <w:tc>
                <w:tcPr>
                  <w:tcW w:w="1662" w:type="pct"/>
                  <w:vAlign w:val="center"/>
                </w:tcPr>
                <w:p w14:paraId="43BADE3A">
                  <w:pPr>
                    <w:pStyle w:val="28"/>
                    <w:rPr>
                      <w:highlight w:val="none"/>
                    </w:rPr>
                  </w:pPr>
                  <w:r>
                    <w:rPr>
                      <w:rFonts w:hint="eastAsia"/>
                      <w:highlight w:val="none"/>
                    </w:rPr>
                    <w:t>停车场面积4000m</w:t>
                  </w:r>
                  <w:r>
                    <w:rPr>
                      <w:rFonts w:hint="eastAsia"/>
                      <w:highlight w:val="none"/>
                      <w:vertAlign w:val="superscript"/>
                    </w:rPr>
                    <w:t>2</w:t>
                  </w:r>
                  <w:r>
                    <w:rPr>
                      <w:rFonts w:hint="eastAsia"/>
                      <w:highlight w:val="none"/>
                    </w:rPr>
                    <w:t>。</w:t>
                  </w:r>
                </w:p>
              </w:tc>
              <w:tc>
                <w:tcPr>
                  <w:tcW w:w="1264" w:type="pct"/>
                  <w:shd w:val="clear" w:color="auto" w:fill="auto"/>
                  <w:vAlign w:val="center"/>
                </w:tcPr>
                <w:p w14:paraId="72EC4297">
                  <w:pPr>
                    <w:pStyle w:val="28"/>
                    <w:rPr>
                      <w:highlight w:val="none"/>
                    </w:rPr>
                  </w:pPr>
                  <w:r>
                    <w:rPr>
                      <w:rFonts w:hint="eastAsia"/>
                      <w:highlight w:val="none"/>
                    </w:rPr>
                    <w:t>本次改建不涉及</w:t>
                  </w:r>
                </w:p>
              </w:tc>
              <w:tc>
                <w:tcPr>
                  <w:tcW w:w="1127" w:type="pct"/>
                  <w:vAlign w:val="center"/>
                </w:tcPr>
                <w:p w14:paraId="6CC38DCB">
                  <w:pPr>
                    <w:pStyle w:val="28"/>
                    <w:rPr>
                      <w:highlight w:val="none"/>
                    </w:rPr>
                  </w:pPr>
                  <w:r>
                    <w:rPr>
                      <w:rFonts w:hint="eastAsia"/>
                      <w:highlight w:val="none"/>
                    </w:rPr>
                    <w:t>改建前后不变</w:t>
                  </w:r>
                </w:p>
              </w:tc>
            </w:tr>
            <w:tr w14:paraId="6A0E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616AE7D1">
                  <w:pPr>
                    <w:pStyle w:val="28"/>
                    <w:rPr>
                      <w:highlight w:val="none"/>
                    </w:rPr>
                  </w:pPr>
                </w:p>
              </w:tc>
              <w:tc>
                <w:tcPr>
                  <w:tcW w:w="764" w:type="pct"/>
                  <w:gridSpan w:val="2"/>
                  <w:vAlign w:val="center"/>
                </w:tcPr>
                <w:p w14:paraId="5D4C3AA7">
                  <w:pPr>
                    <w:pStyle w:val="28"/>
                    <w:rPr>
                      <w:highlight w:val="none"/>
                    </w:rPr>
                  </w:pPr>
                  <w:r>
                    <w:rPr>
                      <w:rFonts w:hint="eastAsia"/>
                      <w:highlight w:val="none"/>
                    </w:rPr>
                    <w:t>绿化</w:t>
                  </w:r>
                </w:p>
              </w:tc>
              <w:tc>
                <w:tcPr>
                  <w:tcW w:w="1662" w:type="pct"/>
                  <w:vAlign w:val="center"/>
                </w:tcPr>
                <w:p w14:paraId="507310ED">
                  <w:pPr>
                    <w:pStyle w:val="28"/>
                    <w:rPr>
                      <w:highlight w:val="none"/>
                    </w:rPr>
                  </w:pPr>
                  <w:r>
                    <w:rPr>
                      <w:rFonts w:hint="eastAsia"/>
                      <w:highlight w:val="none"/>
                    </w:rPr>
                    <w:t>绿化面积15000m</w:t>
                  </w:r>
                  <w:r>
                    <w:rPr>
                      <w:rFonts w:hint="eastAsia"/>
                      <w:highlight w:val="none"/>
                      <w:vertAlign w:val="superscript"/>
                    </w:rPr>
                    <w:t>2</w:t>
                  </w:r>
                  <w:r>
                    <w:rPr>
                      <w:rFonts w:hint="eastAsia"/>
                      <w:highlight w:val="none"/>
                    </w:rPr>
                    <w:t>。</w:t>
                  </w:r>
                </w:p>
              </w:tc>
              <w:tc>
                <w:tcPr>
                  <w:tcW w:w="1264" w:type="pct"/>
                  <w:shd w:val="clear" w:color="auto" w:fill="auto"/>
                  <w:vAlign w:val="center"/>
                </w:tcPr>
                <w:p w14:paraId="695D4264">
                  <w:pPr>
                    <w:pStyle w:val="28"/>
                    <w:rPr>
                      <w:highlight w:val="none"/>
                    </w:rPr>
                  </w:pPr>
                  <w:r>
                    <w:rPr>
                      <w:rFonts w:hint="eastAsia"/>
                      <w:highlight w:val="none"/>
                    </w:rPr>
                    <w:t>本次改建不涉及</w:t>
                  </w:r>
                </w:p>
              </w:tc>
              <w:tc>
                <w:tcPr>
                  <w:tcW w:w="1127" w:type="pct"/>
                  <w:vAlign w:val="center"/>
                </w:tcPr>
                <w:p w14:paraId="39C8DE8E">
                  <w:pPr>
                    <w:pStyle w:val="28"/>
                    <w:rPr>
                      <w:highlight w:val="none"/>
                    </w:rPr>
                  </w:pPr>
                  <w:r>
                    <w:rPr>
                      <w:rFonts w:hint="eastAsia"/>
                      <w:highlight w:val="none"/>
                    </w:rPr>
                    <w:t>改建前后不变</w:t>
                  </w:r>
                </w:p>
              </w:tc>
            </w:tr>
            <w:tr w14:paraId="53E8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521428A4">
                  <w:pPr>
                    <w:pStyle w:val="28"/>
                    <w:rPr>
                      <w:highlight w:val="none"/>
                    </w:rPr>
                  </w:pPr>
                </w:p>
              </w:tc>
              <w:tc>
                <w:tcPr>
                  <w:tcW w:w="764" w:type="pct"/>
                  <w:gridSpan w:val="2"/>
                  <w:vAlign w:val="center"/>
                </w:tcPr>
                <w:p w14:paraId="6A680B5E">
                  <w:pPr>
                    <w:pStyle w:val="28"/>
                    <w:rPr>
                      <w:highlight w:val="none"/>
                    </w:rPr>
                  </w:pPr>
                  <w:r>
                    <w:rPr>
                      <w:rFonts w:hint="eastAsia"/>
                      <w:highlight w:val="none"/>
                    </w:rPr>
                    <w:t>道路</w:t>
                  </w:r>
                </w:p>
              </w:tc>
              <w:tc>
                <w:tcPr>
                  <w:tcW w:w="1662" w:type="pct"/>
                  <w:vAlign w:val="center"/>
                </w:tcPr>
                <w:p w14:paraId="348915A7">
                  <w:pPr>
                    <w:pStyle w:val="28"/>
                    <w:rPr>
                      <w:highlight w:val="none"/>
                    </w:rPr>
                  </w:pPr>
                  <w:r>
                    <w:rPr>
                      <w:rFonts w:hint="eastAsia"/>
                      <w:highlight w:val="none"/>
                    </w:rPr>
                    <w:t>水泥硬化地面及道路面积约为 39800m</w:t>
                  </w:r>
                  <w:r>
                    <w:rPr>
                      <w:rFonts w:hint="eastAsia"/>
                      <w:highlight w:val="none"/>
                      <w:vertAlign w:val="superscript"/>
                    </w:rPr>
                    <w:t>2</w:t>
                  </w:r>
                  <w:r>
                    <w:rPr>
                      <w:rFonts w:hint="eastAsia"/>
                      <w:highlight w:val="none"/>
                    </w:rPr>
                    <w:t>。</w:t>
                  </w:r>
                </w:p>
              </w:tc>
              <w:tc>
                <w:tcPr>
                  <w:tcW w:w="1264" w:type="pct"/>
                  <w:shd w:val="clear" w:color="auto" w:fill="auto"/>
                  <w:vAlign w:val="center"/>
                </w:tcPr>
                <w:p w14:paraId="0A106EDA">
                  <w:pPr>
                    <w:pStyle w:val="28"/>
                    <w:rPr>
                      <w:highlight w:val="none"/>
                    </w:rPr>
                  </w:pPr>
                  <w:r>
                    <w:rPr>
                      <w:rFonts w:hint="eastAsia"/>
                      <w:highlight w:val="none"/>
                    </w:rPr>
                    <w:t>本次改建不涉及</w:t>
                  </w:r>
                </w:p>
              </w:tc>
              <w:tc>
                <w:tcPr>
                  <w:tcW w:w="1127" w:type="pct"/>
                  <w:vAlign w:val="center"/>
                </w:tcPr>
                <w:p w14:paraId="33796A1A">
                  <w:pPr>
                    <w:pStyle w:val="28"/>
                    <w:rPr>
                      <w:highlight w:val="none"/>
                    </w:rPr>
                  </w:pPr>
                  <w:r>
                    <w:rPr>
                      <w:rFonts w:hint="eastAsia"/>
                      <w:highlight w:val="none"/>
                    </w:rPr>
                    <w:t>改建前后不变</w:t>
                  </w:r>
                </w:p>
              </w:tc>
            </w:tr>
            <w:tr w14:paraId="4188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restart"/>
                  <w:vAlign w:val="center"/>
                </w:tcPr>
                <w:p w14:paraId="0E9950A7">
                  <w:pPr>
                    <w:pStyle w:val="28"/>
                    <w:rPr>
                      <w:highlight w:val="none"/>
                    </w:rPr>
                  </w:pPr>
                  <w:r>
                    <w:rPr>
                      <w:highlight w:val="none"/>
                    </w:rPr>
                    <w:t>公用工程</w:t>
                  </w:r>
                </w:p>
              </w:tc>
              <w:tc>
                <w:tcPr>
                  <w:tcW w:w="764" w:type="pct"/>
                  <w:gridSpan w:val="2"/>
                  <w:vAlign w:val="center"/>
                </w:tcPr>
                <w:p w14:paraId="2AB7DCF4">
                  <w:pPr>
                    <w:pStyle w:val="28"/>
                    <w:rPr>
                      <w:highlight w:val="none"/>
                    </w:rPr>
                  </w:pPr>
                  <w:r>
                    <w:rPr>
                      <w:highlight w:val="none"/>
                    </w:rPr>
                    <w:t>给水工程</w:t>
                  </w:r>
                </w:p>
              </w:tc>
              <w:tc>
                <w:tcPr>
                  <w:tcW w:w="1662" w:type="pct"/>
                  <w:vAlign w:val="center"/>
                </w:tcPr>
                <w:p w14:paraId="6AA43EA6">
                  <w:pPr>
                    <w:pStyle w:val="28"/>
                    <w:rPr>
                      <w:highlight w:val="none"/>
                    </w:rPr>
                  </w:pPr>
                  <w:r>
                    <w:rPr>
                      <w:highlight w:val="none"/>
                    </w:rPr>
                    <w:t>由市政供水管网供水</w:t>
                  </w:r>
                  <w:r>
                    <w:rPr>
                      <w:rFonts w:hint="eastAsia"/>
                      <w:highlight w:val="none"/>
                    </w:rPr>
                    <w:t>，且厂区内已建水塔、管网。</w:t>
                  </w:r>
                </w:p>
              </w:tc>
              <w:tc>
                <w:tcPr>
                  <w:tcW w:w="1264" w:type="pct"/>
                  <w:shd w:val="clear" w:color="auto" w:fill="auto"/>
                  <w:vAlign w:val="center"/>
                </w:tcPr>
                <w:p w14:paraId="3A04677B">
                  <w:pPr>
                    <w:pStyle w:val="28"/>
                    <w:rPr>
                      <w:highlight w:val="none"/>
                    </w:rPr>
                  </w:pPr>
                  <w:r>
                    <w:rPr>
                      <w:rFonts w:hint="eastAsia"/>
                      <w:highlight w:val="none"/>
                    </w:rPr>
                    <w:t>本次改建不涉及</w:t>
                  </w:r>
                </w:p>
              </w:tc>
              <w:tc>
                <w:tcPr>
                  <w:tcW w:w="1127" w:type="pct"/>
                  <w:vAlign w:val="center"/>
                </w:tcPr>
                <w:p w14:paraId="5602B937">
                  <w:pPr>
                    <w:pStyle w:val="28"/>
                    <w:rPr>
                      <w:highlight w:val="none"/>
                    </w:rPr>
                  </w:pPr>
                  <w:r>
                    <w:rPr>
                      <w:rFonts w:hint="eastAsia"/>
                      <w:highlight w:val="none"/>
                    </w:rPr>
                    <w:t>改建前后不变</w:t>
                  </w:r>
                </w:p>
              </w:tc>
            </w:tr>
            <w:tr w14:paraId="3F3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285EDEC7">
                  <w:pPr>
                    <w:pStyle w:val="28"/>
                    <w:rPr>
                      <w:highlight w:val="none"/>
                    </w:rPr>
                  </w:pPr>
                </w:p>
              </w:tc>
              <w:tc>
                <w:tcPr>
                  <w:tcW w:w="764" w:type="pct"/>
                  <w:gridSpan w:val="2"/>
                  <w:vAlign w:val="center"/>
                </w:tcPr>
                <w:p w14:paraId="5A953CA0">
                  <w:pPr>
                    <w:pStyle w:val="28"/>
                    <w:rPr>
                      <w:highlight w:val="none"/>
                    </w:rPr>
                  </w:pPr>
                  <w:r>
                    <w:rPr>
                      <w:highlight w:val="none"/>
                    </w:rPr>
                    <w:t>排水工程</w:t>
                  </w:r>
                </w:p>
              </w:tc>
              <w:tc>
                <w:tcPr>
                  <w:tcW w:w="1662" w:type="pct"/>
                  <w:vAlign w:val="center"/>
                </w:tcPr>
                <w:p w14:paraId="2A43B924">
                  <w:pPr>
                    <w:pStyle w:val="28"/>
                    <w:rPr>
                      <w:highlight w:val="none"/>
                    </w:rPr>
                  </w:pPr>
                  <w:r>
                    <w:rPr>
                      <w:rFonts w:hint="eastAsia"/>
                      <w:highlight w:val="none"/>
                    </w:rPr>
                    <w:t>产业园区内采用雨污分流制排水体制。雨水通过管网排入附近沟渠。污水经过污水收集管网进入污水处理设施（50m</w:t>
                  </w:r>
                  <w:r>
                    <w:rPr>
                      <w:rFonts w:hint="eastAsia"/>
                      <w:highlight w:val="none"/>
                      <w:vertAlign w:val="superscript"/>
                    </w:rPr>
                    <w:t>3</w:t>
                  </w:r>
                  <w:r>
                    <w:rPr>
                      <w:rFonts w:hint="eastAsia"/>
                      <w:highlight w:val="none"/>
                    </w:rPr>
                    <w:t>/d）处理后旱季回用场地绿化，雨季4500m</w:t>
                  </w:r>
                  <w:r>
                    <w:rPr>
                      <w:rFonts w:hint="eastAsia"/>
                      <w:highlight w:val="none"/>
                      <w:vertAlign w:val="superscript"/>
                    </w:rPr>
                    <w:t>3</w:t>
                  </w:r>
                  <w:r>
                    <w:rPr>
                      <w:rFonts w:hint="eastAsia"/>
                      <w:highlight w:val="none"/>
                    </w:rPr>
                    <w:t>贮存池贮存旱季绿化使用或供给附近的龙池砖厂和羊街新型水泥制品厂使用，项目污水处理后综合利用，不外排。</w:t>
                  </w:r>
                </w:p>
              </w:tc>
              <w:tc>
                <w:tcPr>
                  <w:tcW w:w="1264" w:type="pct"/>
                  <w:shd w:val="clear" w:color="auto" w:fill="auto"/>
                  <w:vAlign w:val="center"/>
                </w:tcPr>
                <w:p w14:paraId="03226CF4">
                  <w:pPr>
                    <w:pStyle w:val="28"/>
                    <w:rPr>
                      <w:highlight w:val="none"/>
                    </w:rPr>
                  </w:pPr>
                  <w:r>
                    <w:rPr>
                      <w:rFonts w:hint="eastAsia"/>
                      <w:highlight w:val="none"/>
                    </w:rPr>
                    <w:t>依托产业园区内的雨污分流制排水体制。雨水通过管网排入附近沟渠。污水依托原污水收集管网进入污水处理设施（250m</w:t>
                  </w:r>
                  <w:r>
                    <w:rPr>
                      <w:rFonts w:hint="eastAsia"/>
                      <w:highlight w:val="none"/>
                      <w:vertAlign w:val="superscript"/>
                    </w:rPr>
                    <w:t>3</w:t>
                  </w:r>
                  <w:r>
                    <w:rPr>
                      <w:rFonts w:hint="eastAsia"/>
                      <w:highlight w:val="none"/>
                    </w:rPr>
                    <w:t>/d）处理后的水用于绿化浇灌，清洁卫生和喷洒扬尘等，不外排。</w:t>
                  </w:r>
                </w:p>
              </w:tc>
              <w:tc>
                <w:tcPr>
                  <w:tcW w:w="1127" w:type="pct"/>
                  <w:vAlign w:val="center"/>
                </w:tcPr>
                <w:p w14:paraId="5ABA7C12">
                  <w:pPr>
                    <w:pStyle w:val="28"/>
                    <w:rPr>
                      <w:highlight w:val="none"/>
                    </w:rPr>
                  </w:pPr>
                  <w:r>
                    <w:rPr>
                      <w:rFonts w:hint="eastAsia"/>
                      <w:highlight w:val="none"/>
                    </w:rPr>
                    <w:t>全部用于绿化浇灌，清洁卫生和喷洒扬尘等，不供给附近的龙池砖厂和羊街新型水泥制品厂使用。</w:t>
                  </w:r>
                </w:p>
              </w:tc>
            </w:tr>
            <w:tr w14:paraId="331C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2C610B56">
                  <w:pPr>
                    <w:pStyle w:val="28"/>
                    <w:rPr>
                      <w:highlight w:val="none"/>
                    </w:rPr>
                  </w:pPr>
                </w:p>
              </w:tc>
              <w:tc>
                <w:tcPr>
                  <w:tcW w:w="764" w:type="pct"/>
                  <w:gridSpan w:val="2"/>
                  <w:vAlign w:val="center"/>
                </w:tcPr>
                <w:p w14:paraId="21FCB989">
                  <w:pPr>
                    <w:pStyle w:val="28"/>
                    <w:rPr>
                      <w:highlight w:val="none"/>
                    </w:rPr>
                  </w:pPr>
                  <w:r>
                    <w:rPr>
                      <w:highlight w:val="none"/>
                    </w:rPr>
                    <w:t>供电工程</w:t>
                  </w:r>
                </w:p>
              </w:tc>
              <w:tc>
                <w:tcPr>
                  <w:tcW w:w="1662" w:type="pct"/>
                  <w:vAlign w:val="center"/>
                </w:tcPr>
                <w:p w14:paraId="776687B2">
                  <w:pPr>
                    <w:pStyle w:val="28"/>
                    <w:rPr>
                      <w:highlight w:val="none"/>
                    </w:rPr>
                  </w:pPr>
                  <w:r>
                    <w:rPr>
                      <w:highlight w:val="none"/>
                    </w:rPr>
                    <w:t>由市政供电系统供电</w:t>
                  </w:r>
                  <w:r>
                    <w:rPr>
                      <w:rFonts w:hint="eastAsia"/>
                      <w:highlight w:val="none"/>
                    </w:rPr>
                    <w:t>。</w:t>
                  </w:r>
                </w:p>
              </w:tc>
              <w:tc>
                <w:tcPr>
                  <w:tcW w:w="1264" w:type="pct"/>
                  <w:shd w:val="clear" w:color="auto" w:fill="auto"/>
                  <w:vAlign w:val="center"/>
                </w:tcPr>
                <w:p w14:paraId="3370AA15">
                  <w:pPr>
                    <w:pStyle w:val="28"/>
                    <w:rPr>
                      <w:highlight w:val="none"/>
                    </w:rPr>
                  </w:pPr>
                  <w:r>
                    <w:rPr>
                      <w:rFonts w:hint="eastAsia"/>
                      <w:highlight w:val="none"/>
                    </w:rPr>
                    <w:t>本次改建不涉及，</w:t>
                  </w:r>
                  <w:r>
                    <w:rPr>
                      <w:highlight w:val="none"/>
                    </w:rPr>
                    <w:t>由市政供电系统供电</w:t>
                  </w:r>
                  <w:r>
                    <w:rPr>
                      <w:rFonts w:hint="eastAsia"/>
                      <w:highlight w:val="none"/>
                    </w:rPr>
                    <w:t>。</w:t>
                  </w:r>
                </w:p>
              </w:tc>
              <w:tc>
                <w:tcPr>
                  <w:tcW w:w="1127" w:type="pct"/>
                  <w:shd w:val="clear" w:color="auto" w:fill="auto"/>
                  <w:vAlign w:val="center"/>
                </w:tcPr>
                <w:p w14:paraId="0439A932">
                  <w:pPr>
                    <w:pStyle w:val="28"/>
                    <w:rPr>
                      <w:highlight w:val="none"/>
                    </w:rPr>
                  </w:pPr>
                  <w:r>
                    <w:rPr>
                      <w:rFonts w:hint="eastAsia"/>
                      <w:highlight w:val="none"/>
                    </w:rPr>
                    <w:t>改建前后不变</w:t>
                  </w:r>
                </w:p>
              </w:tc>
            </w:tr>
            <w:tr w14:paraId="67D0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6A6D0784">
                  <w:pPr>
                    <w:pStyle w:val="28"/>
                    <w:rPr>
                      <w:highlight w:val="none"/>
                    </w:rPr>
                  </w:pPr>
                </w:p>
              </w:tc>
              <w:tc>
                <w:tcPr>
                  <w:tcW w:w="764" w:type="pct"/>
                  <w:gridSpan w:val="2"/>
                  <w:vAlign w:val="center"/>
                </w:tcPr>
                <w:p w14:paraId="73C6413F">
                  <w:pPr>
                    <w:pStyle w:val="28"/>
                    <w:rPr>
                      <w:highlight w:val="none"/>
                    </w:rPr>
                  </w:pPr>
                  <w:r>
                    <w:rPr>
                      <w:highlight w:val="none"/>
                    </w:rPr>
                    <w:t>通信工程</w:t>
                  </w:r>
                </w:p>
              </w:tc>
              <w:tc>
                <w:tcPr>
                  <w:tcW w:w="1662" w:type="pct"/>
                  <w:vAlign w:val="center"/>
                </w:tcPr>
                <w:p w14:paraId="17C1F61D">
                  <w:pPr>
                    <w:pStyle w:val="28"/>
                    <w:rPr>
                      <w:highlight w:val="none"/>
                    </w:rPr>
                  </w:pPr>
                  <w:r>
                    <w:rPr>
                      <w:rFonts w:hint="eastAsia"/>
                      <w:highlight w:val="none"/>
                    </w:rPr>
                    <w:t>项目区域内已配套邮电通信光缆、移动电话等市政基础设施。</w:t>
                  </w:r>
                </w:p>
              </w:tc>
              <w:tc>
                <w:tcPr>
                  <w:tcW w:w="1264" w:type="pct"/>
                  <w:shd w:val="clear" w:color="auto" w:fill="auto"/>
                  <w:vAlign w:val="center"/>
                </w:tcPr>
                <w:p w14:paraId="070B837E">
                  <w:pPr>
                    <w:pStyle w:val="28"/>
                    <w:rPr>
                      <w:highlight w:val="none"/>
                    </w:rPr>
                  </w:pPr>
                  <w:r>
                    <w:rPr>
                      <w:rFonts w:hint="eastAsia"/>
                      <w:highlight w:val="none"/>
                    </w:rPr>
                    <w:t>本次改建不涉及</w:t>
                  </w:r>
                </w:p>
              </w:tc>
              <w:tc>
                <w:tcPr>
                  <w:tcW w:w="1127" w:type="pct"/>
                  <w:vAlign w:val="center"/>
                </w:tcPr>
                <w:p w14:paraId="5FC01ACA">
                  <w:pPr>
                    <w:pStyle w:val="28"/>
                    <w:rPr>
                      <w:highlight w:val="none"/>
                    </w:rPr>
                  </w:pPr>
                  <w:r>
                    <w:rPr>
                      <w:rFonts w:hint="eastAsia"/>
                      <w:highlight w:val="none"/>
                    </w:rPr>
                    <w:t>改建前后不变</w:t>
                  </w:r>
                </w:p>
              </w:tc>
            </w:tr>
            <w:tr w14:paraId="1117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restart"/>
                  <w:vAlign w:val="center"/>
                </w:tcPr>
                <w:p w14:paraId="4A0C2A99">
                  <w:pPr>
                    <w:pStyle w:val="28"/>
                    <w:rPr>
                      <w:highlight w:val="none"/>
                    </w:rPr>
                  </w:pPr>
                  <w:r>
                    <w:rPr>
                      <w:highlight w:val="none"/>
                    </w:rPr>
                    <w:t>环保工程</w:t>
                  </w:r>
                </w:p>
              </w:tc>
              <w:tc>
                <w:tcPr>
                  <w:tcW w:w="764" w:type="pct"/>
                  <w:gridSpan w:val="2"/>
                  <w:vAlign w:val="center"/>
                </w:tcPr>
                <w:p w14:paraId="4FCB199B">
                  <w:pPr>
                    <w:pStyle w:val="28"/>
                    <w:rPr>
                      <w:highlight w:val="none"/>
                    </w:rPr>
                  </w:pPr>
                  <w:r>
                    <w:rPr>
                      <w:highlight w:val="none"/>
                    </w:rPr>
                    <w:t>废气</w:t>
                  </w:r>
                </w:p>
              </w:tc>
              <w:tc>
                <w:tcPr>
                  <w:tcW w:w="1662" w:type="pct"/>
                  <w:vAlign w:val="center"/>
                </w:tcPr>
                <w:p w14:paraId="3DA229F9">
                  <w:pPr>
                    <w:pStyle w:val="28"/>
                    <w:rPr>
                      <w:highlight w:val="none"/>
                    </w:rPr>
                  </w:pPr>
                  <w:r>
                    <w:rPr>
                      <w:rFonts w:hint="eastAsia"/>
                      <w:highlight w:val="none"/>
                    </w:rPr>
                    <w:t>厂界外建设2m的绿化隔离带，及时进行地坪冲洗和清扫粪便、加强通风</w:t>
                  </w:r>
                  <w:r>
                    <w:rPr>
                      <w:rFonts w:hint="eastAsia"/>
                      <w:highlight w:val="none"/>
                      <w:lang w:eastAsia="zh-CN"/>
                    </w:rPr>
                    <w:t>使</w:t>
                  </w:r>
                  <w:r>
                    <w:rPr>
                      <w:rFonts w:hint="eastAsia"/>
                      <w:highlight w:val="none"/>
                    </w:rPr>
                    <w:t>其自然扩散，</w:t>
                  </w:r>
                  <w:r>
                    <w:rPr>
                      <w:highlight w:val="none"/>
                    </w:rPr>
                    <w:t>污水站</w:t>
                  </w:r>
                  <w:r>
                    <w:rPr>
                      <w:rFonts w:hint="eastAsia"/>
                      <w:highlight w:val="none"/>
                    </w:rPr>
                    <w:t>对</w:t>
                  </w:r>
                  <w:r>
                    <w:rPr>
                      <w:highlight w:val="none"/>
                    </w:rPr>
                    <w:t>产生恶臭区域</w:t>
                  </w:r>
                  <w:r>
                    <w:rPr>
                      <w:rFonts w:hint="eastAsia"/>
                      <w:highlight w:val="none"/>
                    </w:rPr>
                    <w:t>均进行</w:t>
                  </w:r>
                  <w:r>
                    <w:rPr>
                      <w:highlight w:val="none"/>
                    </w:rPr>
                    <w:t>加罩或加盖</w:t>
                  </w:r>
                  <w:r>
                    <w:rPr>
                      <w:rFonts w:hint="eastAsia"/>
                      <w:highlight w:val="none"/>
                    </w:rPr>
                    <w:t>处理。</w:t>
                  </w:r>
                </w:p>
              </w:tc>
              <w:tc>
                <w:tcPr>
                  <w:tcW w:w="1264" w:type="pct"/>
                  <w:shd w:val="clear" w:color="auto" w:fill="auto"/>
                  <w:vAlign w:val="center"/>
                </w:tcPr>
                <w:p w14:paraId="1131070F">
                  <w:pPr>
                    <w:pStyle w:val="28"/>
                    <w:rPr>
                      <w:highlight w:val="none"/>
                    </w:rPr>
                  </w:pPr>
                  <w:r>
                    <w:rPr>
                      <w:highlight w:val="none"/>
                    </w:rPr>
                    <w:t>本项目</w:t>
                  </w:r>
                  <w:r>
                    <w:rPr>
                      <w:rFonts w:hint="eastAsia"/>
                      <w:highlight w:val="none"/>
                    </w:rPr>
                    <w:t>在原有措施基础上增加羊待宰区喷洒除臭剂。</w:t>
                  </w:r>
                </w:p>
              </w:tc>
              <w:tc>
                <w:tcPr>
                  <w:tcW w:w="1127" w:type="pct"/>
                  <w:vAlign w:val="center"/>
                </w:tcPr>
                <w:p w14:paraId="20E87682">
                  <w:pPr>
                    <w:pStyle w:val="28"/>
                    <w:rPr>
                      <w:highlight w:val="none"/>
                    </w:rPr>
                  </w:pPr>
                  <w:r>
                    <w:rPr>
                      <w:highlight w:val="none"/>
                    </w:rPr>
                    <w:t>本项目</w:t>
                  </w:r>
                  <w:r>
                    <w:rPr>
                      <w:rFonts w:hint="eastAsia"/>
                      <w:highlight w:val="none"/>
                    </w:rPr>
                    <w:t>在原有措施基础上增加喷洒除臭剂工序</w:t>
                  </w:r>
                </w:p>
              </w:tc>
            </w:tr>
            <w:tr w14:paraId="58FA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40EF71C8">
                  <w:pPr>
                    <w:pStyle w:val="28"/>
                    <w:rPr>
                      <w:highlight w:val="none"/>
                    </w:rPr>
                  </w:pPr>
                </w:p>
              </w:tc>
              <w:tc>
                <w:tcPr>
                  <w:tcW w:w="459" w:type="pct"/>
                  <w:vMerge w:val="restart"/>
                  <w:vAlign w:val="center"/>
                </w:tcPr>
                <w:p w14:paraId="3CECD528">
                  <w:pPr>
                    <w:pStyle w:val="28"/>
                    <w:rPr>
                      <w:highlight w:val="none"/>
                    </w:rPr>
                  </w:pPr>
                  <w:r>
                    <w:rPr>
                      <w:highlight w:val="none"/>
                    </w:rPr>
                    <w:t>废水</w:t>
                  </w:r>
                </w:p>
              </w:tc>
              <w:tc>
                <w:tcPr>
                  <w:tcW w:w="305" w:type="pct"/>
                  <w:vAlign w:val="center"/>
                </w:tcPr>
                <w:p w14:paraId="64BA2EA7">
                  <w:pPr>
                    <w:pStyle w:val="28"/>
                    <w:rPr>
                      <w:highlight w:val="none"/>
                    </w:rPr>
                  </w:pPr>
                  <w:r>
                    <w:rPr>
                      <w:highlight w:val="none"/>
                    </w:rPr>
                    <w:t>生活废水</w:t>
                  </w:r>
                </w:p>
              </w:tc>
              <w:tc>
                <w:tcPr>
                  <w:tcW w:w="1662" w:type="pct"/>
                  <w:shd w:val="clear" w:color="auto" w:fill="auto"/>
                  <w:vAlign w:val="center"/>
                </w:tcPr>
                <w:p w14:paraId="559CB5AD">
                  <w:pPr>
                    <w:pStyle w:val="28"/>
                    <w:rPr>
                      <w:highlight w:val="none"/>
                    </w:rPr>
                  </w:pPr>
                  <w:r>
                    <w:rPr>
                      <w:rFonts w:hint="eastAsia"/>
                      <w:highlight w:val="none"/>
                    </w:rPr>
                    <w:t>项目生活污水经现有处理规模为250m</w:t>
                  </w:r>
                  <w:r>
                    <w:rPr>
                      <w:rFonts w:hint="eastAsia"/>
                      <w:highlight w:val="none"/>
                      <w:vertAlign w:val="superscript"/>
                    </w:rPr>
                    <w:t>3</w:t>
                  </w:r>
                  <w:r>
                    <w:rPr>
                      <w:rFonts w:hint="eastAsia"/>
                      <w:highlight w:val="none"/>
                    </w:rPr>
                    <w:t>/d的污水处理系统，处理工艺为“机械格栅+气浮+强化厌氧+接触氧化+过滤吸附+臭氧”法。污水处理设施处理达标后的水用于绿化浇灌，清洁卫生和喷洒扬尘等，不外排。</w:t>
                  </w:r>
                </w:p>
              </w:tc>
              <w:tc>
                <w:tcPr>
                  <w:tcW w:w="1264" w:type="pct"/>
                  <w:vAlign w:val="center"/>
                </w:tcPr>
                <w:p w14:paraId="77F29519">
                  <w:pPr>
                    <w:pStyle w:val="28"/>
                    <w:rPr>
                      <w:highlight w:val="none"/>
                    </w:rPr>
                  </w:pPr>
                  <w:r>
                    <w:rPr>
                      <w:rFonts w:hint="eastAsia"/>
                      <w:highlight w:val="none"/>
                    </w:rPr>
                    <w:t>本次改建不涉及，依托原有污水处理系统。</w:t>
                  </w:r>
                </w:p>
              </w:tc>
              <w:tc>
                <w:tcPr>
                  <w:tcW w:w="1127" w:type="pct"/>
                  <w:vAlign w:val="center"/>
                </w:tcPr>
                <w:p w14:paraId="304EC576">
                  <w:pPr>
                    <w:pStyle w:val="28"/>
                    <w:rPr>
                      <w:highlight w:val="none"/>
                    </w:rPr>
                  </w:pPr>
                  <w:r>
                    <w:rPr>
                      <w:rFonts w:hint="eastAsia"/>
                      <w:highlight w:val="none"/>
                    </w:rPr>
                    <w:t>改建前后不变</w:t>
                  </w:r>
                </w:p>
              </w:tc>
            </w:tr>
            <w:tr w14:paraId="05A1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0C5A5635">
                  <w:pPr>
                    <w:pStyle w:val="28"/>
                    <w:rPr>
                      <w:highlight w:val="none"/>
                    </w:rPr>
                  </w:pPr>
                </w:p>
              </w:tc>
              <w:tc>
                <w:tcPr>
                  <w:tcW w:w="459" w:type="pct"/>
                  <w:vMerge w:val="continue"/>
                  <w:vAlign w:val="center"/>
                </w:tcPr>
                <w:p w14:paraId="00A9E655">
                  <w:pPr>
                    <w:pStyle w:val="28"/>
                    <w:rPr>
                      <w:highlight w:val="none"/>
                    </w:rPr>
                  </w:pPr>
                </w:p>
              </w:tc>
              <w:tc>
                <w:tcPr>
                  <w:tcW w:w="305" w:type="pct"/>
                  <w:vAlign w:val="center"/>
                </w:tcPr>
                <w:p w14:paraId="10F5EB67">
                  <w:pPr>
                    <w:pStyle w:val="28"/>
                    <w:rPr>
                      <w:highlight w:val="none"/>
                    </w:rPr>
                  </w:pPr>
                  <w:r>
                    <w:rPr>
                      <w:rFonts w:hint="eastAsia"/>
                      <w:highlight w:val="none"/>
                    </w:rPr>
                    <w:t>屠宰</w:t>
                  </w:r>
                  <w:r>
                    <w:rPr>
                      <w:highlight w:val="none"/>
                    </w:rPr>
                    <w:t>废水</w:t>
                  </w:r>
                </w:p>
              </w:tc>
              <w:tc>
                <w:tcPr>
                  <w:tcW w:w="1662" w:type="pct"/>
                  <w:shd w:val="clear" w:color="auto" w:fill="auto"/>
                  <w:vAlign w:val="center"/>
                </w:tcPr>
                <w:p w14:paraId="45547B73">
                  <w:pPr>
                    <w:pStyle w:val="28"/>
                    <w:rPr>
                      <w:highlight w:val="none"/>
                    </w:rPr>
                  </w:pPr>
                  <w:r>
                    <w:rPr>
                      <w:highlight w:val="none"/>
                    </w:rPr>
                    <w:t>项目</w:t>
                  </w:r>
                  <w:r>
                    <w:rPr>
                      <w:rFonts w:hint="eastAsia"/>
                      <w:highlight w:val="none"/>
                    </w:rPr>
                    <w:t>屠宰</w:t>
                  </w:r>
                  <w:r>
                    <w:rPr>
                      <w:highlight w:val="none"/>
                    </w:rPr>
                    <w:t>废水</w:t>
                  </w:r>
                  <w:r>
                    <w:rPr>
                      <w:rFonts w:hint="eastAsia"/>
                      <w:highlight w:val="none"/>
                    </w:rPr>
                    <w:t>现有处理规模为250m</w:t>
                  </w:r>
                  <w:r>
                    <w:rPr>
                      <w:rFonts w:hint="eastAsia"/>
                      <w:highlight w:val="none"/>
                      <w:vertAlign w:val="superscript"/>
                    </w:rPr>
                    <w:t>3</w:t>
                  </w:r>
                  <w:r>
                    <w:rPr>
                      <w:rFonts w:hint="eastAsia"/>
                      <w:highlight w:val="none"/>
                    </w:rPr>
                    <w:t>/d的污水处理系统，污水处理设施处理达标后的水用于绿化浇灌，清洁卫生和喷洒扬尘等，不外排。</w:t>
                  </w:r>
                </w:p>
              </w:tc>
              <w:tc>
                <w:tcPr>
                  <w:tcW w:w="1264" w:type="pct"/>
                  <w:vAlign w:val="center"/>
                </w:tcPr>
                <w:p w14:paraId="5510D67C">
                  <w:pPr>
                    <w:pStyle w:val="28"/>
                    <w:rPr>
                      <w:highlight w:val="none"/>
                    </w:rPr>
                  </w:pPr>
                  <w:r>
                    <w:rPr>
                      <w:rFonts w:hint="eastAsia"/>
                      <w:highlight w:val="none"/>
                    </w:rPr>
                    <w:t>本次改建不涉及，依托原有污水处理系统。</w:t>
                  </w:r>
                </w:p>
              </w:tc>
              <w:tc>
                <w:tcPr>
                  <w:tcW w:w="1127" w:type="pct"/>
                  <w:vAlign w:val="center"/>
                </w:tcPr>
                <w:p w14:paraId="02014431">
                  <w:pPr>
                    <w:pStyle w:val="28"/>
                    <w:rPr>
                      <w:highlight w:val="none"/>
                    </w:rPr>
                  </w:pPr>
                  <w:r>
                    <w:rPr>
                      <w:rFonts w:hint="eastAsia"/>
                      <w:highlight w:val="none"/>
                    </w:rPr>
                    <w:t>改建前后不变</w:t>
                  </w:r>
                </w:p>
              </w:tc>
            </w:tr>
            <w:tr w14:paraId="2B7D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2ACC061B">
                  <w:pPr>
                    <w:pStyle w:val="28"/>
                    <w:rPr>
                      <w:highlight w:val="none"/>
                    </w:rPr>
                  </w:pPr>
                </w:p>
              </w:tc>
              <w:tc>
                <w:tcPr>
                  <w:tcW w:w="459" w:type="pct"/>
                  <w:vAlign w:val="center"/>
                </w:tcPr>
                <w:p w14:paraId="7012FA16">
                  <w:pPr>
                    <w:pStyle w:val="28"/>
                    <w:rPr>
                      <w:highlight w:val="none"/>
                    </w:rPr>
                  </w:pPr>
                  <w:r>
                    <w:rPr>
                      <w:highlight w:val="none"/>
                    </w:rPr>
                    <w:t>噪声</w:t>
                  </w:r>
                </w:p>
              </w:tc>
              <w:tc>
                <w:tcPr>
                  <w:tcW w:w="305" w:type="pct"/>
                  <w:vAlign w:val="center"/>
                </w:tcPr>
                <w:p w14:paraId="2311091B">
                  <w:pPr>
                    <w:pStyle w:val="28"/>
                    <w:rPr>
                      <w:highlight w:val="none"/>
                    </w:rPr>
                  </w:pPr>
                  <w:r>
                    <w:rPr>
                      <w:highlight w:val="none"/>
                    </w:rPr>
                    <w:t>设备</w:t>
                  </w:r>
                </w:p>
              </w:tc>
              <w:tc>
                <w:tcPr>
                  <w:tcW w:w="1662" w:type="pct"/>
                  <w:shd w:val="clear" w:color="auto" w:fill="auto"/>
                  <w:vAlign w:val="center"/>
                </w:tcPr>
                <w:p w14:paraId="5F970A47">
                  <w:pPr>
                    <w:pStyle w:val="28"/>
                    <w:rPr>
                      <w:highlight w:val="none"/>
                    </w:rPr>
                  </w:pPr>
                  <w:r>
                    <w:rPr>
                      <w:rFonts w:hint="eastAsia"/>
                      <w:highlight w:val="none"/>
                    </w:rPr>
                    <w:t>采取减震、隔声、消声合理布局设备等降噪措施。</w:t>
                  </w:r>
                </w:p>
              </w:tc>
              <w:tc>
                <w:tcPr>
                  <w:tcW w:w="1264" w:type="pct"/>
                  <w:vAlign w:val="center"/>
                </w:tcPr>
                <w:p w14:paraId="40722BD8">
                  <w:pPr>
                    <w:pStyle w:val="28"/>
                    <w:rPr>
                      <w:highlight w:val="none"/>
                    </w:rPr>
                  </w:pPr>
                  <w:r>
                    <w:rPr>
                      <w:rFonts w:hint="eastAsia"/>
                      <w:highlight w:val="none"/>
                    </w:rPr>
                    <w:t>采取减震、隔声、消声合理布局设备等降噪措施。</w:t>
                  </w:r>
                </w:p>
              </w:tc>
              <w:tc>
                <w:tcPr>
                  <w:tcW w:w="1127" w:type="pct"/>
                  <w:vAlign w:val="center"/>
                </w:tcPr>
                <w:p w14:paraId="7708E671">
                  <w:pPr>
                    <w:pStyle w:val="28"/>
                    <w:rPr>
                      <w:highlight w:val="none"/>
                    </w:rPr>
                  </w:pPr>
                  <w:r>
                    <w:rPr>
                      <w:rFonts w:hint="eastAsia"/>
                      <w:highlight w:val="none"/>
                    </w:rPr>
                    <w:t>采取减震、隔声、消声合理布局设备等降噪措施。</w:t>
                  </w:r>
                </w:p>
              </w:tc>
            </w:tr>
            <w:tr w14:paraId="6509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053B7AD2">
                  <w:pPr>
                    <w:pStyle w:val="28"/>
                    <w:rPr>
                      <w:highlight w:val="none"/>
                    </w:rPr>
                  </w:pPr>
                </w:p>
              </w:tc>
              <w:tc>
                <w:tcPr>
                  <w:tcW w:w="459" w:type="pct"/>
                  <w:vMerge w:val="restart"/>
                  <w:vAlign w:val="center"/>
                </w:tcPr>
                <w:p w14:paraId="55E3711A">
                  <w:pPr>
                    <w:pStyle w:val="28"/>
                    <w:rPr>
                      <w:highlight w:val="none"/>
                    </w:rPr>
                  </w:pPr>
                  <w:r>
                    <w:rPr>
                      <w:highlight w:val="none"/>
                    </w:rPr>
                    <w:t>固废</w:t>
                  </w:r>
                </w:p>
              </w:tc>
              <w:tc>
                <w:tcPr>
                  <w:tcW w:w="305" w:type="pct"/>
                  <w:vAlign w:val="center"/>
                </w:tcPr>
                <w:p w14:paraId="1176CFBC">
                  <w:pPr>
                    <w:pStyle w:val="28"/>
                    <w:rPr>
                      <w:highlight w:val="none"/>
                    </w:rPr>
                  </w:pPr>
                  <w:r>
                    <w:rPr>
                      <w:highlight w:val="none"/>
                    </w:rPr>
                    <w:t>一般固废</w:t>
                  </w:r>
                </w:p>
              </w:tc>
              <w:tc>
                <w:tcPr>
                  <w:tcW w:w="1662" w:type="pct"/>
                  <w:shd w:val="clear" w:color="auto" w:fill="auto"/>
                  <w:vAlign w:val="center"/>
                </w:tcPr>
                <w:p w14:paraId="160C183F">
                  <w:pPr>
                    <w:pStyle w:val="28"/>
                    <w:rPr>
                      <w:highlight w:val="none"/>
                    </w:rPr>
                  </w:pPr>
                  <w:r>
                    <w:rPr>
                      <w:highlight w:val="none"/>
                    </w:rPr>
                    <w:t>配备小型垃圾桶若干个</w:t>
                  </w:r>
                </w:p>
              </w:tc>
              <w:tc>
                <w:tcPr>
                  <w:tcW w:w="1264" w:type="pct"/>
                  <w:vAlign w:val="center"/>
                </w:tcPr>
                <w:p w14:paraId="690ADE29">
                  <w:pPr>
                    <w:pStyle w:val="28"/>
                    <w:rPr>
                      <w:highlight w:val="none"/>
                    </w:rPr>
                  </w:pPr>
                  <w:r>
                    <w:rPr>
                      <w:rFonts w:hint="eastAsia"/>
                      <w:highlight w:val="none"/>
                    </w:rPr>
                    <w:t>本次改建不增加，依托原有</w:t>
                  </w:r>
                  <w:r>
                    <w:rPr>
                      <w:highlight w:val="none"/>
                    </w:rPr>
                    <w:t>垃圾桶</w:t>
                  </w:r>
                  <w:r>
                    <w:rPr>
                      <w:rFonts w:hint="eastAsia"/>
                      <w:highlight w:val="none"/>
                    </w:rPr>
                    <w:t>。</w:t>
                  </w:r>
                </w:p>
              </w:tc>
              <w:tc>
                <w:tcPr>
                  <w:tcW w:w="1127" w:type="pct"/>
                  <w:vAlign w:val="center"/>
                </w:tcPr>
                <w:p w14:paraId="60F9AA5A">
                  <w:pPr>
                    <w:pStyle w:val="28"/>
                    <w:rPr>
                      <w:highlight w:val="none"/>
                    </w:rPr>
                  </w:pPr>
                  <w:r>
                    <w:rPr>
                      <w:rFonts w:hint="eastAsia"/>
                      <w:highlight w:val="none"/>
                    </w:rPr>
                    <w:t>改建前后不变</w:t>
                  </w:r>
                </w:p>
              </w:tc>
            </w:tr>
            <w:tr w14:paraId="3A9D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0" w:type="pct"/>
                  <w:vMerge w:val="continue"/>
                  <w:vAlign w:val="center"/>
                </w:tcPr>
                <w:p w14:paraId="2B5AB649">
                  <w:pPr>
                    <w:pStyle w:val="28"/>
                    <w:rPr>
                      <w:highlight w:val="none"/>
                    </w:rPr>
                  </w:pPr>
                </w:p>
              </w:tc>
              <w:tc>
                <w:tcPr>
                  <w:tcW w:w="459" w:type="pct"/>
                  <w:vMerge w:val="continue"/>
                  <w:vAlign w:val="center"/>
                </w:tcPr>
                <w:p w14:paraId="520FD27B">
                  <w:pPr>
                    <w:pStyle w:val="28"/>
                    <w:rPr>
                      <w:highlight w:val="none"/>
                    </w:rPr>
                  </w:pPr>
                </w:p>
              </w:tc>
              <w:tc>
                <w:tcPr>
                  <w:tcW w:w="305" w:type="pct"/>
                  <w:vAlign w:val="center"/>
                </w:tcPr>
                <w:p w14:paraId="440A88DB">
                  <w:pPr>
                    <w:pStyle w:val="28"/>
                    <w:rPr>
                      <w:highlight w:val="none"/>
                    </w:rPr>
                  </w:pPr>
                  <w:r>
                    <w:rPr>
                      <w:highlight w:val="none"/>
                    </w:rPr>
                    <w:t>危险废物</w:t>
                  </w:r>
                </w:p>
              </w:tc>
              <w:tc>
                <w:tcPr>
                  <w:tcW w:w="1662" w:type="pct"/>
                  <w:shd w:val="clear" w:color="auto" w:fill="auto"/>
                  <w:vAlign w:val="center"/>
                </w:tcPr>
                <w:p w14:paraId="63312108">
                  <w:pPr>
                    <w:pStyle w:val="28"/>
                    <w:rPr>
                      <w:highlight w:val="none"/>
                    </w:rPr>
                  </w:pPr>
                  <w:r>
                    <w:rPr>
                      <w:highlight w:val="none"/>
                    </w:rPr>
                    <w:t>根据《危险废物贮存污染控制标准》（GB18597-2023）要求，项目</w:t>
                  </w:r>
                  <w:r>
                    <w:rPr>
                      <w:rFonts w:hint="eastAsia"/>
                      <w:highlight w:val="none"/>
                    </w:rPr>
                    <w:t>区原有</w:t>
                  </w:r>
                  <w:r>
                    <w:rPr>
                      <w:highlight w:val="none"/>
                    </w:rPr>
                    <w:t>1间建筑面积约</w:t>
                  </w:r>
                  <w:r>
                    <w:rPr>
                      <w:rFonts w:hint="eastAsia"/>
                      <w:highlight w:val="none"/>
                    </w:rPr>
                    <w:t>12</w:t>
                  </w:r>
                  <w:r>
                    <w:rPr>
                      <w:highlight w:val="none"/>
                    </w:rPr>
                    <w:t>m</w:t>
                  </w:r>
                  <w:r>
                    <w:rPr>
                      <w:rFonts w:hint="eastAsia"/>
                      <w:highlight w:val="none"/>
                      <w:vertAlign w:val="superscript"/>
                    </w:rPr>
                    <w:t>2</w:t>
                  </w:r>
                  <w:r>
                    <w:rPr>
                      <w:highlight w:val="none"/>
                    </w:rPr>
                    <w:t>的危险废物暂存间。项目危废暂存间根据《危险废物贮存污染控制标准》（GB18597-2023）采取重点防渗。</w:t>
                  </w:r>
                </w:p>
              </w:tc>
              <w:tc>
                <w:tcPr>
                  <w:tcW w:w="1264" w:type="pct"/>
                  <w:vAlign w:val="center"/>
                </w:tcPr>
                <w:p w14:paraId="6ECD2A30">
                  <w:pPr>
                    <w:pStyle w:val="28"/>
                    <w:rPr>
                      <w:highlight w:val="none"/>
                    </w:rPr>
                  </w:pPr>
                  <w:r>
                    <w:rPr>
                      <w:rFonts w:hint="eastAsia"/>
                      <w:highlight w:val="none"/>
                    </w:rPr>
                    <w:t>本次改建不涉及，依托原有</w:t>
                  </w:r>
                  <w:r>
                    <w:rPr>
                      <w:highlight w:val="none"/>
                    </w:rPr>
                    <w:t>危险废物暂存间</w:t>
                  </w:r>
                  <w:r>
                    <w:rPr>
                      <w:rFonts w:hint="eastAsia"/>
                      <w:highlight w:val="none"/>
                    </w:rPr>
                    <w:t>。</w:t>
                  </w:r>
                </w:p>
              </w:tc>
              <w:tc>
                <w:tcPr>
                  <w:tcW w:w="1127" w:type="pct"/>
                  <w:vAlign w:val="center"/>
                </w:tcPr>
                <w:p w14:paraId="4FD85E0F">
                  <w:pPr>
                    <w:pStyle w:val="28"/>
                    <w:rPr>
                      <w:highlight w:val="none"/>
                    </w:rPr>
                  </w:pPr>
                  <w:r>
                    <w:rPr>
                      <w:rFonts w:hint="eastAsia"/>
                      <w:highlight w:val="none"/>
                    </w:rPr>
                    <w:t>改建前后不变</w:t>
                  </w:r>
                </w:p>
              </w:tc>
            </w:tr>
          </w:tbl>
          <w:p w14:paraId="404F2C00">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2.产品方案</w:t>
            </w:r>
          </w:p>
          <w:p w14:paraId="3857CD4C">
            <w:pPr>
              <w:pStyle w:val="50"/>
              <w:spacing w:before="34" w:line="340" w:lineRule="auto"/>
              <w:ind w:left="112" w:firstLine="484"/>
              <w:rPr>
                <w:rFonts w:hint="eastAsia"/>
                <w:color w:val="000000" w:themeColor="text1"/>
                <w:kern w:val="0"/>
                <w:highlight w:val="none"/>
                <w:lang w:eastAsia="zh-CN" w:bidi="ar"/>
                <w14:textFill>
                  <w14:solidFill>
                    <w14:schemeClr w14:val="tx1"/>
                  </w14:solidFill>
                </w14:textFill>
              </w:rPr>
            </w:pPr>
            <w:r>
              <w:rPr>
                <w:rFonts w:hint="eastAsia"/>
                <w:color w:val="000000" w:themeColor="text1"/>
                <w:kern w:val="0"/>
                <w:highlight w:val="none"/>
                <w:lang w:eastAsia="zh-CN" w:bidi="ar"/>
                <w14:textFill>
                  <w14:solidFill>
                    <w14:schemeClr w14:val="tx1"/>
                  </w14:solidFill>
                </w14:textFill>
              </w:rPr>
              <w:t>本项目进行肉羊屠宰工作，根据建设单位提供资料，本改建项目新增产品见表2-2。</w:t>
            </w:r>
          </w:p>
          <w:p w14:paraId="1B6BB986">
            <w:pPr>
              <w:pStyle w:val="30"/>
              <w:rPr>
                <w:rFonts w:hint="default"/>
                <w:highlight w:val="none"/>
              </w:rPr>
            </w:pPr>
            <w:r>
              <w:rPr>
                <w:highlight w:val="none"/>
              </w:rPr>
              <w:t>表2-2本改建项目产品方案</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3008"/>
              <w:gridCol w:w="2090"/>
              <w:gridCol w:w="2091"/>
            </w:tblGrid>
            <w:tr w14:paraId="279D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pct"/>
                  <w:vAlign w:val="center"/>
                </w:tcPr>
                <w:p w14:paraId="0EB90626">
                  <w:pPr>
                    <w:pStyle w:val="28"/>
                    <w:rPr>
                      <w:b/>
                      <w:bCs/>
                      <w:highlight w:val="none"/>
                    </w:rPr>
                  </w:pPr>
                  <w:r>
                    <w:rPr>
                      <w:rFonts w:hint="eastAsia"/>
                      <w:b/>
                      <w:bCs/>
                      <w:highlight w:val="none"/>
                    </w:rPr>
                    <w:t>序号</w:t>
                  </w:r>
                </w:p>
              </w:tc>
              <w:tc>
                <w:tcPr>
                  <w:tcW w:w="1799" w:type="pct"/>
                  <w:vAlign w:val="center"/>
                </w:tcPr>
                <w:p w14:paraId="6B2DA9AF">
                  <w:pPr>
                    <w:pStyle w:val="28"/>
                    <w:rPr>
                      <w:b/>
                      <w:bCs/>
                      <w:highlight w:val="none"/>
                    </w:rPr>
                  </w:pPr>
                  <w:r>
                    <w:rPr>
                      <w:rFonts w:hint="eastAsia"/>
                      <w:b/>
                      <w:bCs/>
                      <w:highlight w:val="none"/>
                    </w:rPr>
                    <w:t>产品</w:t>
                  </w:r>
                </w:p>
              </w:tc>
              <w:tc>
                <w:tcPr>
                  <w:tcW w:w="1250" w:type="pct"/>
                  <w:vAlign w:val="center"/>
                </w:tcPr>
                <w:p w14:paraId="51D37C29">
                  <w:pPr>
                    <w:pStyle w:val="28"/>
                    <w:rPr>
                      <w:b/>
                      <w:bCs/>
                      <w:highlight w:val="none"/>
                    </w:rPr>
                  </w:pPr>
                  <w:r>
                    <w:rPr>
                      <w:rFonts w:hint="eastAsia"/>
                      <w:b/>
                      <w:bCs/>
                      <w:highlight w:val="none"/>
                    </w:rPr>
                    <w:t>数量</w:t>
                  </w:r>
                </w:p>
              </w:tc>
              <w:tc>
                <w:tcPr>
                  <w:tcW w:w="1250" w:type="pct"/>
                  <w:vAlign w:val="center"/>
                </w:tcPr>
                <w:p w14:paraId="394F05CA">
                  <w:pPr>
                    <w:pStyle w:val="28"/>
                    <w:rPr>
                      <w:b/>
                      <w:bCs/>
                      <w:highlight w:val="none"/>
                    </w:rPr>
                  </w:pPr>
                  <w:r>
                    <w:rPr>
                      <w:rFonts w:hint="eastAsia"/>
                      <w:b/>
                      <w:bCs/>
                      <w:highlight w:val="none"/>
                    </w:rPr>
                    <w:t>单位</w:t>
                  </w:r>
                </w:p>
              </w:tc>
            </w:tr>
            <w:tr w14:paraId="0223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pct"/>
                  <w:vAlign w:val="center"/>
                </w:tcPr>
                <w:p w14:paraId="6FED79B2">
                  <w:pPr>
                    <w:pStyle w:val="28"/>
                    <w:rPr>
                      <w:highlight w:val="none"/>
                    </w:rPr>
                  </w:pPr>
                  <w:r>
                    <w:rPr>
                      <w:rFonts w:hint="eastAsia"/>
                      <w:highlight w:val="none"/>
                    </w:rPr>
                    <w:t>1</w:t>
                  </w:r>
                </w:p>
              </w:tc>
              <w:tc>
                <w:tcPr>
                  <w:tcW w:w="1799" w:type="pct"/>
                  <w:vAlign w:val="center"/>
                </w:tcPr>
                <w:p w14:paraId="0462A3E5">
                  <w:pPr>
                    <w:pStyle w:val="28"/>
                    <w:rPr>
                      <w:highlight w:val="none"/>
                    </w:rPr>
                  </w:pPr>
                  <w:r>
                    <w:rPr>
                      <w:rFonts w:hint="eastAsia"/>
                      <w:highlight w:val="none"/>
                    </w:rPr>
                    <w:t>生产热鲜羊胴体</w:t>
                  </w:r>
                </w:p>
              </w:tc>
              <w:tc>
                <w:tcPr>
                  <w:tcW w:w="1250" w:type="pct"/>
                  <w:vAlign w:val="center"/>
                </w:tcPr>
                <w:p w14:paraId="57362FFA">
                  <w:pPr>
                    <w:pStyle w:val="28"/>
                    <w:rPr>
                      <w:highlight w:val="none"/>
                    </w:rPr>
                  </w:pPr>
                  <w:r>
                    <w:rPr>
                      <w:rFonts w:hint="eastAsia"/>
                      <w:highlight w:val="none"/>
                    </w:rPr>
                    <w:t>50000</w:t>
                  </w:r>
                </w:p>
              </w:tc>
              <w:tc>
                <w:tcPr>
                  <w:tcW w:w="1250" w:type="pct"/>
                  <w:vAlign w:val="center"/>
                </w:tcPr>
                <w:p w14:paraId="54DB74F8">
                  <w:pPr>
                    <w:pStyle w:val="28"/>
                    <w:rPr>
                      <w:highlight w:val="none"/>
                    </w:rPr>
                  </w:pPr>
                  <w:r>
                    <w:rPr>
                      <w:rFonts w:hint="eastAsia"/>
                      <w:color w:val="000000" w:themeColor="text1"/>
                      <w:highlight w:val="none"/>
                      <w14:textFill>
                        <w14:solidFill>
                          <w14:schemeClr w14:val="tx1"/>
                        </w14:solidFill>
                      </w14:textFill>
                    </w:rPr>
                    <w:t>只</w:t>
                  </w:r>
                  <w:r>
                    <w:rPr>
                      <w:rFonts w:hint="eastAsia"/>
                      <w:highlight w:val="none"/>
                    </w:rPr>
                    <w:t>/年</w:t>
                  </w:r>
                </w:p>
              </w:tc>
            </w:tr>
          </w:tbl>
          <w:p w14:paraId="184A1E50">
            <w:pPr>
              <w:pStyle w:val="50"/>
              <w:spacing w:before="34" w:line="340" w:lineRule="auto"/>
              <w:ind w:left="112" w:firstLine="484"/>
              <w:rPr>
                <w:rFonts w:hint="eastAsia"/>
                <w:color w:val="000000" w:themeColor="text1"/>
                <w:kern w:val="0"/>
                <w:highlight w:val="none"/>
                <w:lang w:eastAsia="zh-CN" w:bidi="ar"/>
                <w14:textFill>
                  <w14:solidFill>
                    <w14:schemeClr w14:val="tx1"/>
                  </w14:solidFill>
                </w14:textFill>
              </w:rPr>
            </w:pPr>
            <w:r>
              <w:rPr>
                <w:rFonts w:hint="eastAsia"/>
                <w:color w:val="000000" w:themeColor="text1"/>
                <w:kern w:val="0"/>
                <w:highlight w:val="none"/>
                <w:lang w:eastAsia="zh-CN" w:bidi="ar"/>
                <w14:textFill>
                  <w14:solidFill>
                    <w14:schemeClr w14:val="tx1"/>
                  </w14:solidFill>
                </w14:textFill>
              </w:rPr>
              <w:t>改建后全厂产品方案见表2-3。</w:t>
            </w:r>
          </w:p>
          <w:p w14:paraId="6E7994BD">
            <w:pPr>
              <w:pStyle w:val="30"/>
              <w:rPr>
                <w:rFonts w:hint="default"/>
                <w:highlight w:val="none"/>
              </w:rPr>
            </w:pPr>
            <w:r>
              <w:rPr>
                <w:highlight w:val="none"/>
              </w:rPr>
              <w:t>表2-3改建后全厂产品方案一览表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766"/>
              <w:gridCol w:w="2423"/>
              <w:gridCol w:w="2423"/>
            </w:tblGrid>
            <w:tr w14:paraId="76DD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6" w:type="pct"/>
                  <w:vAlign w:val="center"/>
                </w:tcPr>
                <w:p w14:paraId="494C17E9">
                  <w:pPr>
                    <w:pStyle w:val="28"/>
                    <w:rPr>
                      <w:b/>
                      <w:bCs/>
                      <w:highlight w:val="none"/>
                    </w:rPr>
                  </w:pPr>
                  <w:r>
                    <w:rPr>
                      <w:rFonts w:hint="eastAsia"/>
                      <w:b/>
                      <w:bCs/>
                      <w:highlight w:val="none"/>
                    </w:rPr>
                    <w:t>序号</w:t>
                  </w:r>
                </w:p>
              </w:tc>
              <w:tc>
                <w:tcPr>
                  <w:tcW w:w="1654" w:type="pct"/>
                  <w:vAlign w:val="center"/>
                </w:tcPr>
                <w:p w14:paraId="073E2C3A">
                  <w:pPr>
                    <w:pStyle w:val="28"/>
                    <w:rPr>
                      <w:b/>
                      <w:bCs/>
                      <w:highlight w:val="none"/>
                    </w:rPr>
                  </w:pPr>
                  <w:r>
                    <w:rPr>
                      <w:rFonts w:hint="eastAsia"/>
                      <w:b/>
                      <w:bCs/>
                      <w:highlight w:val="none"/>
                    </w:rPr>
                    <w:t>名称</w:t>
                  </w:r>
                </w:p>
              </w:tc>
              <w:tc>
                <w:tcPr>
                  <w:tcW w:w="1449" w:type="pct"/>
                  <w:vAlign w:val="center"/>
                </w:tcPr>
                <w:p w14:paraId="773353BB">
                  <w:pPr>
                    <w:pStyle w:val="28"/>
                    <w:rPr>
                      <w:b/>
                      <w:bCs/>
                      <w:highlight w:val="none"/>
                    </w:rPr>
                  </w:pPr>
                  <w:r>
                    <w:rPr>
                      <w:rFonts w:hint="eastAsia"/>
                      <w:b/>
                      <w:bCs/>
                      <w:highlight w:val="none"/>
                    </w:rPr>
                    <w:t>年生产量</w:t>
                  </w:r>
                </w:p>
              </w:tc>
              <w:tc>
                <w:tcPr>
                  <w:tcW w:w="1449" w:type="pct"/>
                  <w:vAlign w:val="center"/>
                </w:tcPr>
                <w:p w14:paraId="072022A6">
                  <w:pPr>
                    <w:pStyle w:val="28"/>
                    <w:rPr>
                      <w:b/>
                      <w:bCs/>
                      <w:highlight w:val="none"/>
                    </w:rPr>
                  </w:pPr>
                  <w:r>
                    <w:rPr>
                      <w:rFonts w:hint="eastAsia"/>
                      <w:b/>
                      <w:bCs/>
                      <w:highlight w:val="none"/>
                    </w:rPr>
                    <w:t>备注</w:t>
                  </w:r>
                </w:p>
              </w:tc>
            </w:tr>
            <w:tr w14:paraId="5978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Align w:val="center"/>
                </w:tcPr>
                <w:p w14:paraId="3D08CB88">
                  <w:pPr>
                    <w:pStyle w:val="28"/>
                    <w:rPr>
                      <w:highlight w:val="none"/>
                    </w:rPr>
                  </w:pPr>
                  <w:r>
                    <w:rPr>
                      <w:rFonts w:hint="eastAsia"/>
                      <w:highlight w:val="none"/>
                    </w:rPr>
                    <w:t>1</w:t>
                  </w:r>
                </w:p>
              </w:tc>
              <w:tc>
                <w:tcPr>
                  <w:tcW w:w="1654" w:type="pct"/>
                  <w:vAlign w:val="center"/>
                </w:tcPr>
                <w:p w14:paraId="157502F1">
                  <w:pPr>
                    <w:pStyle w:val="28"/>
                    <w:rPr>
                      <w:highlight w:val="none"/>
                    </w:rPr>
                  </w:pPr>
                  <w:r>
                    <w:rPr>
                      <w:rFonts w:hint="eastAsia"/>
                      <w:highlight w:val="none"/>
                    </w:rPr>
                    <w:t>牛胴体</w:t>
                  </w:r>
                </w:p>
              </w:tc>
              <w:tc>
                <w:tcPr>
                  <w:tcW w:w="1449" w:type="pct"/>
                  <w:vAlign w:val="center"/>
                </w:tcPr>
                <w:p w14:paraId="44FE858F">
                  <w:pPr>
                    <w:pStyle w:val="28"/>
                    <w:rPr>
                      <w:highlight w:val="none"/>
                    </w:rPr>
                  </w:pPr>
                  <w:r>
                    <w:rPr>
                      <w:rFonts w:hint="eastAsia"/>
                      <w:highlight w:val="none"/>
                    </w:rPr>
                    <w:t>30000头/年</w:t>
                  </w:r>
                </w:p>
              </w:tc>
              <w:tc>
                <w:tcPr>
                  <w:tcW w:w="1449" w:type="pct"/>
                  <w:vAlign w:val="center"/>
                </w:tcPr>
                <w:p w14:paraId="735686A7">
                  <w:pPr>
                    <w:pStyle w:val="28"/>
                    <w:rPr>
                      <w:highlight w:val="none"/>
                    </w:rPr>
                  </w:pPr>
                  <w:r>
                    <w:rPr>
                      <w:rFonts w:hint="eastAsia"/>
                      <w:highlight w:val="none"/>
                    </w:rPr>
                    <w:t>/</w:t>
                  </w:r>
                </w:p>
              </w:tc>
            </w:tr>
            <w:tr w14:paraId="4AC0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Align w:val="center"/>
                </w:tcPr>
                <w:p w14:paraId="05C58BF0">
                  <w:pPr>
                    <w:pStyle w:val="28"/>
                    <w:rPr>
                      <w:highlight w:val="none"/>
                    </w:rPr>
                  </w:pPr>
                  <w:r>
                    <w:rPr>
                      <w:rFonts w:hint="eastAsia"/>
                      <w:highlight w:val="none"/>
                    </w:rPr>
                    <w:t>2</w:t>
                  </w:r>
                </w:p>
              </w:tc>
              <w:tc>
                <w:tcPr>
                  <w:tcW w:w="1654" w:type="pct"/>
                  <w:vAlign w:val="center"/>
                </w:tcPr>
                <w:p w14:paraId="0696367B">
                  <w:pPr>
                    <w:pStyle w:val="28"/>
                    <w:rPr>
                      <w:highlight w:val="none"/>
                    </w:rPr>
                  </w:pPr>
                  <w:r>
                    <w:rPr>
                      <w:rFonts w:hint="eastAsia"/>
                      <w:highlight w:val="none"/>
                    </w:rPr>
                    <w:t>分割冷鲜肉产品</w:t>
                  </w:r>
                </w:p>
              </w:tc>
              <w:tc>
                <w:tcPr>
                  <w:tcW w:w="1449" w:type="pct"/>
                  <w:vAlign w:val="center"/>
                </w:tcPr>
                <w:p w14:paraId="4BB4BA51">
                  <w:pPr>
                    <w:pStyle w:val="28"/>
                    <w:rPr>
                      <w:highlight w:val="none"/>
                    </w:rPr>
                  </w:pPr>
                  <w:r>
                    <w:rPr>
                      <w:rFonts w:hint="eastAsia"/>
                      <w:highlight w:val="none"/>
                    </w:rPr>
                    <w:t>4500吨/年</w:t>
                  </w:r>
                </w:p>
              </w:tc>
              <w:tc>
                <w:tcPr>
                  <w:tcW w:w="1449" w:type="pct"/>
                  <w:vAlign w:val="center"/>
                </w:tcPr>
                <w:p w14:paraId="6F5C80A7">
                  <w:pPr>
                    <w:pStyle w:val="28"/>
                    <w:rPr>
                      <w:highlight w:val="none"/>
                    </w:rPr>
                  </w:pPr>
                  <w:r>
                    <w:rPr>
                      <w:rFonts w:hint="eastAsia"/>
                      <w:highlight w:val="none"/>
                    </w:rPr>
                    <w:t>肉牛屠宰加工提供</w:t>
                  </w:r>
                </w:p>
              </w:tc>
            </w:tr>
            <w:tr w14:paraId="246A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Align w:val="center"/>
                </w:tcPr>
                <w:p w14:paraId="535F94A9">
                  <w:pPr>
                    <w:pStyle w:val="28"/>
                    <w:rPr>
                      <w:highlight w:val="none"/>
                    </w:rPr>
                  </w:pPr>
                  <w:r>
                    <w:rPr>
                      <w:rFonts w:hint="eastAsia"/>
                      <w:highlight w:val="none"/>
                    </w:rPr>
                    <w:t>3</w:t>
                  </w:r>
                </w:p>
              </w:tc>
              <w:tc>
                <w:tcPr>
                  <w:tcW w:w="1654" w:type="pct"/>
                  <w:vAlign w:val="center"/>
                </w:tcPr>
                <w:p w14:paraId="14D6F043">
                  <w:pPr>
                    <w:pStyle w:val="28"/>
                    <w:rPr>
                      <w:highlight w:val="none"/>
                    </w:rPr>
                  </w:pPr>
                  <w:r>
                    <w:rPr>
                      <w:rFonts w:hint="eastAsia"/>
                      <w:highlight w:val="none"/>
                    </w:rPr>
                    <w:t>牛扒</w:t>
                  </w:r>
                </w:p>
              </w:tc>
              <w:tc>
                <w:tcPr>
                  <w:tcW w:w="1449" w:type="pct"/>
                  <w:vAlign w:val="center"/>
                </w:tcPr>
                <w:p w14:paraId="14CBFE27">
                  <w:pPr>
                    <w:pStyle w:val="28"/>
                    <w:rPr>
                      <w:highlight w:val="none"/>
                    </w:rPr>
                  </w:pPr>
                  <w:r>
                    <w:rPr>
                      <w:rFonts w:hint="eastAsia"/>
                      <w:highlight w:val="none"/>
                    </w:rPr>
                    <w:t>2000吨/年</w:t>
                  </w:r>
                </w:p>
              </w:tc>
              <w:tc>
                <w:tcPr>
                  <w:tcW w:w="1449" w:type="pct"/>
                  <w:vAlign w:val="center"/>
                </w:tcPr>
                <w:p w14:paraId="70E1E067">
                  <w:pPr>
                    <w:pStyle w:val="28"/>
                    <w:rPr>
                      <w:highlight w:val="none"/>
                    </w:rPr>
                  </w:pPr>
                  <w:r>
                    <w:rPr>
                      <w:rFonts w:hint="eastAsia"/>
                      <w:highlight w:val="none"/>
                    </w:rPr>
                    <w:t>肉牛屠宰加工提供</w:t>
                  </w:r>
                </w:p>
              </w:tc>
            </w:tr>
            <w:tr w14:paraId="5088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Align w:val="center"/>
                </w:tcPr>
                <w:p w14:paraId="2E3374F6">
                  <w:pPr>
                    <w:pStyle w:val="28"/>
                    <w:rPr>
                      <w:highlight w:val="none"/>
                    </w:rPr>
                  </w:pPr>
                  <w:r>
                    <w:rPr>
                      <w:rFonts w:hint="eastAsia"/>
                      <w:highlight w:val="none"/>
                    </w:rPr>
                    <w:t>4</w:t>
                  </w:r>
                </w:p>
              </w:tc>
              <w:tc>
                <w:tcPr>
                  <w:tcW w:w="1654" w:type="pct"/>
                  <w:vAlign w:val="center"/>
                </w:tcPr>
                <w:p w14:paraId="071AD3A4">
                  <w:pPr>
                    <w:pStyle w:val="28"/>
                    <w:rPr>
                      <w:highlight w:val="none"/>
                    </w:rPr>
                  </w:pPr>
                  <w:r>
                    <w:rPr>
                      <w:rFonts w:hint="eastAsia"/>
                      <w:highlight w:val="none"/>
                    </w:rPr>
                    <w:t>肉串</w:t>
                  </w:r>
                </w:p>
              </w:tc>
              <w:tc>
                <w:tcPr>
                  <w:tcW w:w="1449" w:type="pct"/>
                  <w:vAlign w:val="center"/>
                </w:tcPr>
                <w:p w14:paraId="2B35FEFD">
                  <w:pPr>
                    <w:pStyle w:val="28"/>
                    <w:rPr>
                      <w:highlight w:val="none"/>
                    </w:rPr>
                  </w:pPr>
                  <w:r>
                    <w:rPr>
                      <w:rFonts w:hint="eastAsia"/>
                      <w:highlight w:val="none"/>
                    </w:rPr>
                    <w:t>1000吨/年</w:t>
                  </w:r>
                </w:p>
              </w:tc>
              <w:tc>
                <w:tcPr>
                  <w:tcW w:w="1449" w:type="pct"/>
                  <w:vAlign w:val="center"/>
                </w:tcPr>
                <w:p w14:paraId="51840388">
                  <w:pPr>
                    <w:pStyle w:val="28"/>
                    <w:rPr>
                      <w:highlight w:val="none"/>
                    </w:rPr>
                  </w:pPr>
                  <w:r>
                    <w:rPr>
                      <w:rFonts w:hint="eastAsia"/>
                      <w:highlight w:val="none"/>
                    </w:rPr>
                    <w:t>肉牛屠宰加工提供</w:t>
                  </w:r>
                </w:p>
              </w:tc>
            </w:tr>
            <w:tr w14:paraId="12A9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Align w:val="center"/>
                </w:tcPr>
                <w:p w14:paraId="171E9FB4">
                  <w:pPr>
                    <w:pStyle w:val="28"/>
                    <w:rPr>
                      <w:highlight w:val="none"/>
                    </w:rPr>
                  </w:pPr>
                  <w:r>
                    <w:rPr>
                      <w:rFonts w:hint="eastAsia"/>
                      <w:highlight w:val="none"/>
                    </w:rPr>
                    <w:t>5</w:t>
                  </w:r>
                </w:p>
              </w:tc>
              <w:tc>
                <w:tcPr>
                  <w:tcW w:w="1654" w:type="pct"/>
                  <w:vAlign w:val="center"/>
                </w:tcPr>
                <w:p w14:paraId="0CE16B86">
                  <w:pPr>
                    <w:pStyle w:val="28"/>
                    <w:rPr>
                      <w:highlight w:val="none"/>
                    </w:rPr>
                  </w:pPr>
                  <w:r>
                    <w:rPr>
                      <w:rFonts w:hint="eastAsia"/>
                      <w:highlight w:val="none"/>
                    </w:rPr>
                    <w:t>肉肠</w:t>
                  </w:r>
                </w:p>
              </w:tc>
              <w:tc>
                <w:tcPr>
                  <w:tcW w:w="1449" w:type="pct"/>
                  <w:vAlign w:val="center"/>
                </w:tcPr>
                <w:p w14:paraId="3EE6B0D2">
                  <w:pPr>
                    <w:pStyle w:val="28"/>
                    <w:rPr>
                      <w:highlight w:val="none"/>
                    </w:rPr>
                  </w:pPr>
                  <w:r>
                    <w:rPr>
                      <w:rFonts w:hint="eastAsia"/>
                      <w:highlight w:val="none"/>
                    </w:rPr>
                    <w:t>1500吨/年</w:t>
                  </w:r>
                </w:p>
              </w:tc>
              <w:tc>
                <w:tcPr>
                  <w:tcW w:w="1449" w:type="pct"/>
                  <w:vAlign w:val="center"/>
                </w:tcPr>
                <w:p w14:paraId="331A4A85">
                  <w:pPr>
                    <w:pStyle w:val="28"/>
                    <w:rPr>
                      <w:highlight w:val="none"/>
                    </w:rPr>
                  </w:pPr>
                  <w:r>
                    <w:rPr>
                      <w:rFonts w:hint="eastAsia"/>
                      <w:highlight w:val="none"/>
                    </w:rPr>
                    <w:t>肉牛屠宰加工提供</w:t>
                  </w:r>
                </w:p>
              </w:tc>
            </w:tr>
            <w:tr w14:paraId="7F57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Align w:val="center"/>
                </w:tcPr>
                <w:p w14:paraId="12B2298B">
                  <w:pPr>
                    <w:pStyle w:val="28"/>
                    <w:rPr>
                      <w:highlight w:val="none"/>
                    </w:rPr>
                  </w:pPr>
                  <w:r>
                    <w:rPr>
                      <w:rFonts w:hint="eastAsia"/>
                      <w:highlight w:val="none"/>
                    </w:rPr>
                    <w:t>6</w:t>
                  </w:r>
                </w:p>
              </w:tc>
              <w:tc>
                <w:tcPr>
                  <w:tcW w:w="1654" w:type="pct"/>
                  <w:vAlign w:val="center"/>
                </w:tcPr>
                <w:p w14:paraId="57F064F4">
                  <w:pPr>
                    <w:pStyle w:val="28"/>
                    <w:rPr>
                      <w:highlight w:val="none"/>
                    </w:rPr>
                  </w:pPr>
                  <w:r>
                    <w:rPr>
                      <w:rFonts w:hint="eastAsia"/>
                      <w:highlight w:val="none"/>
                    </w:rPr>
                    <w:t>肉丸</w:t>
                  </w:r>
                </w:p>
              </w:tc>
              <w:tc>
                <w:tcPr>
                  <w:tcW w:w="1449" w:type="pct"/>
                  <w:vAlign w:val="center"/>
                </w:tcPr>
                <w:p w14:paraId="3C5DCBF8">
                  <w:pPr>
                    <w:pStyle w:val="28"/>
                    <w:rPr>
                      <w:highlight w:val="none"/>
                    </w:rPr>
                  </w:pPr>
                  <w:r>
                    <w:rPr>
                      <w:rFonts w:hint="eastAsia"/>
                      <w:highlight w:val="none"/>
                    </w:rPr>
                    <w:t>1000吨/年</w:t>
                  </w:r>
                </w:p>
              </w:tc>
              <w:tc>
                <w:tcPr>
                  <w:tcW w:w="1449" w:type="pct"/>
                  <w:vAlign w:val="center"/>
                </w:tcPr>
                <w:p w14:paraId="7566AF13">
                  <w:pPr>
                    <w:pStyle w:val="28"/>
                    <w:rPr>
                      <w:highlight w:val="none"/>
                    </w:rPr>
                  </w:pPr>
                  <w:r>
                    <w:rPr>
                      <w:rFonts w:hint="eastAsia"/>
                      <w:highlight w:val="none"/>
                    </w:rPr>
                    <w:t>肉牛屠宰加工提供</w:t>
                  </w:r>
                </w:p>
              </w:tc>
            </w:tr>
            <w:tr w14:paraId="7CDB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6" w:type="pct"/>
                  <w:vAlign w:val="center"/>
                </w:tcPr>
                <w:p w14:paraId="55DB7093">
                  <w:pPr>
                    <w:pStyle w:val="28"/>
                    <w:rPr>
                      <w:highlight w:val="none"/>
                    </w:rPr>
                  </w:pPr>
                  <w:r>
                    <w:rPr>
                      <w:rFonts w:hint="eastAsia"/>
                      <w:highlight w:val="none"/>
                    </w:rPr>
                    <w:t>7</w:t>
                  </w:r>
                </w:p>
              </w:tc>
              <w:tc>
                <w:tcPr>
                  <w:tcW w:w="2766" w:type="dxa"/>
                  <w:vAlign w:val="center"/>
                </w:tcPr>
                <w:p w14:paraId="5E7A9C7B">
                  <w:pPr>
                    <w:pStyle w:val="28"/>
                    <w:rPr>
                      <w:highlight w:val="none"/>
                    </w:rPr>
                  </w:pPr>
                  <w:r>
                    <w:rPr>
                      <w:rFonts w:hint="eastAsia"/>
                      <w:highlight w:val="none"/>
                    </w:rPr>
                    <w:t>生产热鲜羊胴体</w:t>
                  </w:r>
                </w:p>
              </w:tc>
              <w:tc>
                <w:tcPr>
                  <w:tcW w:w="2423" w:type="dxa"/>
                  <w:vAlign w:val="center"/>
                </w:tcPr>
                <w:p w14:paraId="20D1F5CC">
                  <w:pPr>
                    <w:pStyle w:val="28"/>
                    <w:rPr>
                      <w:highlight w:val="none"/>
                    </w:rPr>
                  </w:pPr>
                  <w:r>
                    <w:rPr>
                      <w:rFonts w:hint="eastAsia"/>
                      <w:highlight w:val="none"/>
                    </w:rPr>
                    <w:t>50000</w:t>
                  </w:r>
                  <w:r>
                    <w:rPr>
                      <w:rFonts w:hint="eastAsia"/>
                      <w:color w:val="000000" w:themeColor="text1"/>
                      <w:highlight w:val="none"/>
                      <w14:textFill>
                        <w14:solidFill>
                          <w14:schemeClr w14:val="tx1"/>
                        </w14:solidFill>
                      </w14:textFill>
                    </w:rPr>
                    <w:t>只</w:t>
                  </w:r>
                  <w:r>
                    <w:rPr>
                      <w:rFonts w:hint="eastAsia"/>
                      <w:highlight w:val="none"/>
                    </w:rPr>
                    <w:t>/年</w:t>
                  </w:r>
                </w:p>
              </w:tc>
              <w:tc>
                <w:tcPr>
                  <w:tcW w:w="1449" w:type="pct"/>
                  <w:vAlign w:val="center"/>
                </w:tcPr>
                <w:p w14:paraId="31CF6827">
                  <w:pPr>
                    <w:pStyle w:val="28"/>
                    <w:rPr>
                      <w:highlight w:val="none"/>
                    </w:rPr>
                  </w:pPr>
                  <w:r>
                    <w:rPr>
                      <w:rFonts w:hint="eastAsia"/>
                      <w:highlight w:val="none"/>
                    </w:rPr>
                    <w:t>/</w:t>
                  </w:r>
                </w:p>
              </w:tc>
            </w:tr>
          </w:tbl>
          <w:p w14:paraId="0BD305AB">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3.</w:t>
            </w:r>
            <w:r>
              <w:rPr>
                <w:b/>
                <w:bCs/>
                <w:color w:val="000000" w:themeColor="text1"/>
                <w:kern w:val="0"/>
                <w:sz w:val="28"/>
                <w:szCs w:val="28"/>
                <w:highlight w:val="none"/>
                <w:lang w:bidi="ar"/>
                <w14:textFill>
                  <w14:solidFill>
                    <w14:schemeClr w14:val="tx1"/>
                  </w14:solidFill>
                </w14:textFill>
              </w:rPr>
              <w:t>主要</w:t>
            </w:r>
            <w:r>
              <w:rPr>
                <w:rFonts w:hint="eastAsia"/>
                <w:b/>
                <w:bCs/>
                <w:color w:val="000000" w:themeColor="text1"/>
                <w:kern w:val="0"/>
                <w:sz w:val="28"/>
                <w:szCs w:val="28"/>
                <w:highlight w:val="none"/>
                <w:lang w:bidi="ar"/>
                <w14:textFill>
                  <w14:solidFill>
                    <w14:schemeClr w14:val="tx1"/>
                  </w14:solidFill>
                </w14:textFill>
              </w:rPr>
              <w:t>生产</w:t>
            </w:r>
            <w:r>
              <w:rPr>
                <w:b/>
                <w:bCs/>
                <w:color w:val="000000" w:themeColor="text1"/>
                <w:kern w:val="0"/>
                <w:sz w:val="28"/>
                <w:szCs w:val="28"/>
                <w:highlight w:val="none"/>
                <w:lang w:bidi="ar"/>
                <w14:textFill>
                  <w14:solidFill>
                    <w14:schemeClr w14:val="tx1"/>
                  </w14:solidFill>
                </w14:textFill>
              </w:rPr>
              <w:t>设备</w:t>
            </w:r>
          </w:p>
          <w:p w14:paraId="398D2772">
            <w:pPr>
              <w:pStyle w:val="50"/>
              <w:spacing w:before="34" w:line="340" w:lineRule="auto"/>
              <w:ind w:left="112" w:firstLine="484"/>
              <w:rPr>
                <w:rFonts w:ascii="Times New Roman" w:hAnsi="Times New Roman"/>
                <w:color w:val="000000" w:themeColor="text1"/>
                <w:highlight w:val="none"/>
                <w:lang w:eastAsia="zh-CN"/>
                <w14:textFill>
                  <w14:solidFill>
                    <w14:schemeClr w14:val="tx1"/>
                  </w14:solidFill>
                </w14:textFill>
              </w:rPr>
            </w:pPr>
            <w:r>
              <w:rPr>
                <w:rFonts w:hint="eastAsia"/>
                <w:color w:val="000000" w:themeColor="text1"/>
                <w:kern w:val="0"/>
                <w:highlight w:val="none"/>
                <w:lang w:eastAsia="zh-CN" w:bidi="ar"/>
                <w14:textFill>
                  <w14:solidFill>
                    <w14:schemeClr w14:val="tx1"/>
                  </w14:solidFill>
                </w14:textFill>
              </w:rPr>
              <w:t>本项目进行肉羊屠宰工作，</w:t>
            </w:r>
            <w:r>
              <w:rPr>
                <w:rFonts w:ascii="Times New Roman" w:hAnsi="Times New Roman"/>
                <w:color w:val="000000" w:themeColor="text1"/>
                <w:spacing w:val="3"/>
                <w:highlight w:val="none"/>
                <w:lang w:eastAsia="zh-CN"/>
                <w14:textFill>
                  <w14:solidFill>
                    <w14:schemeClr w14:val="tx1"/>
                  </w14:solidFill>
                </w14:textFill>
              </w:rPr>
              <w:t>根据建设单位提供资料，</w:t>
            </w:r>
            <w:r>
              <w:rPr>
                <w:rFonts w:hint="eastAsia" w:ascii="Times New Roman" w:hAnsi="Times New Roman"/>
                <w:color w:val="000000" w:themeColor="text1"/>
                <w:spacing w:val="3"/>
                <w:highlight w:val="none"/>
                <w:lang w:eastAsia="zh-CN"/>
                <w14:textFill>
                  <w14:solidFill>
                    <w14:schemeClr w14:val="tx1"/>
                  </w14:solidFill>
                </w14:textFill>
              </w:rPr>
              <w:t>本改建项目新增</w:t>
            </w:r>
            <w:r>
              <w:rPr>
                <w:rFonts w:ascii="Times New Roman" w:hAnsi="Times New Roman"/>
                <w:color w:val="000000" w:themeColor="text1"/>
                <w:spacing w:val="3"/>
                <w:highlight w:val="none"/>
                <w:lang w:eastAsia="zh-CN"/>
                <w14:textFill>
                  <w14:solidFill>
                    <w14:schemeClr w14:val="tx1"/>
                  </w14:solidFill>
                </w14:textFill>
              </w:rPr>
              <w:t>主要</w:t>
            </w:r>
            <w:r>
              <w:rPr>
                <w:rFonts w:hint="eastAsia" w:ascii="Times New Roman" w:hAnsi="Times New Roman"/>
                <w:color w:val="000000" w:themeColor="text1"/>
                <w:spacing w:val="3"/>
                <w:highlight w:val="none"/>
                <w:lang w:eastAsia="zh-CN"/>
                <w14:textFill>
                  <w14:solidFill>
                    <w14:schemeClr w14:val="tx1"/>
                  </w14:solidFill>
                </w14:textFill>
              </w:rPr>
              <w:t>生产</w:t>
            </w:r>
            <w:r>
              <w:rPr>
                <w:rFonts w:ascii="Times New Roman" w:hAnsi="Times New Roman"/>
                <w:color w:val="000000" w:themeColor="text1"/>
                <w:spacing w:val="3"/>
                <w:highlight w:val="none"/>
                <w:lang w:eastAsia="zh-CN"/>
                <w14:textFill>
                  <w14:solidFill>
                    <w14:schemeClr w14:val="tx1"/>
                  </w14:solidFill>
                </w14:textFill>
              </w:rPr>
              <w:t>设备见表</w:t>
            </w:r>
            <w:r>
              <w:rPr>
                <w:rFonts w:ascii="Times New Roman" w:hAnsi="Times New Roman" w:cs="Times New Roman"/>
                <w:color w:val="000000" w:themeColor="text1"/>
                <w:spacing w:val="-2"/>
                <w:highlight w:val="none"/>
                <w:lang w:eastAsia="zh-CN"/>
                <w14:textFill>
                  <w14:solidFill>
                    <w14:schemeClr w14:val="tx1"/>
                  </w14:solidFill>
                </w14:textFill>
              </w:rPr>
              <w:t>2-</w:t>
            </w:r>
            <w:r>
              <w:rPr>
                <w:rFonts w:hint="eastAsia" w:ascii="Times New Roman" w:hAnsi="Times New Roman" w:cs="Times New Roman"/>
                <w:color w:val="000000" w:themeColor="text1"/>
                <w:spacing w:val="-2"/>
                <w:highlight w:val="none"/>
                <w:lang w:eastAsia="zh-CN"/>
                <w14:textFill>
                  <w14:solidFill>
                    <w14:schemeClr w14:val="tx1"/>
                  </w14:solidFill>
                </w14:textFill>
              </w:rPr>
              <w:t>4</w:t>
            </w:r>
            <w:r>
              <w:rPr>
                <w:rFonts w:ascii="Times New Roman" w:hAnsi="Times New Roman"/>
                <w:color w:val="000000" w:themeColor="text1"/>
                <w:spacing w:val="-2"/>
                <w:highlight w:val="none"/>
                <w:lang w:eastAsia="zh-CN"/>
                <w14:textFill>
                  <w14:solidFill>
                    <w14:schemeClr w14:val="tx1"/>
                  </w14:solidFill>
                </w14:textFill>
              </w:rPr>
              <w:t>。</w:t>
            </w:r>
          </w:p>
          <w:p w14:paraId="772F0E56">
            <w:pPr>
              <w:pStyle w:val="30"/>
              <w:rPr>
                <w:rFonts w:hint="default"/>
                <w:highlight w:val="none"/>
              </w:rPr>
            </w:pPr>
            <w:r>
              <w:rPr>
                <w:highlight w:val="none"/>
              </w:rPr>
              <w:t>表2-4本改建项目新增设备一览表</w:t>
            </w:r>
          </w:p>
          <w:tbl>
            <w:tblPr>
              <w:tblStyle w:val="20"/>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2"/>
              <w:gridCol w:w="2871"/>
              <w:gridCol w:w="2441"/>
              <w:gridCol w:w="713"/>
              <w:gridCol w:w="716"/>
              <w:gridCol w:w="780"/>
            </w:tblGrid>
            <w:tr w14:paraId="5D113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03" w:type="pct"/>
                  <w:vAlign w:val="center"/>
                </w:tcPr>
                <w:p w14:paraId="6345F5D9">
                  <w:pPr>
                    <w:pStyle w:val="28"/>
                    <w:rPr>
                      <w:b/>
                      <w:bCs/>
                      <w:highlight w:val="none"/>
                    </w:rPr>
                  </w:pPr>
                  <w:r>
                    <w:rPr>
                      <w:b/>
                      <w:bCs/>
                      <w:highlight w:val="none"/>
                    </w:rPr>
                    <w:t>序号</w:t>
                  </w:r>
                </w:p>
              </w:tc>
              <w:tc>
                <w:tcPr>
                  <w:tcW w:w="1715" w:type="pct"/>
                  <w:vAlign w:val="center"/>
                </w:tcPr>
                <w:p w14:paraId="0DF5625F">
                  <w:pPr>
                    <w:pStyle w:val="28"/>
                    <w:rPr>
                      <w:b/>
                      <w:bCs/>
                      <w:highlight w:val="none"/>
                    </w:rPr>
                  </w:pPr>
                  <w:r>
                    <w:rPr>
                      <w:b/>
                      <w:bCs/>
                      <w:highlight w:val="none"/>
                    </w:rPr>
                    <w:t>设备名称</w:t>
                  </w:r>
                </w:p>
              </w:tc>
              <w:tc>
                <w:tcPr>
                  <w:tcW w:w="1458" w:type="pct"/>
                  <w:vAlign w:val="center"/>
                </w:tcPr>
                <w:p w14:paraId="19CB9681">
                  <w:pPr>
                    <w:pStyle w:val="28"/>
                    <w:rPr>
                      <w:b/>
                      <w:bCs/>
                      <w:highlight w:val="none"/>
                    </w:rPr>
                  </w:pPr>
                  <w:r>
                    <w:rPr>
                      <w:b/>
                      <w:bCs/>
                      <w:highlight w:val="none"/>
                    </w:rPr>
                    <w:t>规格型号</w:t>
                  </w:r>
                </w:p>
              </w:tc>
              <w:tc>
                <w:tcPr>
                  <w:tcW w:w="426" w:type="pct"/>
                  <w:vAlign w:val="center"/>
                </w:tcPr>
                <w:p w14:paraId="32598AFC">
                  <w:pPr>
                    <w:pStyle w:val="28"/>
                    <w:rPr>
                      <w:b/>
                      <w:bCs/>
                      <w:highlight w:val="none"/>
                    </w:rPr>
                  </w:pPr>
                  <w:r>
                    <w:rPr>
                      <w:b/>
                      <w:bCs/>
                      <w:highlight w:val="none"/>
                    </w:rPr>
                    <w:t>单位</w:t>
                  </w:r>
                </w:p>
              </w:tc>
              <w:tc>
                <w:tcPr>
                  <w:tcW w:w="428" w:type="pct"/>
                  <w:vAlign w:val="center"/>
                </w:tcPr>
                <w:p w14:paraId="3035C143">
                  <w:pPr>
                    <w:pStyle w:val="28"/>
                    <w:rPr>
                      <w:b/>
                      <w:bCs/>
                      <w:highlight w:val="none"/>
                    </w:rPr>
                  </w:pPr>
                  <w:r>
                    <w:rPr>
                      <w:b/>
                      <w:bCs/>
                      <w:highlight w:val="none"/>
                    </w:rPr>
                    <w:t>数量</w:t>
                  </w:r>
                </w:p>
              </w:tc>
              <w:tc>
                <w:tcPr>
                  <w:tcW w:w="466" w:type="pct"/>
                  <w:vAlign w:val="center"/>
                </w:tcPr>
                <w:p w14:paraId="1943E768">
                  <w:pPr>
                    <w:pStyle w:val="28"/>
                    <w:rPr>
                      <w:b/>
                      <w:bCs/>
                      <w:highlight w:val="none"/>
                    </w:rPr>
                  </w:pPr>
                  <w:r>
                    <w:rPr>
                      <w:b/>
                      <w:bCs/>
                      <w:highlight w:val="none"/>
                    </w:rPr>
                    <w:t>备注</w:t>
                  </w:r>
                </w:p>
              </w:tc>
            </w:tr>
            <w:tr w14:paraId="70F78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03" w:type="pct"/>
                  <w:vAlign w:val="center"/>
                </w:tcPr>
                <w:p w14:paraId="79CC259A">
                  <w:pPr>
                    <w:pStyle w:val="28"/>
                    <w:rPr>
                      <w:highlight w:val="none"/>
                    </w:rPr>
                  </w:pPr>
                  <w:r>
                    <w:rPr>
                      <w:rFonts w:hint="eastAsia"/>
                      <w:highlight w:val="none"/>
                    </w:rPr>
                    <w:t>1</w:t>
                  </w:r>
                </w:p>
              </w:tc>
              <w:tc>
                <w:tcPr>
                  <w:tcW w:w="1715" w:type="pct"/>
                  <w:vAlign w:val="center"/>
                </w:tcPr>
                <w:p w14:paraId="27CB6BC0">
                  <w:pPr>
                    <w:pStyle w:val="28"/>
                    <w:rPr>
                      <w:highlight w:val="none"/>
                    </w:rPr>
                  </w:pPr>
                  <w:r>
                    <w:rPr>
                      <w:rFonts w:hint="eastAsia"/>
                      <w:highlight w:val="none"/>
                    </w:rPr>
                    <w:t>烫池</w:t>
                  </w:r>
                </w:p>
              </w:tc>
              <w:tc>
                <w:tcPr>
                  <w:tcW w:w="1458" w:type="pct"/>
                  <w:vAlign w:val="center"/>
                </w:tcPr>
                <w:p w14:paraId="41F16051">
                  <w:pPr>
                    <w:pStyle w:val="28"/>
                    <w:rPr>
                      <w:highlight w:val="none"/>
                    </w:rPr>
                  </w:pPr>
                  <w:r>
                    <w:rPr>
                      <w:rFonts w:hint="eastAsia"/>
                      <w:highlight w:val="none"/>
                    </w:rPr>
                    <w:t>48kW</w:t>
                  </w:r>
                </w:p>
              </w:tc>
              <w:tc>
                <w:tcPr>
                  <w:tcW w:w="426" w:type="pct"/>
                  <w:vAlign w:val="center"/>
                </w:tcPr>
                <w:p w14:paraId="6408ECC6">
                  <w:pPr>
                    <w:pStyle w:val="28"/>
                    <w:rPr>
                      <w:highlight w:val="none"/>
                    </w:rPr>
                  </w:pPr>
                  <w:r>
                    <w:rPr>
                      <w:rFonts w:hint="eastAsia"/>
                      <w:highlight w:val="none"/>
                    </w:rPr>
                    <w:t>个</w:t>
                  </w:r>
                </w:p>
              </w:tc>
              <w:tc>
                <w:tcPr>
                  <w:tcW w:w="428" w:type="pct"/>
                  <w:vAlign w:val="center"/>
                </w:tcPr>
                <w:p w14:paraId="4570509B">
                  <w:pPr>
                    <w:pStyle w:val="28"/>
                    <w:rPr>
                      <w:highlight w:val="none"/>
                    </w:rPr>
                  </w:pPr>
                  <w:r>
                    <w:rPr>
                      <w:rFonts w:hint="eastAsia"/>
                      <w:highlight w:val="none"/>
                    </w:rPr>
                    <w:t>1</w:t>
                  </w:r>
                </w:p>
              </w:tc>
              <w:tc>
                <w:tcPr>
                  <w:tcW w:w="466" w:type="pct"/>
                  <w:vAlign w:val="center"/>
                </w:tcPr>
                <w:p w14:paraId="00D11AA3">
                  <w:pPr>
                    <w:pStyle w:val="28"/>
                    <w:rPr>
                      <w:highlight w:val="none"/>
                    </w:rPr>
                  </w:pPr>
                  <w:r>
                    <w:rPr>
                      <w:rFonts w:hint="eastAsia"/>
                      <w:highlight w:val="none"/>
                    </w:rPr>
                    <w:t>新建</w:t>
                  </w:r>
                </w:p>
              </w:tc>
            </w:tr>
            <w:tr w14:paraId="0AB6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03" w:type="pct"/>
                  <w:vAlign w:val="center"/>
                </w:tcPr>
                <w:p w14:paraId="63257498">
                  <w:pPr>
                    <w:pStyle w:val="28"/>
                    <w:rPr>
                      <w:highlight w:val="none"/>
                    </w:rPr>
                  </w:pPr>
                  <w:r>
                    <w:rPr>
                      <w:rFonts w:hint="eastAsia"/>
                      <w:highlight w:val="none"/>
                    </w:rPr>
                    <w:t>2</w:t>
                  </w:r>
                </w:p>
              </w:tc>
              <w:tc>
                <w:tcPr>
                  <w:tcW w:w="1715" w:type="pct"/>
                  <w:vAlign w:val="center"/>
                </w:tcPr>
                <w:p w14:paraId="2EF6E222">
                  <w:pPr>
                    <w:pStyle w:val="28"/>
                    <w:rPr>
                      <w:highlight w:val="none"/>
                    </w:rPr>
                  </w:pPr>
                  <w:r>
                    <w:rPr>
                      <w:rFonts w:hint="eastAsia"/>
                      <w:highlight w:val="none"/>
                    </w:rPr>
                    <w:t>脱毛机</w:t>
                  </w:r>
                </w:p>
              </w:tc>
              <w:tc>
                <w:tcPr>
                  <w:tcW w:w="1458" w:type="pct"/>
                  <w:vAlign w:val="center"/>
                </w:tcPr>
                <w:p w14:paraId="504DEFF1">
                  <w:pPr>
                    <w:pStyle w:val="28"/>
                    <w:rPr>
                      <w:highlight w:val="none"/>
                    </w:rPr>
                  </w:pPr>
                  <w:r>
                    <w:rPr>
                      <w:rFonts w:hint="eastAsia"/>
                      <w:highlight w:val="none"/>
                    </w:rPr>
                    <w:t>TQW50型‌</w:t>
                  </w:r>
                </w:p>
              </w:tc>
              <w:tc>
                <w:tcPr>
                  <w:tcW w:w="426" w:type="pct"/>
                  <w:vAlign w:val="center"/>
                </w:tcPr>
                <w:p w14:paraId="58FAD63A">
                  <w:pPr>
                    <w:pStyle w:val="28"/>
                    <w:rPr>
                      <w:highlight w:val="none"/>
                    </w:rPr>
                  </w:pPr>
                  <w:r>
                    <w:rPr>
                      <w:rFonts w:hint="eastAsia"/>
                      <w:highlight w:val="none"/>
                    </w:rPr>
                    <w:t>台</w:t>
                  </w:r>
                </w:p>
              </w:tc>
              <w:tc>
                <w:tcPr>
                  <w:tcW w:w="428" w:type="pct"/>
                  <w:vAlign w:val="center"/>
                </w:tcPr>
                <w:p w14:paraId="29F95B91">
                  <w:pPr>
                    <w:pStyle w:val="28"/>
                    <w:rPr>
                      <w:highlight w:val="none"/>
                    </w:rPr>
                  </w:pPr>
                  <w:r>
                    <w:rPr>
                      <w:rFonts w:hint="eastAsia"/>
                      <w:highlight w:val="none"/>
                    </w:rPr>
                    <w:t>1</w:t>
                  </w:r>
                </w:p>
              </w:tc>
              <w:tc>
                <w:tcPr>
                  <w:tcW w:w="466" w:type="pct"/>
                  <w:vAlign w:val="center"/>
                </w:tcPr>
                <w:p w14:paraId="5E3AA41D">
                  <w:pPr>
                    <w:pStyle w:val="28"/>
                    <w:rPr>
                      <w:highlight w:val="none"/>
                    </w:rPr>
                  </w:pPr>
                  <w:r>
                    <w:rPr>
                      <w:rFonts w:hint="eastAsia"/>
                      <w:highlight w:val="none"/>
                    </w:rPr>
                    <w:t>新建</w:t>
                  </w:r>
                </w:p>
              </w:tc>
            </w:tr>
            <w:tr w14:paraId="1F3AF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03" w:type="pct"/>
                  <w:vAlign w:val="center"/>
                </w:tcPr>
                <w:p w14:paraId="2246B2A4">
                  <w:pPr>
                    <w:pStyle w:val="28"/>
                    <w:rPr>
                      <w:highlight w:val="none"/>
                    </w:rPr>
                  </w:pPr>
                  <w:r>
                    <w:rPr>
                      <w:rFonts w:hint="eastAsia"/>
                      <w:highlight w:val="none"/>
                    </w:rPr>
                    <w:t>3</w:t>
                  </w:r>
                </w:p>
              </w:tc>
              <w:tc>
                <w:tcPr>
                  <w:tcW w:w="1715" w:type="pct"/>
                  <w:vAlign w:val="center"/>
                </w:tcPr>
                <w:p w14:paraId="0D400ECE">
                  <w:pPr>
                    <w:pStyle w:val="28"/>
                    <w:rPr>
                      <w:highlight w:val="none"/>
                    </w:rPr>
                  </w:pPr>
                  <w:r>
                    <w:rPr>
                      <w:rFonts w:hint="eastAsia"/>
                      <w:highlight w:val="none"/>
                    </w:rPr>
                    <w:t>辅助轨道</w:t>
                  </w:r>
                </w:p>
              </w:tc>
              <w:tc>
                <w:tcPr>
                  <w:tcW w:w="1458" w:type="pct"/>
                  <w:vAlign w:val="center"/>
                </w:tcPr>
                <w:p w14:paraId="6D84A46A">
                  <w:pPr>
                    <w:pStyle w:val="28"/>
                    <w:rPr>
                      <w:highlight w:val="none"/>
                    </w:rPr>
                  </w:pPr>
                  <w:r>
                    <w:rPr>
                      <w:rFonts w:hint="eastAsia"/>
                      <w:highlight w:val="none"/>
                    </w:rPr>
                    <w:t>/</w:t>
                  </w:r>
                </w:p>
              </w:tc>
              <w:tc>
                <w:tcPr>
                  <w:tcW w:w="426" w:type="pct"/>
                  <w:vAlign w:val="center"/>
                </w:tcPr>
                <w:p w14:paraId="14A45D76">
                  <w:pPr>
                    <w:pStyle w:val="28"/>
                    <w:rPr>
                      <w:highlight w:val="none"/>
                    </w:rPr>
                  </w:pPr>
                  <w:r>
                    <w:rPr>
                      <w:rFonts w:hint="eastAsia"/>
                      <w:highlight w:val="none"/>
                    </w:rPr>
                    <w:t>条</w:t>
                  </w:r>
                </w:p>
              </w:tc>
              <w:tc>
                <w:tcPr>
                  <w:tcW w:w="428" w:type="pct"/>
                  <w:vAlign w:val="center"/>
                </w:tcPr>
                <w:p w14:paraId="00A24187">
                  <w:pPr>
                    <w:pStyle w:val="28"/>
                    <w:rPr>
                      <w:highlight w:val="none"/>
                    </w:rPr>
                  </w:pPr>
                  <w:r>
                    <w:rPr>
                      <w:rFonts w:hint="eastAsia"/>
                      <w:highlight w:val="none"/>
                    </w:rPr>
                    <w:t>1</w:t>
                  </w:r>
                </w:p>
              </w:tc>
              <w:tc>
                <w:tcPr>
                  <w:tcW w:w="466" w:type="pct"/>
                  <w:vAlign w:val="center"/>
                </w:tcPr>
                <w:p w14:paraId="6BB87A5C">
                  <w:pPr>
                    <w:pStyle w:val="28"/>
                    <w:rPr>
                      <w:highlight w:val="none"/>
                    </w:rPr>
                  </w:pPr>
                  <w:r>
                    <w:rPr>
                      <w:rFonts w:hint="eastAsia"/>
                      <w:highlight w:val="none"/>
                    </w:rPr>
                    <w:t>改建</w:t>
                  </w:r>
                </w:p>
              </w:tc>
            </w:tr>
            <w:tr w14:paraId="39896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03" w:type="pct"/>
                  <w:vAlign w:val="center"/>
                </w:tcPr>
                <w:p w14:paraId="34F99BF4">
                  <w:pPr>
                    <w:pStyle w:val="28"/>
                    <w:rPr>
                      <w:highlight w:val="none"/>
                    </w:rPr>
                  </w:pPr>
                  <w:r>
                    <w:rPr>
                      <w:rFonts w:hint="eastAsia"/>
                      <w:highlight w:val="none"/>
                    </w:rPr>
                    <w:t>4</w:t>
                  </w:r>
                </w:p>
              </w:tc>
              <w:tc>
                <w:tcPr>
                  <w:tcW w:w="1715" w:type="pct"/>
                  <w:vAlign w:val="center"/>
                </w:tcPr>
                <w:p w14:paraId="66E0AAB7">
                  <w:pPr>
                    <w:pStyle w:val="28"/>
                    <w:rPr>
                      <w:highlight w:val="none"/>
                    </w:rPr>
                  </w:pPr>
                  <w:r>
                    <w:rPr>
                      <w:rFonts w:hint="eastAsia"/>
                      <w:highlight w:val="none"/>
                    </w:rPr>
                    <w:t>地</w:t>
                  </w:r>
                  <w:r>
                    <w:rPr>
                      <w:rFonts w:hint="eastAsia"/>
                      <w:highlight w:val="none"/>
                      <w:lang w:eastAsia="zh-CN"/>
                    </w:rPr>
                    <w:t>磅秤</w:t>
                  </w:r>
                </w:p>
              </w:tc>
              <w:tc>
                <w:tcPr>
                  <w:tcW w:w="1458" w:type="pct"/>
                  <w:vAlign w:val="center"/>
                </w:tcPr>
                <w:p w14:paraId="54022ED5">
                  <w:pPr>
                    <w:pStyle w:val="28"/>
                    <w:rPr>
                      <w:highlight w:val="none"/>
                    </w:rPr>
                  </w:pPr>
                  <w:r>
                    <w:rPr>
                      <w:rFonts w:hint="eastAsia"/>
                      <w:highlight w:val="none"/>
                    </w:rPr>
                    <w:t>/</w:t>
                  </w:r>
                </w:p>
              </w:tc>
              <w:tc>
                <w:tcPr>
                  <w:tcW w:w="426" w:type="pct"/>
                  <w:vAlign w:val="center"/>
                </w:tcPr>
                <w:p w14:paraId="72CB80FC">
                  <w:pPr>
                    <w:pStyle w:val="28"/>
                    <w:rPr>
                      <w:highlight w:val="none"/>
                    </w:rPr>
                  </w:pPr>
                  <w:r>
                    <w:rPr>
                      <w:rFonts w:hint="eastAsia"/>
                      <w:highlight w:val="none"/>
                    </w:rPr>
                    <w:t>台</w:t>
                  </w:r>
                </w:p>
              </w:tc>
              <w:tc>
                <w:tcPr>
                  <w:tcW w:w="428" w:type="pct"/>
                  <w:vAlign w:val="center"/>
                </w:tcPr>
                <w:p w14:paraId="04203B10">
                  <w:pPr>
                    <w:pStyle w:val="28"/>
                    <w:rPr>
                      <w:highlight w:val="none"/>
                    </w:rPr>
                  </w:pPr>
                  <w:r>
                    <w:rPr>
                      <w:rFonts w:hint="eastAsia"/>
                      <w:highlight w:val="none"/>
                    </w:rPr>
                    <w:t>1</w:t>
                  </w:r>
                </w:p>
              </w:tc>
              <w:tc>
                <w:tcPr>
                  <w:tcW w:w="466" w:type="pct"/>
                  <w:vAlign w:val="center"/>
                </w:tcPr>
                <w:p w14:paraId="63867D7F">
                  <w:pPr>
                    <w:pStyle w:val="28"/>
                    <w:rPr>
                      <w:highlight w:val="none"/>
                    </w:rPr>
                  </w:pPr>
                  <w:r>
                    <w:rPr>
                      <w:rFonts w:hint="eastAsia"/>
                      <w:highlight w:val="none"/>
                    </w:rPr>
                    <w:t>依托</w:t>
                  </w:r>
                </w:p>
              </w:tc>
            </w:tr>
            <w:tr w14:paraId="2C208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03" w:type="pct"/>
                  <w:vAlign w:val="center"/>
                </w:tcPr>
                <w:p w14:paraId="66AEA0B8">
                  <w:pPr>
                    <w:pStyle w:val="28"/>
                    <w:rPr>
                      <w:highlight w:val="none"/>
                    </w:rPr>
                  </w:pPr>
                  <w:r>
                    <w:rPr>
                      <w:rFonts w:hint="eastAsia"/>
                      <w:highlight w:val="none"/>
                    </w:rPr>
                    <w:t>5</w:t>
                  </w:r>
                </w:p>
              </w:tc>
              <w:tc>
                <w:tcPr>
                  <w:tcW w:w="1715" w:type="pct"/>
                  <w:vAlign w:val="center"/>
                </w:tcPr>
                <w:p w14:paraId="545897D9">
                  <w:pPr>
                    <w:pStyle w:val="28"/>
                    <w:rPr>
                      <w:highlight w:val="none"/>
                    </w:rPr>
                  </w:pPr>
                  <w:r>
                    <w:rPr>
                      <w:rFonts w:hint="eastAsia"/>
                      <w:highlight w:val="none"/>
                    </w:rPr>
                    <w:t>屠宰工具</w:t>
                  </w:r>
                </w:p>
              </w:tc>
              <w:tc>
                <w:tcPr>
                  <w:tcW w:w="1458" w:type="pct"/>
                  <w:vAlign w:val="center"/>
                </w:tcPr>
                <w:p w14:paraId="65C633F9">
                  <w:pPr>
                    <w:pStyle w:val="28"/>
                    <w:rPr>
                      <w:highlight w:val="none"/>
                    </w:rPr>
                  </w:pPr>
                  <w:r>
                    <w:rPr>
                      <w:rFonts w:hint="eastAsia"/>
                      <w:highlight w:val="none"/>
                    </w:rPr>
                    <w:t>/</w:t>
                  </w:r>
                </w:p>
              </w:tc>
              <w:tc>
                <w:tcPr>
                  <w:tcW w:w="426" w:type="pct"/>
                  <w:vAlign w:val="center"/>
                </w:tcPr>
                <w:p w14:paraId="7FC4D6FB">
                  <w:pPr>
                    <w:pStyle w:val="28"/>
                    <w:rPr>
                      <w:highlight w:val="none"/>
                    </w:rPr>
                  </w:pPr>
                  <w:r>
                    <w:rPr>
                      <w:rFonts w:hint="eastAsia"/>
                      <w:highlight w:val="none"/>
                    </w:rPr>
                    <w:t>套</w:t>
                  </w:r>
                </w:p>
              </w:tc>
              <w:tc>
                <w:tcPr>
                  <w:tcW w:w="428" w:type="pct"/>
                  <w:vAlign w:val="center"/>
                </w:tcPr>
                <w:p w14:paraId="3D78613B">
                  <w:pPr>
                    <w:pStyle w:val="28"/>
                    <w:rPr>
                      <w:highlight w:val="none"/>
                    </w:rPr>
                  </w:pPr>
                  <w:r>
                    <w:rPr>
                      <w:rFonts w:hint="eastAsia"/>
                      <w:highlight w:val="none"/>
                    </w:rPr>
                    <w:t>1</w:t>
                  </w:r>
                </w:p>
              </w:tc>
              <w:tc>
                <w:tcPr>
                  <w:tcW w:w="466" w:type="pct"/>
                  <w:vAlign w:val="center"/>
                </w:tcPr>
                <w:p w14:paraId="4E36ECA0">
                  <w:pPr>
                    <w:pStyle w:val="28"/>
                    <w:rPr>
                      <w:highlight w:val="none"/>
                    </w:rPr>
                  </w:pPr>
                  <w:r>
                    <w:rPr>
                      <w:rFonts w:hint="eastAsia"/>
                      <w:highlight w:val="none"/>
                    </w:rPr>
                    <w:t>依托</w:t>
                  </w:r>
                </w:p>
              </w:tc>
            </w:tr>
            <w:tr w14:paraId="4ED4B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03" w:type="pct"/>
                  <w:vAlign w:val="center"/>
                </w:tcPr>
                <w:p w14:paraId="21595F5A">
                  <w:pPr>
                    <w:pStyle w:val="28"/>
                    <w:rPr>
                      <w:rFonts w:hint="eastAsia" w:eastAsia="宋体"/>
                      <w:highlight w:val="none"/>
                      <w:lang w:val="en-US" w:eastAsia="zh-CN"/>
                    </w:rPr>
                  </w:pPr>
                  <w:r>
                    <w:rPr>
                      <w:rFonts w:hint="eastAsia"/>
                      <w:highlight w:val="none"/>
                      <w:lang w:val="en-US" w:eastAsia="zh-CN"/>
                    </w:rPr>
                    <w:t>6</w:t>
                  </w:r>
                </w:p>
              </w:tc>
              <w:tc>
                <w:tcPr>
                  <w:tcW w:w="1715" w:type="pct"/>
                  <w:vAlign w:val="center"/>
                </w:tcPr>
                <w:p w14:paraId="7AAABBF4">
                  <w:pPr>
                    <w:pStyle w:val="28"/>
                    <w:rPr>
                      <w:rFonts w:hint="default" w:eastAsia="宋体"/>
                      <w:highlight w:val="none"/>
                      <w:lang w:val="en-US" w:eastAsia="zh-CN"/>
                    </w:rPr>
                  </w:pPr>
                  <w:r>
                    <w:rPr>
                      <w:rFonts w:hint="eastAsia"/>
                      <w:highlight w:val="none"/>
                      <w:lang w:val="en-US" w:eastAsia="zh-CN"/>
                    </w:rPr>
                    <w:t>通风机</w:t>
                  </w:r>
                </w:p>
              </w:tc>
              <w:tc>
                <w:tcPr>
                  <w:tcW w:w="1458" w:type="pct"/>
                  <w:vAlign w:val="center"/>
                </w:tcPr>
                <w:p w14:paraId="13848814">
                  <w:pPr>
                    <w:pStyle w:val="28"/>
                    <w:rPr>
                      <w:rFonts w:hint="default" w:eastAsia="宋体"/>
                      <w:highlight w:val="none"/>
                      <w:lang w:val="en-US" w:eastAsia="zh-CN"/>
                    </w:rPr>
                  </w:pPr>
                  <w:r>
                    <w:rPr>
                      <w:rFonts w:hint="eastAsia"/>
                      <w:highlight w:val="none"/>
                      <w:lang w:val="en-US" w:eastAsia="zh-CN"/>
                    </w:rPr>
                    <w:t>SF6-4</w:t>
                  </w:r>
                </w:p>
              </w:tc>
              <w:tc>
                <w:tcPr>
                  <w:tcW w:w="426" w:type="pct"/>
                  <w:vAlign w:val="center"/>
                </w:tcPr>
                <w:p w14:paraId="708FCBB1">
                  <w:pPr>
                    <w:pStyle w:val="28"/>
                    <w:rPr>
                      <w:rFonts w:hint="eastAsia" w:eastAsia="宋体"/>
                      <w:highlight w:val="none"/>
                      <w:lang w:val="en-US" w:eastAsia="zh-CN"/>
                    </w:rPr>
                  </w:pPr>
                  <w:r>
                    <w:rPr>
                      <w:rFonts w:hint="eastAsia"/>
                      <w:highlight w:val="none"/>
                      <w:lang w:val="en-US" w:eastAsia="zh-CN"/>
                    </w:rPr>
                    <w:t>台</w:t>
                  </w:r>
                </w:p>
              </w:tc>
              <w:tc>
                <w:tcPr>
                  <w:tcW w:w="428" w:type="pct"/>
                  <w:vAlign w:val="center"/>
                </w:tcPr>
                <w:p w14:paraId="2C5FE6A8">
                  <w:pPr>
                    <w:pStyle w:val="28"/>
                    <w:rPr>
                      <w:rFonts w:hint="eastAsia" w:eastAsia="宋体"/>
                      <w:highlight w:val="none"/>
                      <w:lang w:val="en-US" w:eastAsia="zh-CN"/>
                    </w:rPr>
                  </w:pPr>
                  <w:r>
                    <w:rPr>
                      <w:rFonts w:hint="eastAsia"/>
                      <w:highlight w:val="none"/>
                      <w:lang w:val="en-US" w:eastAsia="zh-CN"/>
                    </w:rPr>
                    <w:t>2</w:t>
                  </w:r>
                </w:p>
              </w:tc>
              <w:tc>
                <w:tcPr>
                  <w:tcW w:w="466" w:type="pct"/>
                  <w:vAlign w:val="center"/>
                </w:tcPr>
                <w:p w14:paraId="533EB84A">
                  <w:pPr>
                    <w:pStyle w:val="28"/>
                    <w:rPr>
                      <w:rFonts w:hint="eastAsia" w:eastAsia="宋体"/>
                      <w:highlight w:val="none"/>
                      <w:lang w:val="en-US" w:eastAsia="zh-CN"/>
                    </w:rPr>
                  </w:pPr>
                  <w:r>
                    <w:rPr>
                      <w:rFonts w:hint="eastAsia"/>
                      <w:highlight w:val="none"/>
                      <w:lang w:val="en-US" w:eastAsia="zh-CN"/>
                    </w:rPr>
                    <w:t>依托</w:t>
                  </w:r>
                </w:p>
              </w:tc>
            </w:tr>
          </w:tbl>
          <w:p w14:paraId="770C363D">
            <w:pPr>
              <w:pStyle w:val="50"/>
              <w:spacing w:before="34" w:line="340" w:lineRule="auto"/>
              <w:ind w:left="112" w:firstLine="484"/>
              <w:rPr>
                <w:rFonts w:hint="eastAsia"/>
                <w:color w:val="000000" w:themeColor="text1"/>
                <w:kern w:val="0"/>
                <w:highlight w:val="none"/>
                <w:lang w:eastAsia="zh-CN" w:bidi="ar"/>
                <w14:textFill>
                  <w14:solidFill>
                    <w14:schemeClr w14:val="tx1"/>
                  </w14:solidFill>
                </w14:textFill>
              </w:rPr>
            </w:pPr>
            <w:r>
              <w:rPr>
                <w:rFonts w:hint="eastAsia"/>
                <w:color w:val="000000" w:themeColor="text1"/>
                <w:kern w:val="0"/>
                <w:highlight w:val="none"/>
                <w:lang w:eastAsia="zh-CN" w:bidi="ar"/>
                <w14:textFill>
                  <w14:solidFill>
                    <w14:schemeClr w14:val="tx1"/>
                  </w14:solidFill>
                </w14:textFill>
              </w:rPr>
              <w:t>改建后全厂设备见表2-5。</w:t>
            </w:r>
          </w:p>
          <w:p w14:paraId="2A89AE82">
            <w:pPr>
              <w:pStyle w:val="30"/>
              <w:rPr>
                <w:rFonts w:hint="default"/>
                <w:highlight w:val="none"/>
              </w:rPr>
            </w:pPr>
            <w:r>
              <w:rPr>
                <w:highlight w:val="none"/>
              </w:rPr>
              <w:t>表2-5改建后主要生产设备一览表</w:t>
            </w:r>
          </w:p>
          <w:tbl>
            <w:tblPr>
              <w:tblStyle w:val="2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414"/>
              <w:gridCol w:w="2811"/>
              <w:gridCol w:w="2298"/>
            </w:tblGrid>
            <w:tr w14:paraId="19CA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93" w:type="pct"/>
                  <w:vAlign w:val="center"/>
                </w:tcPr>
                <w:p w14:paraId="7EF87DE0">
                  <w:pPr>
                    <w:pStyle w:val="28"/>
                    <w:rPr>
                      <w:b/>
                      <w:bCs/>
                      <w:highlight w:val="none"/>
                    </w:rPr>
                  </w:pPr>
                  <w:r>
                    <w:rPr>
                      <w:rFonts w:hint="eastAsia"/>
                      <w:b/>
                      <w:bCs/>
                      <w:highlight w:val="none"/>
                    </w:rPr>
                    <w:t>序号</w:t>
                  </w:r>
                </w:p>
              </w:tc>
              <w:tc>
                <w:tcPr>
                  <w:tcW w:w="1446" w:type="pct"/>
                  <w:vAlign w:val="center"/>
                </w:tcPr>
                <w:p w14:paraId="1E01F39D">
                  <w:pPr>
                    <w:pStyle w:val="28"/>
                    <w:rPr>
                      <w:b/>
                      <w:bCs/>
                      <w:highlight w:val="none"/>
                    </w:rPr>
                  </w:pPr>
                  <w:r>
                    <w:rPr>
                      <w:rFonts w:hint="eastAsia"/>
                      <w:b/>
                      <w:bCs/>
                      <w:highlight w:val="none"/>
                    </w:rPr>
                    <w:t>名称</w:t>
                  </w:r>
                </w:p>
              </w:tc>
              <w:tc>
                <w:tcPr>
                  <w:tcW w:w="1684" w:type="pct"/>
                  <w:vAlign w:val="center"/>
                </w:tcPr>
                <w:p w14:paraId="4BEB7D9D">
                  <w:pPr>
                    <w:pStyle w:val="28"/>
                    <w:rPr>
                      <w:b/>
                      <w:bCs/>
                      <w:highlight w:val="none"/>
                    </w:rPr>
                  </w:pPr>
                  <w:r>
                    <w:rPr>
                      <w:rFonts w:hint="eastAsia"/>
                      <w:b/>
                      <w:bCs/>
                      <w:highlight w:val="none"/>
                    </w:rPr>
                    <w:t>型号规格</w:t>
                  </w:r>
                </w:p>
              </w:tc>
              <w:tc>
                <w:tcPr>
                  <w:tcW w:w="1375" w:type="pct"/>
                  <w:vAlign w:val="center"/>
                </w:tcPr>
                <w:p w14:paraId="243ED6FD">
                  <w:pPr>
                    <w:pStyle w:val="28"/>
                    <w:rPr>
                      <w:b/>
                      <w:bCs/>
                      <w:highlight w:val="none"/>
                    </w:rPr>
                  </w:pPr>
                  <w:r>
                    <w:rPr>
                      <w:rFonts w:hint="eastAsia"/>
                      <w:b/>
                      <w:bCs/>
                      <w:highlight w:val="none"/>
                    </w:rPr>
                    <w:t>数量（台、件、套、个）</w:t>
                  </w:r>
                </w:p>
              </w:tc>
            </w:tr>
            <w:tr w14:paraId="3DE9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000" w:type="pct"/>
                  <w:gridSpan w:val="4"/>
                  <w:vAlign w:val="center"/>
                </w:tcPr>
                <w:p w14:paraId="066DD09E">
                  <w:pPr>
                    <w:pStyle w:val="28"/>
                    <w:rPr>
                      <w:highlight w:val="none"/>
                    </w:rPr>
                  </w:pPr>
                  <w:r>
                    <w:rPr>
                      <w:rFonts w:hint="eastAsia"/>
                      <w:b/>
                      <w:bCs/>
                      <w:highlight w:val="none"/>
                    </w:rPr>
                    <w:t>牛屠宰生产线</w:t>
                  </w:r>
                </w:p>
              </w:tc>
            </w:tr>
            <w:tr w14:paraId="2A3D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EC37826">
                  <w:pPr>
                    <w:pStyle w:val="28"/>
                    <w:rPr>
                      <w:highlight w:val="none"/>
                    </w:rPr>
                  </w:pPr>
                  <w:r>
                    <w:rPr>
                      <w:rFonts w:hint="eastAsia"/>
                      <w:highlight w:val="none"/>
                    </w:rPr>
                    <w:t>1</w:t>
                  </w:r>
                </w:p>
              </w:tc>
              <w:tc>
                <w:tcPr>
                  <w:tcW w:w="1446" w:type="pct"/>
                  <w:vAlign w:val="center"/>
                </w:tcPr>
                <w:p w14:paraId="1BE51602">
                  <w:pPr>
                    <w:pStyle w:val="28"/>
                    <w:rPr>
                      <w:highlight w:val="none"/>
                    </w:rPr>
                  </w:pPr>
                  <w:r>
                    <w:rPr>
                      <w:rFonts w:hint="eastAsia"/>
                      <w:highlight w:val="none"/>
                    </w:rPr>
                    <w:t>屠宰设备</w:t>
                  </w:r>
                </w:p>
              </w:tc>
              <w:tc>
                <w:tcPr>
                  <w:tcW w:w="1684" w:type="pct"/>
                  <w:vAlign w:val="center"/>
                </w:tcPr>
                <w:p w14:paraId="3E8A1A27">
                  <w:pPr>
                    <w:pStyle w:val="28"/>
                    <w:rPr>
                      <w:highlight w:val="none"/>
                    </w:rPr>
                  </w:pPr>
                  <w:r>
                    <w:rPr>
                      <w:rFonts w:hint="eastAsia"/>
                      <w:highlight w:val="none"/>
                    </w:rPr>
                    <w:t>/</w:t>
                  </w:r>
                </w:p>
              </w:tc>
              <w:tc>
                <w:tcPr>
                  <w:tcW w:w="1375" w:type="pct"/>
                  <w:vAlign w:val="center"/>
                </w:tcPr>
                <w:p w14:paraId="531A1253">
                  <w:pPr>
                    <w:pStyle w:val="28"/>
                    <w:rPr>
                      <w:highlight w:val="none"/>
                    </w:rPr>
                  </w:pPr>
                  <w:r>
                    <w:rPr>
                      <w:rFonts w:hint="eastAsia"/>
                      <w:highlight w:val="none"/>
                    </w:rPr>
                    <w:t>1</w:t>
                  </w:r>
                </w:p>
              </w:tc>
            </w:tr>
            <w:tr w14:paraId="5C8B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084AE40">
                  <w:pPr>
                    <w:pStyle w:val="28"/>
                    <w:rPr>
                      <w:highlight w:val="none"/>
                    </w:rPr>
                  </w:pPr>
                  <w:r>
                    <w:rPr>
                      <w:rFonts w:hint="eastAsia"/>
                      <w:highlight w:val="none"/>
                    </w:rPr>
                    <w:t>2</w:t>
                  </w:r>
                </w:p>
              </w:tc>
              <w:tc>
                <w:tcPr>
                  <w:tcW w:w="1446" w:type="pct"/>
                  <w:vAlign w:val="center"/>
                </w:tcPr>
                <w:p w14:paraId="1D1D8FCA">
                  <w:pPr>
                    <w:pStyle w:val="28"/>
                    <w:rPr>
                      <w:highlight w:val="none"/>
                    </w:rPr>
                  </w:pPr>
                  <w:r>
                    <w:rPr>
                      <w:rFonts w:hint="eastAsia"/>
                      <w:highlight w:val="none"/>
                    </w:rPr>
                    <w:t>搅拌机</w:t>
                  </w:r>
                </w:p>
              </w:tc>
              <w:tc>
                <w:tcPr>
                  <w:tcW w:w="1684" w:type="pct"/>
                  <w:vAlign w:val="center"/>
                </w:tcPr>
                <w:p w14:paraId="1221F740">
                  <w:pPr>
                    <w:jc w:val="center"/>
                    <w:rPr>
                      <w:highlight w:val="none"/>
                    </w:rPr>
                  </w:pPr>
                  <w:r>
                    <w:rPr>
                      <w:rFonts w:hint="eastAsia"/>
                      <w:highlight w:val="none"/>
                    </w:rPr>
                    <w:t>/</w:t>
                  </w:r>
                </w:p>
              </w:tc>
              <w:tc>
                <w:tcPr>
                  <w:tcW w:w="1375" w:type="pct"/>
                  <w:vAlign w:val="center"/>
                </w:tcPr>
                <w:p w14:paraId="3C1714F0">
                  <w:pPr>
                    <w:pStyle w:val="28"/>
                    <w:rPr>
                      <w:highlight w:val="none"/>
                    </w:rPr>
                  </w:pPr>
                  <w:r>
                    <w:rPr>
                      <w:rFonts w:hint="eastAsia"/>
                      <w:highlight w:val="none"/>
                    </w:rPr>
                    <w:t>2</w:t>
                  </w:r>
                </w:p>
              </w:tc>
            </w:tr>
            <w:tr w14:paraId="09D0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CBE55B7">
                  <w:pPr>
                    <w:pStyle w:val="28"/>
                    <w:rPr>
                      <w:highlight w:val="none"/>
                    </w:rPr>
                  </w:pPr>
                  <w:r>
                    <w:rPr>
                      <w:rFonts w:hint="eastAsia"/>
                      <w:highlight w:val="none"/>
                    </w:rPr>
                    <w:t>3</w:t>
                  </w:r>
                </w:p>
              </w:tc>
              <w:tc>
                <w:tcPr>
                  <w:tcW w:w="1446" w:type="pct"/>
                  <w:vAlign w:val="center"/>
                </w:tcPr>
                <w:p w14:paraId="0CEB4166">
                  <w:pPr>
                    <w:pStyle w:val="28"/>
                    <w:rPr>
                      <w:highlight w:val="none"/>
                    </w:rPr>
                  </w:pPr>
                  <w:r>
                    <w:rPr>
                      <w:rFonts w:hint="eastAsia"/>
                      <w:highlight w:val="none"/>
                    </w:rPr>
                    <w:t>粉碎机</w:t>
                  </w:r>
                </w:p>
              </w:tc>
              <w:tc>
                <w:tcPr>
                  <w:tcW w:w="1684" w:type="pct"/>
                  <w:vAlign w:val="center"/>
                </w:tcPr>
                <w:p w14:paraId="38389975">
                  <w:pPr>
                    <w:jc w:val="center"/>
                    <w:rPr>
                      <w:highlight w:val="none"/>
                    </w:rPr>
                  </w:pPr>
                  <w:r>
                    <w:rPr>
                      <w:rFonts w:hint="eastAsia"/>
                      <w:highlight w:val="none"/>
                    </w:rPr>
                    <w:t>/</w:t>
                  </w:r>
                </w:p>
              </w:tc>
              <w:tc>
                <w:tcPr>
                  <w:tcW w:w="1375" w:type="pct"/>
                  <w:vAlign w:val="center"/>
                </w:tcPr>
                <w:p w14:paraId="6E63E834">
                  <w:pPr>
                    <w:pStyle w:val="28"/>
                    <w:rPr>
                      <w:highlight w:val="none"/>
                    </w:rPr>
                  </w:pPr>
                  <w:r>
                    <w:rPr>
                      <w:rFonts w:hint="eastAsia"/>
                      <w:highlight w:val="none"/>
                    </w:rPr>
                    <w:t>2</w:t>
                  </w:r>
                </w:p>
              </w:tc>
            </w:tr>
            <w:tr w14:paraId="2EE8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0F062B0F">
                  <w:pPr>
                    <w:pStyle w:val="28"/>
                    <w:rPr>
                      <w:highlight w:val="none"/>
                    </w:rPr>
                  </w:pPr>
                  <w:r>
                    <w:rPr>
                      <w:rFonts w:hint="eastAsia"/>
                      <w:highlight w:val="none"/>
                    </w:rPr>
                    <w:t>4</w:t>
                  </w:r>
                </w:p>
              </w:tc>
              <w:tc>
                <w:tcPr>
                  <w:tcW w:w="1446" w:type="pct"/>
                  <w:vAlign w:val="center"/>
                </w:tcPr>
                <w:p w14:paraId="7AAE875B">
                  <w:pPr>
                    <w:pStyle w:val="28"/>
                    <w:rPr>
                      <w:highlight w:val="none"/>
                    </w:rPr>
                  </w:pPr>
                  <w:r>
                    <w:rPr>
                      <w:rFonts w:hint="eastAsia"/>
                      <w:highlight w:val="none"/>
                    </w:rPr>
                    <w:t>铡草机</w:t>
                  </w:r>
                </w:p>
              </w:tc>
              <w:tc>
                <w:tcPr>
                  <w:tcW w:w="1684" w:type="pct"/>
                  <w:vAlign w:val="center"/>
                </w:tcPr>
                <w:p w14:paraId="148BB502">
                  <w:pPr>
                    <w:jc w:val="center"/>
                    <w:rPr>
                      <w:highlight w:val="none"/>
                    </w:rPr>
                  </w:pPr>
                  <w:r>
                    <w:rPr>
                      <w:rFonts w:hint="eastAsia"/>
                      <w:highlight w:val="none"/>
                    </w:rPr>
                    <w:t>/</w:t>
                  </w:r>
                </w:p>
              </w:tc>
              <w:tc>
                <w:tcPr>
                  <w:tcW w:w="1375" w:type="pct"/>
                  <w:vAlign w:val="center"/>
                </w:tcPr>
                <w:p w14:paraId="4EABC672">
                  <w:pPr>
                    <w:pStyle w:val="28"/>
                    <w:rPr>
                      <w:highlight w:val="none"/>
                    </w:rPr>
                  </w:pPr>
                  <w:r>
                    <w:rPr>
                      <w:rFonts w:hint="eastAsia"/>
                      <w:highlight w:val="none"/>
                    </w:rPr>
                    <w:t>1</w:t>
                  </w:r>
                </w:p>
              </w:tc>
            </w:tr>
            <w:tr w14:paraId="5F43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395F970D">
                  <w:pPr>
                    <w:pStyle w:val="28"/>
                    <w:rPr>
                      <w:highlight w:val="none"/>
                    </w:rPr>
                  </w:pPr>
                  <w:r>
                    <w:rPr>
                      <w:rFonts w:hint="eastAsia"/>
                      <w:highlight w:val="none"/>
                    </w:rPr>
                    <w:t>5</w:t>
                  </w:r>
                </w:p>
              </w:tc>
              <w:tc>
                <w:tcPr>
                  <w:tcW w:w="1446" w:type="pct"/>
                  <w:vAlign w:val="center"/>
                </w:tcPr>
                <w:p w14:paraId="23328FD0">
                  <w:pPr>
                    <w:pStyle w:val="28"/>
                    <w:rPr>
                      <w:highlight w:val="none"/>
                    </w:rPr>
                  </w:pPr>
                  <w:r>
                    <w:rPr>
                      <w:rFonts w:hint="eastAsia"/>
                      <w:highlight w:val="none"/>
                    </w:rPr>
                    <w:t>潜水泵</w:t>
                  </w:r>
                </w:p>
              </w:tc>
              <w:tc>
                <w:tcPr>
                  <w:tcW w:w="1684" w:type="pct"/>
                  <w:vAlign w:val="center"/>
                </w:tcPr>
                <w:p w14:paraId="65C3D9FB">
                  <w:pPr>
                    <w:jc w:val="center"/>
                    <w:rPr>
                      <w:highlight w:val="none"/>
                    </w:rPr>
                  </w:pPr>
                  <w:r>
                    <w:rPr>
                      <w:rFonts w:hint="eastAsia"/>
                      <w:highlight w:val="none"/>
                    </w:rPr>
                    <w:t>/</w:t>
                  </w:r>
                </w:p>
              </w:tc>
              <w:tc>
                <w:tcPr>
                  <w:tcW w:w="1375" w:type="pct"/>
                  <w:vAlign w:val="center"/>
                </w:tcPr>
                <w:p w14:paraId="258E4D99">
                  <w:pPr>
                    <w:pStyle w:val="28"/>
                    <w:rPr>
                      <w:highlight w:val="none"/>
                    </w:rPr>
                  </w:pPr>
                  <w:r>
                    <w:rPr>
                      <w:rFonts w:hint="eastAsia"/>
                      <w:highlight w:val="none"/>
                    </w:rPr>
                    <w:t>1</w:t>
                  </w:r>
                </w:p>
              </w:tc>
            </w:tr>
            <w:tr w14:paraId="544F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93" w:type="pct"/>
                  <w:shd w:val="clear" w:color="auto" w:fill="auto"/>
                  <w:vAlign w:val="center"/>
                </w:tcPr>
                <w:p w14:paraId="42EF5B4A">
                  <w:pPr>
                    <w:pStyle w:val="28"/>
                    <w:rPr>
                      <w:highlight w:val="none"/>
                    </w:rPr>
                  </w:pPr>
                  <w:r>
                    <w:rPr>
                      <w:rFonts w:hint="eastAsia"/>
                      <w:highlight w:val="none"/>
                    </w:rPr>
                    <w:t>6</w:t>
                  </w:r>
                </w:p>
              </w:tc>
              <w:tc>
                <w:tcPr>
                  <w:tcW w:w="1446" w:type="pct"/>
                  <w:vAlign w:val="center"/>
                </w:tcPr>
                <w:p w14:paraId="738DFBF9">
                  <w:pPr>
                    <w:pStyle w:val="28"/>
                    <w:rPr>
                      <w:highlight w:val="none"/>
                    </w:rPr>
                  </w:pPr>
                  <w:r>
                    <w:rPr>
                      <w:rFonts w:hint="eastAsia"/>
                      <w:highlight w:val="none"/>
                    </w:rPr>
                    <w:t>压缩机</w:t>
                  </w:r>
                </w:p>
              </w:tc>
              <w:tc>
                <w:tcPr>
                  <w:tcW w:w="1684" w:type="pct"/>
                  <w:vAlign w:val="center"/>
                </w:tcPr>
                <w:p w14:paraId="29087459">
                  <w:pPr>
                    <w:jc w:val="center"/>
                    <w:rPr>
                      <w:highlight w:val="none"/>
                    </w:rPr>
                  </w:pPr>
                  <w:r>
                    <w:rPr>
                      <w:rFonts w:hint="eastAsia"/>
                      <w:highlight w:val="none"/>
                    </w:rPr>
                    <w:t>/</w:t>
                  </w:r>
                </w:p>
              </w:tc>
              <w:tc>
                <w:tcPr>
                  <w:tcW w:w="1375" w:type="pct"/>
                  <w:vAlign w:val="center"/>
                </w:tcPr>
                <w:p w14:paraId="44643B98">
                  <w:pPr>
                    <w:pStyle w:val="28"/>
                    <w:rPr>
                      <w:highlight w:val="none"/>
                    </w:rPr>
                  </w:pPr>
                  <w:r>
                    <w:rPr>
                      <w:rFonts w:hint="eastAsia"/>
                      <w:highlight w:val="none"/>
                    </w:rPr>
                    <w:t>1</w:t>
                  </w:r>
                </w:p>
              </w:tc>
            </w:tr>
            <w:tr w14:paraId="7648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95B7348">
                  <w:pPr>
                    <w:pStyle w:val="28"/>
                    <w:rPr>
                      <w:highlight w:val="none"/>
                    </w:rPr>
                  </w:pPr>
                  <w:r>
                    <w:rPr>
                      <w:rFonts w:hint="eastAsia"/>
                      <w:highlight w:val="none"/>
                    </w:rPr>
                    <w:t>7</w:t>
                  </w:r>
                </w:p>
              </w:tc>
              <w:tc>
                <w:tcPr>
                  <w:tcW w:w="1446" w:type="pct"/>
                  <w:vAlign w:val="center"/>
                </w:tcPr>
                <w:p w14:paraId="44627DF4">
                  <w:pPr>
                    <w:pStyle w:val="28"/>
                    <w:rPr>
                      <w:highlight w:val="none"/>
                    </w:rPr>
                  </w:pPr>
                  <w:r>
                    <w:rPr>
                      <w:rFonts w:hint="eastAsia"/>
                      <w:highlight w:val="none"/>
                    </w:rPr>
                    <w:t>真空包装机</w:t>
                  </w:r>
                </w:p>
              </w:tc>
              <w:tc>
                <w:tcPr>
                  <w:tcW w:w="1684" w:type="pct"/>
                  <w:vAlign w:val="center"/>
                </w:tcPr>
                <w:p w14:paraId="1186C998">
                  <w:pPr>
                    <w:jc w:val="center"/>
                    <w:rPr>
                      <w:highlight w:val="none"/>
                    </w:rPr>
                  </w:pPr>
                  <w:r>
                    <w:rPr>
                      <w:rFonts w:hint="eastAsia"/>
                      <w:highlight w:val="none"/>
                    </w:rPr>
                    <w:t>/</w:t>
                  </w:r>
                </w:p>
              </w:tc>
              <w:tc>
                <w:tcPr>
                  <w:tcW w:w="1375" w:type="pct"/>
                  <w:vAlign w:val="center"/>
                </w:tcPr>
                <w:p w14:paraId="7AF0786C">
                  <w:pPr>
                    <w:pStyle w:val="28"/>
                    <w:rPr>
                      <w:highlight w:val="none"/>
                    </w:rPr>
                  </w:pPr>
                  <w:r>
                    <w:rPr>
                      <w:rFonts w:hint="eastAsia"/>
                      <w:highlight w:val="none"/>
                    </w:rPr>
                    <w:t>1</w:t>
                  </w:r>
                </w:p>
              </w:tc>
            </w:tr>
            <w:tr w14:paraId="2B9A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620F1A4F">
                  <w:pPr>
                    <w:pStyle w:val="28"/>
                    <w:rPr>
                      <w:highlight w:val="none"/>
                    </w:rPr>
                  </w:pPr>
                  <w:r>
                    <w:rPr>
                      <w:rFonts w:hint="eastAsia"/>
                      <w:highlight w:val="none"/>
                    </w:rPr>
                    <w:t>8</w:t>
                  </w:r>
                </w:p>
              </w:tc>
              <w:tc>
                <w:tcPr>
                  <w:tcW w:w="1446" w:type="pct"/>
                  <w:vAlign w:val="center"/>
                </w:tcPr>
                <w:p w14:paraId="7871465A">
                  <w:pPr>
                    <w:pStyle w:val="28"/>
                    <w:rPr>
                      <w:highlight w:val="none"/>
                    </w:rPr>
                  </w:pPr>
                  <w:r>
                    <w:rPr>
                      <w:rFonts w:hint="eastAsia"/>
                      <w:highlight w:val="none"/>
                    </w:rPr>
                    <w:t>宰牛刀</w:t>
                  </w:r>
                </w:p>
              </w:tc>
              <w:tc>
                <w:tcPr>
                  <w:tcW w:w="1684" w:type="pct"/>
                  <w:vAlign w:val="center"/>
                </w:tcPr>
                <w:p w14:paraId="2CA4DBFD">
                  <w:pPr>
                    <w:jc w:val="center"/>
                    <w:rPr>
                      <w:highlight w:val="none"/>
                    </w:rPr>
                  </w:pPr>
                  <w:r>
                    <w:rPr>
                      <w:rFonts w:hint="eastAsia"/>
                      <w:highlight w:val="none"/>
                    </w:rPr>
                    <w:t>/</w:t>
                  </w:r>
                </w:p>
              </w:tc>
              <w:tc>
                <w:tcPr>
                  <w:tcW w:w="1375" w:type="pct"/>
                  <w:vAlign w:val="center"/>
                </w:tcPr>
                <w:p w14:paraId="4B9844F6">
                  <w:pPr>
                    <w:pStyle w:val="28"/>
                    <w:rPr>
                      <w:highlight w:val="none"/>
                    </w:rPr>
                  </w:pPr>
                  <w:r>
                    <w:rPr>
                      <w:rFonts w:hint="eastAsia"/>
                      <w:highlight w:val="none"/>
                    </w:rPr>
                    <w:t>1</w:t>
                  </w:r>
                </w:p>
              </w:tc>
            </w:tr>
            <w:tr w14:paraId="57C5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602929BD">
                  <w:pPr>
                    <w:pStyle w:val="28"/>
                    <w:rPr>
                      <w:highlight w:val="none"/>
                    </w:rPr>
                  </w:pPr>
                  <w:r>
                    <w:rPr>
                      <w:rFonts w:hint="eastAsia"/>
                      <w:highlight w:val="none"/>
                    </w:rPr>
                    <w:t>9</w:t>
                  </w:r>
                </w:p>
              </w:tc>
              <w:tc>
                <w:tcPr>
                  <w:tcW w:w="1446" w:type="pct"/>
                  <w:vAlign w:val="center"/>
                </w:tcPr>
                <w:p w14:paraId="2633340B">
                  <w:pPr>
                    <w:pStyle w:val="28"/>
                    <w:rPr>
                      <w:highlight w:val="none"/>
                    </w:rPr>
                  </w:pPr>
                  <w:r>
                    <w:rPr>
                      <w:rFonts w:hint="eastAsia"/>
                      <w:highlight w:val="none"/>
                    </w:rPr>
                    <w:t>劈半锯</w:t>
                  </w:r>
                </w:p>
              </w:tc>
              <w:tc>
                <w:tcPr>
                  <w:tcW w:w="1684" w:type="pct"/>
                  <w:vAlign w:val="center"/>
                </w:tcPr>
                <w:p w14:paraId="1560518E">
                  <w:pPr>
                    <w:jc w:val="center"/>
                    <w:rPr>
                      <w:highlight w:val="none"/>
                    </w:rPr>
                  </w:pPr>
                  <w:r>
                    <w:rPr>
                      <w:rFonts w:hint="eastAsia"/>
                      <w:highlight w:val="none"/>
                    </w:rPr>
                    <w:t>/</w:t>
                  </w:r>
                </w:p>
              </w:tc>
              <w:tc>
                <w:tcPr>
                  <w:tcW w:w="1375" w:type="pct"/>
                  <w:vAlign w:val="center"/>
                </w:tcPr>
                <w:p w14:paraId="2B2579F9">
                  <w:pPr>
                    <w:pStyle w:val="28"/>
                    <w:rPr>
                      <w:highlight w:val="none"/>
                    </w:rPr>
                  </w:pPr>
                  <w:r>
                    <w:rPr>
                      <w:rFonts w:hint="eastAsia"/>
                      <w:highlight w:val="none"/>
                    </w:rPr>
                    <w:t>1</w:t>
                  </w:r>
                </w:p>
              </w:tc>
            </w:tr>
            <w:tr w14:paraId="7FB6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3BB3ED4E">
                  <w:pPr>
                    <w:pStyle w:val="28"/>
                    <w:rPr>
                      <w:highlight w:val="none"/>
                    </w:rPr>
                  </w:pPr>
                  <w:r>
                    <w:rPr>
                      <w:rFonts w:hint="eastAsia"/>
                      <w:highlight w:val="none"/>
                    </w:rPr>
                    <w:t>10</w:t>
                  </w:r>
                </w:p>
              </w:tc>
              <w:tc>
                <w:tcPr>
                  <w:tcW w:w="1446" w:type="pct"/>
                  <w:vAlign w:val="center"/>
                </w:tcPr>
                <w:p w14:paraId="00A3A461">
                  <w:pPr>
                    <w:pStyle w:val="28"/>
                    <w:rPr>
                      <w:highlight w:val="none"/>
                    </w:rPr>
                  </w:pPr>
                  <w:r>
                    <w:rPr>
                      <w:rFonts w:hint="eastAsia"/>
                      <w:highlight w:val="none"/>
                    </w:rPr>
                    <w:t>锯骨机</w:t>
                  </w:r>
                </w:p>
              </w:tc>
              <w:tc>
                <w:tcPr>
                  <w:tcW w:w="1684" w:type="pct"/>
                  <w:vAlign w:val="center"/>
                </w:tcPr>
                <w:p w14:paraId="20E5C4F4">
                  <w:pPr>
                    <w:jc w:val="center"/>
                    <w:rPr>
                      <w:highlight w:val="none"/>
                    </w:rPr>
                  </w:pPr>
                  <w:r>
                    <w:rPr>
                      <w:rFonts w:hint="eastAsia"/>
                      <w:highlight w:val="none"/>
                    </w:rPr>
                    <w:t>/</w:t>
                  </w:r>
                </w:p>
              </w:tc>
              <w:tc>
                <w:tcPr>
                  <w:tcW w:w="1375" w:type="pct"/>
                  <w:vAlign w:val="center"/>
                </w:tcPr>
                <w:p w14:paraId="29C18276">
                  <w:pPr>
                    <w:pStyle w:val="28"/>
                    <w:rPr>
                      <w:highlight w:val="none"/>
                    </w:rPr>
                  </w:pPr>
                  <w:r>
                    <w:rPr>
                      <w:rFonts w:hint="eastAsia"/>
                      <w:highlight w:val="none"/>
                    </w:rPr>
                    <w:t>1</w:t>
                  </w:r>
                </w:p>
              </w:tc>
            </w:tr>
            <w:tr w14:paraId="4859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1C7A537E">
                  <w:pPr>
                    <w:pStyle w:val="28"/>
                    <w:rPr>
                      <w:highlight w:val="none"/>
                    </w:rPr>
                  </w:pPr>
                  <w:r>
                    <w:rPr>
                      <w:rFonts w:hint="eastAsia"/>
                      <w:highlight w:val="none"/>
                    </w:rPr>
                    <w:t>11</w:t>
                  </w:r>
                </w:p>
              </w:tc>
              <w:tc>
                <w:tcPr>
                  <w:tcW w:w="1446" w:type="pct"/>
                  <w:vAlign w:val="center"/>
                </w:tcPr>
                <w:p w14:paraId="1BE1BE80">
                  <w:pPr>
                    <w:pStyle w:val="28"/>
                    <w:rPr>
                      <w:highlight w:val="none"/>
                    </w:rPr>
                  </w:pPr>
                  <w:r>
                    <w:rPr>
                      <w:rFonts w:hint="eastAsia"/>
                      <w:highlight w:val="none"/>
                    </w:rPr>
                    <w:t>切片机</w:t>
                  </w:r>
                </w:p>
              </w:tc>
              <w:tc>
                <w:tcPr>
                  <w:tcW w:w="1684" w:type="pct"/>
                  <w:vAlign w:val="center"/>
                </w:tcPr>
                <w:p w14:paraId="3E55F10B">
                  <w:pPr>
                    <w:jc w:val="center"/>
                    <w:rPr>
                      <w:highlight w:val="none"/>
                    </w:rPr>
                  </w:pPr>
                  <w:r>
                    <w:rPr>
                      <w:rFonts w:hint="eastAsia"/>
                      <w:highlight w:val="none"/>
                    </w:rPr>
                    <w:t>/</w:t>
                  </w:r>
                </w:p>
              </w:tc>
              <w:tc>
                <w:tcPr>
                  <w:tcW w:w="1375" w:type="pct"/>
                  <w:vAlign w:val="center"/>
                </w:tcPr>
                <w:p w14:paraId="020D03D9">
                  <w:pPr>
                    <w:pStyle w:val="28"/>
                    <w:rPr>
                      <w:highlight w:val="none"/>
                    </w:rPr>
                  </w:pPr>
                  <w:r>
                    <w:rPr>
                      <w:rFonts w:hint="eastAsia"/>
                      <w:highlight w:val="none"/>
                    </w:rPr>
                    <w:t>1</w:t>
                  </w:r>
                </w:p>
              </w:tc>
            </w:tr>
            <w:tr w14:paraId="6F7F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535FC06">
                  <w:pPr>
                    <w:pStyle w:val="28"/>
                    <w:rPr>
                      <w:highlight w:val="none"/>
                    </w:rPr>
                  </w:pPr>
                  <w:r>
                    <w:rPr>
                      <w:rFonts w:hint="eastAsia"/>
                      <w:highlight w:val="none"/>
                    </w:rPr>
                    <w:t>12</w:t>
                  </w:r>
                </w:p>
              </w:tc>
              <w:tc>
                <w:tcPr>
                  <w:tcW w:w="1446" w:type="pct"/>
                  <w:vAlign w:val="center"/>
                </w:tcPr>
                <w:p w14:paraId="23122A74">
                  <w:pPr>
                    <w:pStyle w:val="28"/>
                    <w:rPr>
                      <w:highlight w:val="none"/>
                    </w:rPr>
                  </w:pPr>
                  <w:r>
                    <w:rPr>
                      <w:rFonts w:hint="eastAsia"/>
                      <w:highlight w:val="none"/>
                    </w:rPr>
                    <w:t>绞肉机</w:t>
                  </w:r>
                </w:p>
              </w:tc>
              <w:tc>
                <w:tcPr>
                  <w:tcW w:w="1684" w:type="pct"/>
                  <w:vAlign w:val="center"/>
                </w:tcPr>
                <w:p w14:paraId="0AF3676E">
                  <w:pPr>
                    <w:jc w:val="center"/>
                    <w:rPr>
                      <w:highlight w:val="none"/>
                    </w:rPr>
                  </w:pPr>
                  <w:r>
                    <w:rPr>
                      <w:rFonts w:hint="eastAsia"/>
                      <w:highlight w:val="none"/>
                    </w:rPr>
                    <w:t>/</w:t>
                  </w:r>
                </w:p>
              </w:tc>
              <w:tc>
                <w:tcPr>
                  <w:tcW w:w="1375" w:type="pct"/>
                  <w:vAlign w:val="center"/>
                </w:tcPr>
                <w:p w14:paraId="36D39EC9">
                  <w:pPr>
                    <w:pStyle w:val="28"/>
                    <w:rPr>
                      <w:highlight w:val="none"/>
                    </w:rPr>
                  </w:pPr>
                  <w:r>
                    <w:rPr>
                      <w:rFonts w:hint="eastAsia"/>
                      <w:highlight w:val="none"/>
                    </w:rPr>
                    <w:t>1</w:t>
                  </w:r>
                </w:p>
              </w:tc>
            </w:tr>
            <w:tr w14:paraId="57E1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00817C79">
                  <w:pPr>
                    <w:pStyle w:val="28"/>
                    <w:rPr>
                      <w:highlight w:val="none"/>
                    </w:rPr>
                  </w:pPr>
                  <w:r>
                    <w:rPr>
                      <w:rFonts w:hint="eastAsia"/>
                      <w:highlight w:val="none"/>
                    </w:rPr>
                    <w:t>13</w:t>
                  </w:r>
                </w:p>
              </w:tc>
              <w:tc>
                <w:tcPr>
                  <w:tcW w:w="1446" w:type="pct"/>
                  <w:vAlign w:val="center"/>
                </w:tcPr>
                <w:p w14:paraId="0290EBA1">
                  <w:pPr>
                    <w:pStyle w:val="28"/>
                    <w:rPr>
                      <w:highlight w:val="none"/>
                    </w:rPr>
                  </w:pPr>
                  <w:r>
                    <w:rPr>
                      <w:rFonts w:hint="eastAsia"/>
                      <w:highlight w:val="none"/>
                    </w:rPr>
                    <w:t>生产用切片机</w:t>
                  </w:r>
                </w:p>
              </w:tc>
              <w:tc>
                <w:tcPr>
                  <w:tcW w:w="1684" w:type="pct"/>
                  <w:vAlign w:val="center"/>
                </w:tcPr>
                <w:p w14:paraId="0CAC1F6A">
                  <w:pPr>
                    <w:jc w:val="center"/>
                    <w:rPr>
                      <w:highlight w:val="none"/>
                    </w:rPr>
                  </w:pPr>
                  <w:r>
                    <w:rPr>
                      <w:rFonts w:hint="eastAsia"/>
                      <w:highlight w:val="none"/>
                    </w:rPr>
                    <w:t>/</w:t>
                  </w:r>
                </w:p>
              </w:tc>
              <w:tc>
                <w:tcPr>
                  <w:tcW w:w="1375" w:type="pct"/>
                  <w:vAlign w:val="center"/>
                </w:tcPr>
                <w:p w14:paraId="423DCCA8">
                  <w:pPr>
                    <w:pStyle w:val="28"/>
                    <w:rPr>
                      <w:highlight w:val="none"/>
                    </w:rPr>
                  </w:pPr>
                  <w:r>
                    <w:rPr>
                      <w:rFonts w:hint="eastAsia"/>
                      <w:highlight w:val="none"/>
                    </w:rPr>
                    <w:t>1</w:t>
                  </w:r>
                </w:p>
              </w:tc>
            </w:tr>
            <w:tr w14:paraId="4DD6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1E8CF65">
                  <w:pPr>
                    <w:pStyle w:val="28"/>
                    <w:rPr>
                      <w:highlight w:val="none"/>
                    </w:rPr>
                  </w:pPr>
                  <w:r>
                    <w:rPr>
                      <w:rFonts w:hint="eastAsia"/>
                      <w:highlight w:val="none"/>
                    </w:rPr>
                    <w:t>14</w:t>
                  </w:r>
                </w:p>
              </w:tc>
              <w:tc>
                <w:tcPr>
                  <w:tcW w:w="1446" w:type="pct"/>
                  <w:vAlign w:val="center"/>
                </w:tcPr>
                <w:p w14:paraId="0B6943FD">
                  <w:pPr>
                    <w:pStyle w:val="28"/>
                    <w:rPr>
                      <w:highlight w:val="none"/>
                    </w:rPr>
                  </w:pPr>
                  <w:r>
                    <w:rPr>
                      <w:rFonts w:hint="eastAsia"/>
                      <w:highlight w:val="none"/>
                    </w:rPr>
                    <w:t>15吨地磅秤</w:t>
                  </w:r>
                </w:p>
              </w:tc>
              <w:tc>
                <w:tcPr>
                  <w:tcW w:w="1684" w:type="pct"/>
                  <w:vAlign w:val="center"/>
                </w:tcPr>
                <w:p w14:paraId="606202C5">
                  <w:pPr>
                    <w:jc w:val="center"/>
                    <w:rPr>
                      <w:highlight w:val="none"/>
                    </w:rPr>
                  </w:pPr>
                  <w:r>
                    <w:rPr>
                      <w:rFonts w:hint="eastAsia"/>
                      <w:highlight w:val="none"/>
                    </w:rPr>
                    <w:t>/</w:t>
                  </w:r>
                </w:p>
              </w:tc>
              <w:tc>
                <w:tcPr>
                  <w:tcW w:w="1375" w:type="pct"/>
                  <w:vAlign w:val="center"/>
                </w:tcPr>
                <w:p w14:paraId="2B1132CF">
                  <w:pPr>
                    <w:pStyle w:val="28"/>
                    <w:rPr>
                      <w:highlight w:val="none"/>
                    </w:rPr>
                  </w:pPr>
                  <w:r>
                    <w:rPr>
                      <w:rFonts w:hint="eastAsia"/>
                      <w:highlight w:val="none"/>
                    </w:rPr>
                    <w:t>1</w:t>
                  </w:r>
                </w:p>
              </w:tc>
            </w:tr>
            <w:tr w14:paraId="54A5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49D98077">
                  <w:pPr>
                    <w:pStyle w:val="28"/>
                    <w:rPr>
                      <w:highlight w:val="none"/>
                    </w:rPr>
                  </w:pPr>
                  <w:r>
                    <w:rPr>
                      <w:rFonts w:hint="eastAsia"/>
                      <w:highlight w:val="none"/>
                    </w:rPr>
                    <w:t>15</w:t>
                  </w:r>
                </w:p>
              </w:tc>
              <w:tc>
                <w:tcPr>
                  <w:tcW w:w="1446" w:type="pct"/>
                  <w:vAlign w:val="center"/>
                </w:tcPr>
                <w:p w14:paraId="38222F5F">
                  <w:pPr>
                    <w:pStyle w:val="28"/>
                    <w:rPr>
                      <w:highlight w:val="none"/>
                    </w:rPr>
                  </w:pPr>
                  <w:r>
                    <w:rPr>
                      <w:rFonts w:hint="eastAsia"/>
                      <w:highlight w:val="none"/>
                    </w:rPr>
                    <w:t>牲口称</w:t>
                  </w:r>
                </w:p>
              </w:tc>
              <w:tc>
                <w:tcPr>
                  <w:tcW w:w="1684" w:type="pct"/>
                  <w:vAlign w:val="center"/>
                </w:tcPr>
                <w:p w14:paraId="128016B2">
                  <w:pPr>
                    <w:jc w:val="center"/>
                    <w:rPr>
                      <w:highlight w:val="none"/>
                    </w:rPr>
                  </w:pPr>
                  <w:r>
                    <w:rPr>
                      <w:rFonts w:hint="eastAsia"/>
                      <w:highlight w:val="none"/>
                    </w:rPr>
                    <w:t>/</w:t>
                  </w:r>
                </w:p>
              </w:tc>
              <w:tc>
                <w:tcPr>
                  <w:tcW w:w="1375" w:type="pct"/>
                  <w:vAlign w:val="center"/>
                </w:tcPr>
                <w:p w14:paraId="56F37391">
                  <w:pPr>
                    <w:pStyle w:val="28"/>
                    <w:rPr>
                      <w:highlight w:val="none"/>
                    </w:rPr>
                  </w:pPr>
                  <w:r>
                    <w:rPr>
                      <w:rFonts w:hint="eastAsia"/>
                      <w:highlight w:val="none"/>
                    </w:rPr>
                    <w:t>1</w:t>
                  </w:r>
                </w:p>
              </w:tc>
            </w:tr>
            <w:tr w14:paraId="5C83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6AF057DE">
                  <w:pPr>
                    <w:pStyle w:val="28"/>
                    <w:rPr>
                      <w:highlight w:val="none"/>
                    </w:rPr>
                  </w:pPr>
                  <w:r>
                    <w:rPr>
                      <w:rFonts w:hint="eastAsia"/>
                      <w:highlight w:val="none"/>
                    </w:rPr>
                    <w:t>16</w:t>
                  </w:r>
                </w:p>
              </w:tc>
              <w:tc>
                <w:tcPr>
                  <w:tcW w:w="1446" w:type="pct"/>
                  <w:vAlign w:val="center"/>
                </w:tcPr>
                <w:p w14:paraId="2167CC4C">
                  <w:pPr>
                    <w:pStyle w:val="28"/>
                    <w:rPr>
                      <w:highlight w:val="none"/>
                    </w:rPr>
                  </w:pPr>
                  <w:r>
                    <w:rPr>
                      <w:rFonts w:hint="eastAsia"/>
                      <w:highlight w:val="none"/>
                    </w:rPr>
                    <w:t>防疫设备</w:t>
                  </w:r>
                </w:p>
              </w:tc>
              <w:tc>
                <w:tcPr>
                  <w:tcW w:w="1684" w:type="pct"/>
                  <w:vAlign w:val="center"/>
                </w:tcPr>
                <w:p w14:paraId="261541C6">
                  <w:pPr>
                    <w:jc w:val="center"/>
                    <w:rPr>
                      <w:highlight w:val="none"/>
                    </w:rPr>
                  </w:pPr>
                  <w:r>
                    <w:rPr>
                      <w:rFonts w:hint="eastAsia"/>
                      <w:highlight w:val="none"/>
                    </w:rPr>
                    <w:t>/</w:t>
                  </w:r>
                </w:p>
              </w:tc>
              <w:tc>
                <w:tcPr>
                  <w:tcW w:w="1375" w:type="pct"/>
                  <w:vAlign w:val="center"/>
                </w:tcPr>
                <w:p w14:paraId="18890B52">
                  <w:pPr>
                    <w:pStyle w:val="28"/>
                    <w:rPr>
                      <w:highlight w:val="none"/>
                    </w:rPr>
                  </w:pPr>
                  <w:r>
                    <w:rPr>
                      <w:rFonts w:hint="eastAsia"/>
                      <w:highlight w:val="none"/>
                    </w:rPr>
                    <w:t>1</w:t>
                  </w:r>
                </w:p>
              </w:tc>
            </w:tr>
            <w:tr w14:paraId="0D71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93" w:type="pct"/>
                  <w:shd w:val="clear" w:color="auto" w:fill="auto"/>
                  <w:vAlign w:val="center"/>
                </w:tcPr>
                <w:p w14:paraId="4E0FD2C6">
                  <w:pPr>
                    <w:pStyle w:val="28"/>
                    <w:rPr>
                      <w:highlight w:val="none"/>
                    </w:rPr>
                  </w:pPr>
                  <w:r>
                    <w:rPr>
                      <w:rFonts w:hint="eastAsia"/>
                      <w:highlight w:val="none"/>
                    </w:rPr>
                    <w:t>17</w:t>
                  </w:r>
                </w:p>
              </w:tc>
              <w:tc>
                <w:tcPr>
                  <w:tcW w:w="1446" w:type="pct"/>
                  <w:vAlign w:val="center"/>
                </w:tcPr>
                <w:p w14:paraId="5015C1FB">
                  <w:pPr>
                    <w:pStyle w:val="28"/>
                    <w:rPr>
                      <w:highlight w:val="none"/>
                    </w:rPr>
                  </w:pPr>
                  <w:r>
                    <w:rPr>
                      <w:rFonts w:hint="eastAsia"/>
                      <w:highlight w:val="none"/>
                    </w:rPr>
                    <w:t>冻改设备</w:t>
                  </w:r>
                </w:p>
              </w:tc>
              <w:tc>
                <w:tcPr>
                  <w:tcW w:w="1684" w:type="pct"/>
                  <w:vAlign w:val="center"/>
                </w:tcPr>
                <w:p w14:paraId="6DBFA208">
                  <w:pPr>
                    <w:jc w:val="center"/>
                    <w:rPr>
                      <w:highlight w:val="none"/>
                    </w:rPr>
                  </w:pPr>
                  <w:r>
                    <w:rPr>
                      <w:rFonts w:hint="eastAsia"/>
                      <w:highlight w:val="none"/>
                    </w:rPr>
                    <w:t>/</w:t>
                  </w:r>
                </w:p>
              </w:tc>
              <w:tc>
                <w:tcPr>
                  <w:tcW w:w="1375" w:type="pct"/>
                  <w:vAlign w:val="center"/>
                </w:tcPr>
                <w:p w14:paraId="6BB803AA">
                  <w:pPr>
                    <w:pStyle w:val="28"/>
                    <w:rPr>
                      <w:highlight w:val="none"/>
                    </w:rPr>
                  </w:pPr>
                  <w:r>
                    <w:rPr>
                      <w:rFonts w:hint="eastAsia"/>
                      <w:highlight w:val="none"/>
                    </w:rPr>
                    <w:t>1</w:t>
                  </w:r>
                </w:p>
              </w:tc>
            </w:tr>
            <w:tr w14:paraId="15CF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8434594">
                  <w:pPr>
                    <w:pStyle w:val="28"/>
                    <w:rPr>
                      <w:highlight w:val="none"/>
                    </w:rPr>
                  </w:pPr>
                  <w:r>
                    <w:rPr>
                      <w:rFonts w:hint="eastAsia"/>
                      <w:highlight w:val="none"/>
                    </w:rPr>
                    <w:t>18</w:t>
                  </w:r>
                </w:p>
              </w:tc>
              <w:tc>
                <w:tcPr>
                  <w:tcW w:w="1446" w:type="pct"/>
                  <w:vAlign w:val="center"/>
                </w:tcPr>
                <w:p w14:paraId="27D12D5D">
                  <w:pPr>
                    <w:pStyle w:val="28"/>
                    <w:rPr>
                      <w:highlight w:val="none"/>
                    </w:rPr>
                  </w:pPr>
                  <w:r>
                    <w:rPr>
                      <w:rFonts w:hint="eastAsia"/>
                      <w:highlight w:val="none"/>
                    </w:rPr>
                    <w:t>发电机</w:t>
                  </w:r>
                </w:p>
              </w:tc>
              <w:tc>
                <w:tcPr>
                  <w:tcW w:w="1684" w:type="pct"/>
                  <w:vAlign w:val="center"/>
                </w:tcPr>
                <w:p w14:paraId="1EC60029">
                  <w:pPr>
                    <w:jc w:val="center"/>
                    <w:rPr>
                      <w:highlight w:val="none"/>
                    </w:rPr>
                  </w:pPr>
                  <w:r>
                    <w:rPr>
                      <w:rFonts w:hint="eastAsia"/>
                      <w:highlight w:val="none"/>
                    </w:rPr>
                    <w:t>/</w:t>
                  </w:r>
                </w:p>
              </w:tc>
              <w:tc>
                <w:tcPr>
                  <w:tcW w:w="1375" w:type="pct"/>
                  <w:vAlign w:val="center"/>
                </w:tcPr>
                <w:p w14:paraId="2D00E14A">
                  <w:pPr>
                    <w:pStyle w:val="28"/>
                    <w:rPr>
                      <w:highlight w:val="none"/>
                    </w:rPr>
                  </w:pPr>
                  <w:r>
                    <w:rPr>
                      <w:rFonts w:hint="eastAsia"/>
                      <w:highlight w:val="none"/>
                    </w:rPr>
                    <w:t>1</w:t>
                  </w:r>
                </w:p>
              </w:tc>
            </w:tr>
            <w:tr w14:paraId="14B5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7D8CB74">
                  <w:pPr>
                    <w:pStyle w:val="28"/>
                    <w:rPr>
                      <w:highlight w:val="none"/>
                    </w:rPr>
                  </w:pPr>
                  <w:r>
                    <w:rPr>
                      <w:rFonts w:hint="eastAsia"/>
                      <w:highlight w:val="none"/>
                    </w:rPr>
                    <w:t>19</w:t>
                  </w:r>
                </w:p>
              </w:tc>
              <w:tc>
                <w:tcPr>
                  <w:tcW w:w="1446" w:type="pct"/>
                  <w:vAlign w:val="center"/>
                </w:tcPr>
                <w:p w14:paraId="3301F596">
                  <w:pPr>
                    <w:pStyle w:val="28"/>
                    <w:rPr>
                      <w:highlight w:val="none"/>
                    </w:rPr>
                  </w:pPr>
                  <w:r>
                    <w:rPr>
                      <w:rFonts w:hint="eastAsia"/>
                      <w:highlight w:val="none"/>
                    </w:rPr>
                    <w:t>500千伏安变压器</w:t>
                  </w:r>
                </w:p>
              </w:tc>
              <w:tc>
                <w:tcPr>
                  <w:tcW w:w="1684" w:type="pct"/>
                  <w:vAlign w:val="center"/>
                </w:tcPr>
                <w:p w14:paraId="6D374A2A">
                  <w:pPr>
                    <w:jc w:val="center"/>
                    <w:rPr>
                      <w:highlight w:val="none"/>
                    </w:rPr>
                  </w:pPr>
                  <w:r>
                    <w:rPr>
                      <w:rFonts w:hint="eastAsia"/>
                      <w:highlight w:val="none"/>
                    </w:rPr>
                    <w:t>/</w:t>
                  </w:r>
                </w:p>
              </w:tc>
              <w:tc>
                <w:tcPr>
                  <w:tcW w:w="1375" w:type="pct"/>
                  <w:vAlign w:val="center"/>
                </w:tcPr>
                <w:p w14:paraId="7D2522D1">
                  <w:pPr>
                    <w:pStyle w:val="28"/>
                    <w:rPr>
                      <w:highlight w:val="none"/>
                    </w:rPr>
                  </w:pPr>
                  <w:r>
                    <w:rPr>
                      <w:rFonts w:hint="eastAsia"/>
                      <w:highlight w:val="none"/>
                    </w:rPr>
                    <w:t>1</w:t>
                  </w:r>
                </w:p>
              </w:tc>
            </w:tr>
            <w:tr w14:paraId="4939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18937FFF">
                  <w:pPr>
                    <w:pStyle w:val="28"/>
                    <w:rPr>
                      <w:highlight w:val="none"/>
                    </w:rPr>
                  </w:pPr>
                  <w:r>
                    <w:rPr>
                      <w:rFonts w:hint="eastAsia"/>
                      <w:highlight w:val="none"/>
                    </w:rPr>
                    <w:t>20</w:t>
                  </w:r>
                </w:p>
              </w:tc>
              <w:tc>
                <w:tcPr>
                  <w:tcW w:w="1446" w:type="pct"/>
                  <w:vAlign w:val="center"/>
                </w:tcPr>
                <w:p w14:paraId="6DA21BDF">
                  <w:pPr>
                    <w:pStyle w:val="28"/>
                    <w:rPr>
                      <w:highlight w:val="none"/>
                    </w:rPr>
                  </w:pPr>
                  <w:r>
                    <w:rPr>
                      <w:rFonts w:hint="eastAsia"/>
                      <w:highlight w:val="none"/>
                    </w:rPr>
                    <w:t>3型铡草机</w:t>
                  </w:r>
                </w:p>
              </w:tc>
              <w:tc>
                <w:tcPr>
                  <w:tcW w:w="1684" w:type="pct"/>
                  <w:vAlign w:val="center"/>
                </w:tcPr>
                <w:p w14:paraId="7F1429BA">
                  <w:pPr>
                    <w:jc w:val="center"/>
                    <w:rPr>
                      <w:highlight w:val="none"/>
                    </w:rPr>
                  </w:pPr>
                  <w:r>
                    <w:rPr>
                      <w:rFonts w:hint="eastAsia"/>
                      <w:highlight w:val="none"/>
                    </w:rPr>
                    <w:t>/</w:t>
                  </w:r>
                </w:p>
              </w:tc>
              <w:tc>
                <w:tcPr>
                  <w:tcW w:w="1375" w:type="pct"/>
                  <w:vAlign w:val="center"/>
                </w:tcPr>
                <w:p w14:paraId="4391BE2E">
                  <w:pPr>
                    <w:pStyle w:val="28"/>
                    <w:rPr>
                      <w:highlight w:val="none"/>
                    </w:rPr>
                  </w:pPr>
                  <w:r>
                    <w:rPr>
                      <w:rFonts w:hint="eastAsia"/>
                      <w:highlight w:val="none"/>
                    </w:rPr>
                    <w:t>1</w:t>
                  </w:r>
                </w:p>
              </w:tc>
            </w:tr>
            <w:tr w14:paraId="3112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4716B3D4">
                  <w:pPr>
                    <w:pStyle w:val="28"/>
                    <w:rPr>
                      <w:highlight w:val="none"/>
                    </w:rPr>
                  </w:pPr>
                  <w:r>
                    <w:rPr>
                      <w:rFonts w:hint="eastAsia"/>
                      <w:highlight w:val="none"/>
                    </w:rPr>
                    <w:t>21</w:t>
                  </w:r>
                </w:p>
              </w:tc>
              <w:tc>
                <w:tcPr>
                  <w:tcW w:w="1446" w:type="pct"/>
                  <w:vAlign w:val="center"/>
                </w:tcPr>
                <w:p w14:paraId="4CFD9B84">
                  <w:pPr>
                    <w:pStyle w:val="28"/>
                    <w:rPr>
                      <w:highlight w:val="none"/>
                    </w:rPr>
                  </w:pPr>
                  <w:r>
                    <w:rPr>
                      <w:rFonts w:hint="eastAsia"/>
                      <w:highlight w:val="none"/>
                    </w:rPr>
                    <w:t>6-1型铡草机</w:t>
                  </w:r>
                </w:p>
              </w:tc>
              <w:tc>
                <w:tcPr>
                  <w:tcW w:w="1684" w:type="pct"/>
                  <w:vAlign w:val="center"/>
                </w:tcPr>
                <w:p w14:paraId="3843E614">
                  <w:pPr>
                    <w:jc w:val="center"/>
                    <w:rPr>
                      <w:highlight w:val="none"/>
                    </w:rPr>
                  </w:pPr>
                  <w:r>
                    <w:rPr>
                      <w:rFonts w:hint="eastAsia"/>
                      <w:highlight w:val="none"/>
                    </w:rPr>
                    <w:t>/</w:t>
                  </w:r>
                </w:p>
              </w:tc>
              <w:tc>
                <w:tcPr>
                  <w:tcW w:w="1375" w:type="pct"/>
                  <w:vAlign w:val="center"/>
                </w:tcPr>
                <w:p w14:paraId="1FDE5FEA">
                  <w:pPr>
                    <w:pStyle w:val="28"/>
                    <w:rPr>
                      <w:highlight w:val="none"/>
                    </w:rPr>
                  </w:pPr>
                  <w:r>
                    <w:rPr>
                      <w:rFonts w:hint="eastAsia"/>
                      <w:highlight w:val="none"/>
                    </w:rPr>
                    <w:t>1</w:t>
                  </w:r>
                </w:p>
              </w:tc>
            </w:tr>
            <w:tr w14:paraId="698F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74FBA92">
                  <w:pPr>
                    <w:pStyle w:val="28"/>
                    <w:rPr>
                      <w:highlight w:val="none"/>
                    </w:rPr>
                  </w:pPr>
                  <w:r>
                    <w:rPr>
                      <w:rFonts w:hint="eastAsia"/>
                      <w:highlight w:val="none"/>
                    </w:rPr>
                    <w:t>22</w:t>
                  </w:r>
                </w:p>
              </w:tc>
              <w:tc>
                <w:tcPr>
                  <w:tcW w:w="1446" w:type="pct"/>
                  <w:vAlign w:val="center"/>
                </w:tcPr>
                <w:p w14:paraId="38B543AA">
                  <w:pPr>
                    <w:pStyle w:val="28"/>
                    <w:rPr>
                      <w:highlight w:val="none"/>
                    </w:rPr>
                  </w:pPr>
                  <w:r>
                    <w:rPr>
                      <w:rFonts w:hint="eastAsia"/>
                      <w:highlight w:val="none"/>
                    </w:rPr>
                    <w:t>电子秤</w:t>
                  </w:r>
                </w:p>
              </w:tc>
              <w:tc>
                <w:tcPr>
                  <w:tcW w:w="1684" w:type="pct"/>
                  <w:vAlign w:val="center"/>
                </w:tcPr>
                <w:p w14:paraId="1CF19552">
                  <w:pPr>
                    <w:jc w:val="center"/>
                    <w:rPr>
                      <w:highlight w:val="none"/>
                    </w:rPr>
                  </w:pPr>
                  <w:r>
                    <w:rPr>
                      <w:rFonts w:hint="eastAsia"/>
                      <w:highlight w:val="none"/>
                    </w:rPr>
                    <w:t>/</w:t>
                  </w:r>
                </w:p>
              </w:tc>
              <w:tc>
                <w:tcPr>
                  <w:tcW w:w="1375" w:type="pct"/>
                  <w:vAlign w:val="center"/>
                </w:tcPr>
                <w:p w14:paraId="7AFA25FB">
                  <w:pPr>
                    <w:pStyle w:val="28"/>
                    <w:rPr>
                      <w:highlight w:val="none"/>
                    </w:rPr>
                  </w:pPr>
                  <w:r>
                    <w:rPr>
                      <w:rFonts w:hint="eastAsia"/>
                      <w:highlight w:val="none"/>
                    </w:rPr>
                    <w:t>1</w:t>
                  </w:r>
                </w:p>
              </w:tc>
            </w:tr>
            <w:tr w14:paraId="5C25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vAlign w:val="center"/>
                </w:tcPr>
                <w:p w14:paraId="539F1F14">
                  <w:pPr>
                    <w:pStyle w:val="28"/>
                    <w:rPr>
                      <w:highlight w:val="none"/>
                    </w:rPr>
                  </w:pPr>
                  <w:r>
                    <w:rPr>
                      <w:rFonts w:hint="eastAsia"/>
                      <w:highlight w:val="none"/>
                    </w:rPr>
                    <w:t>23</w:t>
                  </w:r>
                </w:p>
              </w:tc>
              <w:tc>
                <w:tcPr>
                  <w:tcW w:w="1446" w:type="pct"/>
                  <w:vAlign w:val="center"/>
                </w:tcPr>
                <w:p w14:paraId="1A7817B0">
                  <w:pPr>
                    <w:pStyle w:val="28"/>
                    <w:rPr>
                      <w:highlight w:val="none"/>
                    </w:rPr>
                  </w:pPr>
                  <w:r>
                    <w:rPr>
                      <w:rFonts w:hint="eastAsia"/>
                      <w:highlight w:val="none"/>
                    </w:rPr>
                    <w:t>断筋机</w:t>
                  </w:r>
                </w:p>
              </w:tc>
              <w:tc>
                <w:tcPr>
                  <w:tcW w:w="1684" w:type="pct"/>
                  <w:vAlign w:val="center"/>
                </w:tcPr>
                <w:p w14:paraId="0C31711D">
                  <w:pPr>
                    <w:jc w:val="center"/>
                    <w:rPr>
                      <w:highlight w:val="none"/>
                    </w:rPr>
                  </w:pPr>
                  <w:r>
                    <w:rPr>
                      <w:rFonts w:hint="eastAsia"/>
                      <w:highlight w:val="none"/>
                    </w:rPr>
                    <w:t>/</w:t>
                  </w:r>
                </w:p>
              </w:tc>
              <w:tc>
                <w:tcPr>
                  <w:tcW w:w="1375" w:type="pct"/>
                  <w:vAlign w:val="center"/>
                </w:tcPr>
                <w:p w14:paraId="5FCD2586">
                  <w:pPr>
                    <w:pStyle w:val="28"/>
                    <w:rPr>
                      <w:highlight w:val="none"/>
                    </w:rPr>
                  </w:pPr>
                  <w:r>
                    <w:rPr>
                      <w:rFonts w:hint="eastAsia"/>
                      <w:highlight w:val="none"/>
                    </w:rPr>
                    <w:t>1</w:t>
                  </w:r>
                </w:p>
              </w:tc>
            </w:tr>
            <w:tr w14:paraId="5845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vAlign w:val="center"/>
                </w:tcPr>
                <w:p w14:paraId="21807AF9">
                  <w:pPr>
                    <w:pStyle w:val="28"/>
                    <w:rPr>
                      <w:highlight w:val="none"/>
                    </w:rPr>
                  </w:pPr>
                  <w:r>
                    <w:rPr>
                      <w:rFonts w:hint="eastAsia"/>
                      <w:highlight w:val="none"/>
                    </w:rPr>
                    <w:t>24</w:t>
                  </w:r>
                </w:p>
              </w:tc>
              <w:tc>
                <w:tcPr>
                  <w:tcW w:w="1446" w:type="pct"/>
                  <w:vAlign w:val="center"/>
                </w:tcPr>
                <w:p w14:paraId="58FA6285">
                  <w:pPr>
                    <w:pStyle w:val="28"/>
                    <w:rPr>
                      <w:highlight w:val="none"/>
                    </w:rPr>
                  </w:pPr>
                  <w:r>
                    <w:rPr>
                      <w:rFonts w:hint="eastAsia"/>
                      <w:highlight w:val="none"/>
                    </w:rPr>
                    <w:t>包装机</w:t>
                  </w:r>
                </w:p>
              </w:tc>
              <w:tc>
                <w:tcPr>
                  <w:tcW w:w="1684" w:type="pct"/>
                  <w:vAlign w:val="center"/>
                </w:tcPr>
                <w:p w14:paraId="18A26DC6">
                  <w:pPr>
                    <w:jc w:val="center"/>
                    <w:rPr>
                      <w:highlight w:val="none"/>
                    </w:rPr>
                  </w:pPr>
                  <w:r>
                    <w:rPr>
                      <w:rFonts w:hint="eastAsia"/>
                      <w:highlight w:val="none"/>
                    </w:rPr>
                    <w:t>/</w:t>
                  </w:r>
                </w:p>
              </w:tc>
              <w:tc>
                <w:tcPr>
                  <w:tcW w:w="1375" w:type="pct"/>
                  <w:vAlign w:val="center"/>
                </w:tcPr>
                <w:p w14:paraId="2A59F629">
                  <w:pPr>
                    <w:pStyle w:val="28"/>
                    <w:rPr>
                      <w:highlight w:val="none"/>
                    </w:rPr>
                  </w:pPr>
                  <w:r>
                    <w:rPr>
                      <w:rFonts w:hint="eastAsia"/>
                      <w:highlight w:val="none"/>
                    </w:rPr>
                    <w:t>1</w:t>
                  </w:r>
                </w:p>
              </w:tc>
            </w:tr>
            <w:tr w14:paraId="4697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93" w:type="pct"/>
                  <w:vAlign w:val="center"/>
                </w:tcPr>
                <w:p w14:paraId="7434F5CF">
                  <w:pPr>
                    <w:pStyle w:val="28"/>
                    <w:rPr>
                      <w:highlight w:val="none"/>
                    </w:rPr>
                  </w:pPr>
                  <w:r>
                    <w:rPr>
                      <w:rFonts w:hint="eastAsia"/>
                      <w:highlight w:val="none"/>
                    </w:rPr>
                    <w:t>25</w:t>
                  </w:r>
                </w:p>
              </w:tc>
              <w:tc>
                <w:tcPr>
                  <w:tcW w:w="1446" w:type="pct"/>
                  <w:vAlign w:val="center"/>
                </w:tcPr>
                <w:p w14:paraId="2EC6EF8D">
                  <w:pPr>
                    <w:pStyle w:val="28"/>
                    <w:rPr>
                      <w:highlight w:val="none"/>
                    </w:rPr>
                  </w:pPr>
                  <w:r>
                    <w:rPr>
                      <w:rFonts w:hint="eastAsia"/>
                      <w:highlight w:val="none"/>
                    </w:rPr>
                    <w:t>数控冻肉切片机</w:t>
                  </w:r>
                </w:p>
              </w:tc>
              <w:tc>
                <w:tcPr>
                  <w:tcW w:w="1684" w:type="pct"/>
                  <w:vAlign w:val="center"/>
                </w:tcPr>
                <w:p w14:paraId="20E0B6B0">
                  <w:pPr>
                    <w:jc w:val="center"/>
                    <w:rPr>
                      <w:highlight w:val="none"/>
                    </w:rPr>
                  </w:pPr>
                  <w:r>
                    <w:rPr>
                      <w:rFonts w:hint="eastAsia"/>
                      <w:highlight w:val="none"/>
                    </w:rPr>
                    <w:t>/</w:t>
                  </w:r>
                </w:p>
              </w:tc>
              <w:tc>
                <w:tcPr>
                  <w:tcW w:w="1375" w:type="pct"/>
                  <w:vAlign w:val="center"/>
                </w:tcPr>
                <w:p w14:paraId="67CD35D5">
                  <w:pPr>
                    <w:pStyle w:val="28"/>
                    <w:rPr>
                      <w:highlight w:val="none"/>
                    </w:rPr>
                  </w:pPr>
                  <w:r>
                    <w:rPr>
                      <w:rFonts w:hint="eastAsia"/>
                      <w:highlight w:val="none"/>
                    </w:rPr>
                    <w:t>1</w:t>
                  </w:r>
                </w:p>
              </w:tc>
            </w:tr>
            <w:tr w14:paraId="08DD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vAlign w:val="center"/>
                </w:tcPr>
                <w:p w14:paraId="2DBC02A7">
                  <w:pPr>
                    <w:pStyle w:val="28"/>
                    <w:rPr>
                      <w:highlight w:val="none"/>
                    </w:rPr>
                  </w:pPr>
                  <w:r>
                    <w:rPr>
                      <w:rFonts w:hint="eastAsia"/>
                      <w:highlight w:val="none"/>
                    </w:rPr>
                    <w:t>26</w:t>
                  </w:r>
                </w:p>
              </w:tc>
              <w:tc>
                <w:tcPr>
                  <w:tcW w:w="1446" w:type="pct"/>
                  <w:vAlign w:val="center"/>
                </w:tcPr>
                <w:p w14:paraId="20BE7EA3">
                  <w:pPr>
                    <w:pStyle w:val="28"/>
                    <w:rPr>
                      <w:highlight w:val="none"/>
                    </w:rPr>
                  </w:pPr>
                  <w:r>
                    <w:rPr>
                      <w:rFonts w:hint="eastAsia"/>
                      <w:highlight w:val="none"/>
                    </w:rPr>
                    <w:t>拖拉机</w:t>
                  </w:r>
                </w:p>
              </w:tc>
              <w:tc>
                <w:tcPr>
                  <w:tcW w:w="1684" w:type="pct"/>
                  <w:vAlign w:val="center"/>
                </w:tcPr>
                <w:p w14:paraId="470CEF02">
                  <w:pPr>
                    <w:jc w:val="center"/>
                    <w:rPr>
                      <w:highlight w:val="none"/>
                    </w:rPr>
                  </w:pPr>
                  <w:r>
                    <w:rPr>
                      <w:rFonts w:hint="eastAsia"/>
                      <w:highlight w:val="none"/>
                    </w:rPr>
                    <w:t>/</w:t>
                  </w:r>
                </w:p>
              </w:tc>
              <w:tc>
                <w:tcPr>
                  <w:tcW w:w="1375" w:type="pct"/>
                  <w:vAlign w:val="center"/>
                </w:tcPr>
                <w:p w14:paraId="5639F79E">
                  <w:pPr>
                    <w:pStyle w:val="28"/>
                    <w:rPr>
                      <w:highlight w:val="none"/>
                    </w:rPr>
                  </w:pPr>
                  <w:r>
                    <w:rPr>
                      <w:rFonts w:hint="eastAsia"/>
                      <w:highlight w:val="none"/>
                    </w:rPr>
                    <w:t>1</w:t>
                  </w:r>
                </w:p>
              </w:tc>
            </w:tr>
            <w:tr w14:paraId="790B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14:paraId="2BA1CB91">
                  <w:pPr>
                    <w:pStyle w:val="28"/>
                    <w:rPr>
                      <w:highlight w:val="none"/>
                    </w:rPr>
                  </w:pPr>
                  <w:r>
                    <w:rPr>
                      <w:rFonts w:hint="eastAsia"/>
                      <w:b/>
                      <w:bCs/>
                      <w:highlight w:val="none"/>
                    </w:rPr>
                    <w:t>冷鲜肉加工设备</w:t>
                  </w:r>
                </w:p>
              </w:tc>
            </w:tr>
            <w:tr w14:paraId="6F59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93" w:type="pct"/>
                  <w:shd w:val="clear" w:color="auto" w:fill="auto"/>
                  <w:vAlign w:val="center"/>
                </w:tcPr>
                <w:p w14:paraId="3F5C857C">
                  <w:pPr>
                    <w:pStyle w:val="28"/>
                    <w:rPr>
                      <w:highlight w:val="none"/>
                    </w:rPr>
                  </w:pPr>
                  <w:r>
                    <w:rPr>
                      <w:rFonts w:hint="eastAsia"/>
                      <w:highlight w:val="none"/>
                    </w:rPr>
                    <w:t>27</w:t>
                  </w:r>
                </w:p>
              </w:tc>
              <w:tc>
                <w:tcPr>
                  <w:tcW w:w="1446" w:type="pct"/>
                  <w:vAlign w:val="center"/>
                </w:tcPr>
                <w:p w14:paraId="5B79B0C0">
                  <w:pPr>
                    <w:pStyle w:val="28"/>
                    <w:rPr>
                      <w:highlight w:val="none"/>
                    </w:rPr>
                  </w:pPr>
                  <w:r>
                    <w:rPr>
                      <w:rFonts w:hint="eastAsia"/>
                      <w:highlight w:val="none"/>
                    </w:rPr>
                    <w:t>不锈钢工作台</w:t>
                  </w:r>
                </w:p>
              </w:tc>
              <w:tc>
                <w:tcPr>
                  <w:tcW w:w="1684" w:type="pct"/>
                  <w:vAlign w:val="center"/>
                </w:tcPr>
                <w:p w14:paraId="667E9342">
                  <w:pPr>
                    <w:pStyle w:val="28"/>
                    <w:rPr>
                      <w:highlight w:val="none"/>
                    </w:rPr>
                  </w:pPr>
                  <w:r>
                    <w:rPr>
                      <w:highlight w:val="none"/>
                    </w:rPr>
                    <w:t>2×1×0.8m</w:t>
                  </w:r>
                </w:p>
              </w:tc>
              <w:tc>
                <w:tcPr>
                  <w:tcW w:w="1375" w:type="pct"/>
                  <w:vAlign w:val="center"/>
                </w:tcPr>
                <w:p w14:paraId="20E43F31">
                  <w:pPr>
                    <w:pStyle w:val="28"/>
                    <w:rPr>
                      <w:highlight w:val="none"/>
                    </w:rPr>
                  </w:pPr>
                  <w:r>
                    <w:rPr>
                      <w:rFonts w:hint="eastAsia"/>
                      <w:highlight w:val="none"/>
                    </w:rPr>
                    <w:t>30</w:t>
                  </w:r>
                </w:p>
              </w:tc>
            </w:tr>
            <w:tr w14:paraId="2C6D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93" w:type="pct"/>
                  <w:shd w:val="clear" w:color="auto" w:fill="auto"/>
                  <w:vAlign w:val="center"/>
                </w:tcPr>
                <w:p w14:paraId="45E45B7C">
                  <w:pPr>
                    <w:pStyle w:val="28"/>
                    <w:rPr>
                      <w:highlight w:val="none"/>
                    </w:rPr>
                  </w:pPr>
                  <w:r>
                    <w:rPr>
                      <w:rFonts w:hint="eastAsia"/>
                      <w:highlight w:val="none"/>
                    </w:rPr>
                    <w:t>28</w:t>
                  </w:r>
                </w:p>
              </w:tc>
              <w:tc>
                <w:tcPr>
                  <w:tcW w:w="1446" w:type="pct"/>
                  <w:vAlign w:val="center"/>
                </w:tcPr>
                <w:p w14:paraId="64968321">
                  <w:pPr>
                    <w:pStyle w:val="28"/>
                    <w:rPr>
                      <w:highlight w:val="none"/>
                    </w:rPr>
                  </w:pPr>
                  <w:r>
                    <w:rPr>
                      <w:rFonts w:hint="eastAsia"/>
                      <w:highlight w:val="none"/>
                    </w:rPr>
                    <w:t>解冻槽</w:t>
                  </w:r>
                </w:p>
              </w:tc>
              <w:tc>
                <w:tcPr>
                  <w:tcW w:w="1684" w:type="pct"/>
                  <w:shd w:val="clear" w:color="auto" w:fill="auto"/>
                  <w:vAlign w:val="center"/>
                </w:tcPr>
                <w:p w14:paraId="7D317615">
                  <w:pPr>
                    <w:pStyle w:val="28"/>
                    <w:rPr>
                      <w:highlight w:val="none"/>
                    </w:rPr>
                  </w:pPr>
                  <w:r>
                    <w:rPr>
                      <w:highlight w:val="none"/>
                    </w:rPr>
                    <w:t>2x1x1m</w:t>
                  </w:r>
                </w:p>
              </w:tc>
              <w:tc>
                <w:tcPr>
                  <w:tcW w:w="1375" w:type="pct"/>
                  <w:shd w:val="clear" w:color="auto" w:fill="auto"/>
                  <w:vAlign w:val="center"/>
                </w:tcPr>
                <w:p w14:paraId="6D8BEF73">
                  <w:pPr>
                    <w:pStyle w:val="28"/>
                    <w:rPr>
                      <w:highlight w:val="none"/>
                    </w:rPr>
                  </w:pPr>
                  <w:r>
                    <w:rPr>
                      <w:rFonts w:hint="eastAsia"/>
                      <w:highlight w:val="none"/>
                    </w:rPr>
                    <w:t>5</w:t>
                  </w:r>
                </w:p>
              </w:tc>
            </w:tr>
            <w:tr w14:paraId="6443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93" w:type="pct"/>
                  <w:shd w:val="clear" w:color="auto" w:fill="auto"/>
                  <w:vAlign w:val="center"/>
                </w:tcPr>
                <w:p w14:paraId="11B52DCD">
                  <w:pPr>
                    <w:pStyle w:val="28"/>
                    <w:rPr>
                      <w:highlight w:val="none"/>
                    </w:rPr>
                  </w:pPr>
                  <w:r>
                    <w:rPr>
                      <w:rFonts w:hint="eastAsia"/>
                      <w:highlight w:val="none"/>
                    </w:rPr>
                    <w:t>29</w:t>
                  </w:r>
                </w:p>
              </w:tc>
              <w:tc>
                <w:tcPr>
                  <w:tcW w:w="1446" w:type="pct"/>
                  <w:vAlign w:val="center"/>
                </w:tcPr>
                <w:p w14:paraId="6EAAC95E">
                  <w:pPr>
                    <w:pStyle w:val="28"/>
                    <w:rPr>
                      <w:highlight w:val="none"/>
                    </w:rPr>
                  </w:pPr>
                  <w:r>
                    <w:rPr>
                      <w:rFonts w:hint="eastAsia"/>
                      <w:highlight w:val="none"/>
                    </w:rPr>
                    <w:t>清洗槽</w:t>
                  </w:r>
                </w:p>
              </w:tc>
              <w:tc>
                <w:tcPr>
                  <w:tcW w:w="1684" w:type="pct"/>
                  <w:shd w:val="clear" w:color="auto" w:fill="auto"/>
                  <w:vAlign w:val="center"/>
                </w:tcPr>
                <w:p w14:paraId="28FC0852">
                  <w:pPr>
                    <w:pStyle w:val="28"/>
                    <w:rPr>
                      <w:highlight w:val="none"/>
                    </w:rPr>
                  </w:pPr>
                  <w:r>
                    <w:rPr>
                      <w:highlight w:val="none"/>
                    </w:rPr>
                    <w:t>1x1x0.5m</w:t>
                  </w:r>
                </w:p>
              </w:tc>
              <w:tc>
                <w:tcPr>
                  <w:tcW w:w="1375" w:type="pct"/>
                  <w:shd w:val="clear" w:color="auto" w:fill="auto"/>
                  <w:vAlign w:val="center"/>
                </w:tcPr>
                <w:p w14:paraId="67D7FE4A">
                  <w:pPr>
                    <w:pStyle w:val="28"/>
                    <w:rPr>
                      <w:highlight w:val="none"/>
                    </w:rPr>
                  </w:pPr>
                  <w:r>
                    <w:rPr>
                      <w:rFonts w:hint="eastAsia"/>
                      <w:highlight w:val="none"/>
                    </w:rPr>
                    <w:t>5</w:t>
                  </w:r>
                </w:p>
              </w:tc>
            </w:tr>
            <w:tr w14:paraId="1B99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0434EAC0">
                  <w:pPr>
                    <w:pStyle w:val="28"/>
                    <w:rPr>
                      <w:highlight w:val="none"/>
                    </w:rPr>
                  </w:pPr>
                  <w:r>
                    <w:rPr>
                      <w:rFonts w:hint="eastAsia"/>
                      <w:highlight w:val="none"/>
                    </w:rPr>
                    <w:t>30</w:t>
                  </w:r>
                </w:p>
              </w:tc>
              <w:tc>
                <w:tcPr>
                  <w:tcW w:w="1446" w:type="pct"/>
                  <w:vAlign w:val="center"/>
                </w:tcPr>
                <w:p w14:paraId="7D1E79A6">
                  <w:pPr>
                    <w:pStyle w:val="28"/>
                    <w:rPr>
                      <w:highlight w:val="none"/>
                    </w:rPr>
                  </w:pPr>
                  <w:r>
                    <w:rPr>
                      <w:rFonts w:hint="eastAsia"/>
                      <w:highlight w:val="none"/>
                    </w:rPr>
                    <w:t>穿串机</w:t>
                  </w:r>
                </w:p>
              </w:tc>
              <w:tc>
                <w:tcPr>
                  <w:tcW w:w="1684" w:type="pct"/>
                  <w:shd w:val="clear" w:color="auto" w:fill="auto"/>
                  <w:vAlign w:val="center"/>
                </w:tcPr>
                <w:p w14:paraId="152DD476">
                  <w:pPr>
                    <w:pStyle w:val="28"/>
                    <w:rPr>
                      <w:highlight w:val="none"/>
                    </w:rPr>
                  </w:pPr>
                  <w:r>
                    <w:rPr>
                      <w:highlight w:val="none"/>
                    </w:rPr>
                    <w:t>35串/分</w:t>
                  </w:r>
                </w:p>
              </w:tc>
              <w:tc>
                <w:tcPr>
                  <w:tcW w:w="1375" w:type="pct"/>
                  <w:shd w:val="clear" w:color="auto" w:fill="auto"/>
                  <w:vAlign w:val="center"/>
                </w:tcPr>
                <w:p w14:paraId="1A3C6FC9">
                  <w:pPr>
                    <w:pStyle w:val="28"/>
                    <w:rPr>
                      <w:highlight w:val="none"/>
                    </w:rPr>
                  </w:pPr>
                  <w:r>
                    <w:rPr>
                      <w:rFonts w:hint="eastAsia"/>
                      <w:highlight w:val="none"/>
                    </w:rPr>
                    <w:t>1</w:t>
                  </w:r>
                </w:p>
              </w:tc>
            </w:tr>
            <w:tr w14:paraId="2ECF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611FFE30">
                  <w:pPr>
                    <w:pStyle w:val="28"/>
                    <w:rPr>
                      <w:highlight w:val="none"/>
                    </w:rPr>
                  </w:pPr>
                  <w:r>
                    <w:rPr>
                      <w:rFonts w:hint="eastAsia"/>
                      <w:highlight w:val="none"/>
                    </w:rPr>
                    <w:t>31</w:t>
                  </w:r>
                </w:p>
              </w:tc>
              <w:tc>
                <w:tcPr>
                  <w:tcW w:w="1446" w:type="pct"/>
                  <w:shd w:val="clear" w:color="auto" w:fill="auto"/>
                  <w:vAlign w:val="center"/>
                </w:tcPr>
                <w:p w14:paraId="236774DF">
                  <w:pPr>
                    <w:pStyle w:val="28"/>
                    <w:rPr>
                      <w:highlight w:val="none"/>
                    </w:rPr>
                  </w:pPr>
                  <w:r>
                    <w:rPr>
                      <w:rFonts w:hint="eastAsia"/>
                      <w:highlight w:val="none"/>
                    </w:rPr>
                    <w:t>液压真空滚揉机</w:t>
                  </w:r>
                </w:p>
              </w:tc>
              <w:tc>
                <w:tcPr>
                  <w:tcW w:w="1684" w:type="pct"/>
                  <w:shd w:val="clear" w:color="auto" w:fill="auto"/>
                  <w:vAlign w:val="center"/>
                </w:tcPr>
                <w:p w14:paraId="52FB4509">
                  <w:pPr>
                    <w:pStyle w:val="28"/>
                    <w:rPr>
                      <w:highlight w:val="none"/>
                    </w:rPr>
                  </w:pPr>
                  <w:r>
                    <w:rPr>
                      <w:highlight w:val="none"/>
                    </w:rPr>
                    <w:t>YGR-1700</w:t>
                  </w:r>
                </w:p>
              </w:tc>
              <w:tc>
                <w:tcPr>
                  <w:tcW w:w="1375" w:type="pct"/>
                  <w:shd w:val="clear" w:color="auto" w:fill="auto"/>
                  <w:vAlign w:val="center"/>
                </w:tcPr>
                <w:p w14:paraId="0C9442B0">
                  <w:pPr>
                    <w:pStyle w:val="28"/>
                    <w:rPr>
                      <w:highlight w:val="none"/>
                    </w:rPr>
                  </w:pPr>
                  <w:r>
                    <w:rPr>
                      <w:rFonts w:hint="eastAsia"/>
                      <w:highlight w:val="none"/>
                    </w:rPr>
                    <w:t>2</w:t>
                  </w:r>
                </w:p>
              </w:tc>
            </w:tr>
            <w:tr w14:paraId="6DA6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93" w:type="pct"/>
                  <w:shd w:val="clear" w:color="auto" w:fill="auto"/>
                  <w:vAlign w:val="center"/>
                </w:tcPr>
                <w:p w14:paraId="5A30D6EF">
                  <w:pPr>
                    <w:pStyle w:val="28"/>
                    <w:rPr>
                      <w:highlight w:val="none"/>
                    </w:rPr>
                  </w:pPr>
                  <w:r>
                    <w:rPr>
                      <w:rFonts w:hint="eastAsia"/>
                      <w:highlight w:val="none"/>
                    </w:rPr>
                    <w:t>32</w:t>
                  </w:r>
                </w:p>
              </w:tc>
              <w:tc>
                <w:tcPr>
                  <w:tcW w:w="1446" w:type="pct"/>
                  <w:shd w:val="clear" w:color="auto" w:fill="auto"/>
                  <w:vAlign w:val="center"/>
                </w:tcPr>
                <w:p w14:paraId="1EB27C4C">
                  <w:pPr>
                    <w:pStyle w:val="28"/>
                    <w:rPr>
                      <w:highlight w:val="none"/>
                    </w:rPr>
                  </w:pPr>
                  <w:r>
                    <w:rPr>
                      <w:rFonts w:hint="eastAsia"/>
                      <w:highlight w:val="none"/>
                    </w:rPr>
                    <w:t>（冻肉）绞肉机</w:t>
                  </w:r>
                </w:p>
              </w:tc>
              <w:tc>
                <w:tcPr>
                  <w:tcW w:w="1684" w:type="pct"/>
                  <w:shd w:val="clear" w:color="auto" w:fill="auto"/>
                  <w:vAlign w:val="center"/>
                </w:tcPr>
                <w:p w14:paraId="4057318C">
                  <w:pPr>
                    <w:pStyle w:val="28"/>
                    <w:rPr>
                      <w:highlight w:val="none"/>
                    </w:rPr>
                  </w:pPr>
                  <w:r>
                    <w:rPr>
                      <w:highlight w:val="none"/>
                    </w:rPr>
                    <w:t>JR-D120</w:t>
                  </w:r>
                </w:p>
              </w:tc>
              <w:tc>
                <w:tcPr>
                  <w:tcW w:w="1375" w:type="pct"/>
                  <w:shd w:val="clear" w:color="auto" w:fill="auto"/>
                  <w:vAlign w:val="center"/>
                </w:tcPr>
                <w:p w14:paraId="6C149BB4">
                  <w:pPr>
                    <w:pStyle w:val="28"/>
                    <w:rPr>
                      <w:highlight w:val="none"/>
                    </w:rPr>
                  </w:pPr>
                  <w:r>
                    <w:rPr>
                      <w:rFonts w:hint="eastAsia"/>
                      <w:highlight w:val="none"/>
                    </w:rPr>
                    <w:t>1</w:t>
                  </w:r>
                </w:p>
              </w:tc>
            </w:tr>
            <w:tr w14:paraId="3D49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1AF49251">
                  <w:pPr>
                    <w:pStyle w:val="28"/>
                    <w:rPr>
                      <w:highlight w:val="none"/>
                    </w:rPr>
                  </w:pPr>
                  <w:r>
                    <w:rPr>
                      <w:rFonts w:hint="eastAsia"/>
                      <w:highlight w:val="none"/>
                    </w:rPr>
                    <w:t>33</w:t>
                  </w:r>
                </w:p>
              </w:tc>
              <w:tc>
                <w:tcPr>
                  <w:tcW w:w="1446" w:type="pct"/>
                  <w:shd w:val="clear" w:color="auto" w:fill="auto"/>
                  <w:vAlign w:val="center"/>
                </w:tcPr>
                <w:p w14:paraId="339DEBB1">
                  <w:pPr>
                    <w:pStyle w:val="28"/>
                    <w:rPr>
                      <w:highlight w:val="none"/>
                    </w:rPr>
                  </w:pPr>
                  <w:r>
                    <w:rPr>
                      <w:rFonts w:hint="eastAsia"/>
                      <w:highlight w:val="none"/>
                    </w:rPr>
                    <w:t>冻肉刨片机</w:t>
                  </w:r>
                </w:p>
              </w:tc>
              <w:tc>
                <w:tcPr>
                  <w:tcW w:w="1684" w:type="pct"/>
                  <w:shd w:val="clear" w:color="auto" w:fill="auto"/>
                  <w:vAlign w:val="center"/>
                </w:tcPr>
                <w:p w14:paraId="4C67BCF7">
                  <w:pPr>
                    <w:pStyle w:val="28"/>
                    <w:rPr>
                      <w:highlight w:val="none"/>
                    </w:rPr>
                  </w:pPr>
                  <w:r>
                    <w:rPr>
                      <w:highlight w:val="none"/>
                    </w:rPr>
                    <w:t>ZC980</w:t>
                  </w:r>
                </w:p>
              </w:tc>
              <w:tc>
                <w:tcPr>
                  <w:tcW w:w="1375" w:type="pct"/>
                  <w:shd w:val="clear" w:color="auto" w:fill="auto"/>
                  <w:vAlign w:val="center"/>
                </w:tcPr>
                <w:p w14:paraId="42C93D80">
                  <w:pPr>
                    <w:pStyle w:val="28"/>
                    <w:rPr>
                      <w:highlight w:val="none"/>
                    </w:rPr>
                  </w:pPr>
                  <w:r>
                    <w:rPr>
                      <w:rFonts w:hint="eastAsia"/>
                      <w:highlight w:val="none"/>
                    </w:rPr>
                    <w:t>1</w:t>
                  </w:r>
                </w:p>
              </w:tc>
            </w:tr>
            <w:tr w14:paraId="77A8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3C8F016C">
                  <w:pPr>
                    <w:pStyle w:val="28"/>
                    <w:rPr>
                      <w:highlight w:val="none"/>
                    </w:rPr>
                  </w:pPr>
                  <w:r>
                    <w:rPr>
                      <w:rFonts w:hint="eastAsia"/>
                      <w:highlight w:val="none"/>
                    </w:rPr>
                    <w:t>34</w:t>
                  </w:r>
                </w:p>
              </w:tc>
              <w:tc>
                <w:tcPr>
                  <w:tcW w:w="1446" w:type="pct"/>
                  <w:shd w:val="clear" w:color="auto" w:fill="auto"/>
                  <w:vAlign w:val="center"/>
                </w:tcPr>
                <w:p w14:paraId="55367163">
                  <w:pPr>
                    <w:pStyle w:val="28"/>
                    <w:rPr>
                      <w:highlight w:val="none"/>
                    </w:rPr>
                  </w:pPr>
                  <w:r>
                    <w:rPr>
                      <w:rFonts w:hint="eastAsia"/>
                      <w:highlight w:val="none"/>
                    </w:rPr>
                    <w:t>真空封口机</w:t>
                  </w:r>
                </w:p>
              </w:tc>
              <w:tc>
                <w:tcPr>
                  <w:tcW w:w="1684" w:type="pct"/>
                  <w:shd w:val="clear" w:color="auto" w:fill="auto"/>
                  <w:vAlign w:val="center"/>
                </w:tcPr>
                <w:p w14:paraId="24A8C50C">
                  <w:pPr>
                    <w:pStyle w:val="28"/>
                    <w:rPr>
                      <w:highlight w:val="none"/>
                    </w:rPr>
                  </w:pPr>
                  <w:r>
                    <w:rPr>
                      <w:highlight w:val="none"/>
                    </w:rPr>
                    <w:t>DZ-500/2SP</w:t>
                  </w:r>
                </w:p>
              </w:tc>
              <w:tc>
                <w:tcPr>
                  <w:tcW w:w="1375" w:type="pct"/>
                  <w:shd w:val="clear" w:color="auto" w:fill="auto"/>
                  <w:vAlign w:val="center"/>
                </w:tcPr>
                <w:p w14:paraId="799C2E47">
                  <w:pPr>
                    <w:pStyle w:val="28"/>
                    <w:rPr>
                      <w:highlight w:val="none"/>
                    </w:rPr>
                  </w:pPr>
                  <w:r>
                    <w:rPr>
                      <w:rFonts w:hint="eastAsia"/>
                      <w:highlight w:val="none"/>
                    </w:rPr>
                    <w:t>10</w:t>
                  </w:r>
                </w:p>
              </w:tc>
            </w:tr>
            <w:tr w14:paraId="1DB4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93" w:type="pct"/>
                  <w:shd w:val="clear" w:color="auto" w:fill="auto"/>
                  <w:vAlign w:val="center"/>
                </w:tcPr>
                <w:p w14:paraId="118E5202">
                  <w:pPr>
                    <w:pStyle w:val="28"/>
                    <w:rPr>
                      <w:highlight w:val="none"/>
                    </w:rPr>
                  </w:pPr>
                  <w:r>
                    <w:rPr>
                      <w:rFonts w:hint="eastAsia"/>
                      <w:highlight w:val="none"/>
                    </w:rPr>
                    <w:t>35</w:t>
                  </w:r>
                </w:p>
              </w:tc>
              <w:tc>
                <w:tcPr>
                  <w:tcW w:w="1446" w:type="pct"/>
                  <w:shd w:val="clear" w:color="auto" w:fill="auto"/>
                  <w:vAlign w:val="center"/>
                </w:tcPr>
                <w:p w14:paraId="1BECBF6A">
                  <w:pPr>
                    <w:pStyle w:val="28"/>
                    <w:rPr>
                      <w:highlight w:val="none"/>
                    </w:rPr>
                  </w:pPr>
                  <w:r>
                    <w:rPr>
                      <w:rFonts w:hint="eastAsia"/>
                      <w:highlight w:val="none"/>
                    </w:rPr>
                    <w:t>速冻库</w:t>
                  </w:r>
                </w:p>
              </w:tc>
              <w:tc>
                <w:tcPr>
                  <w:tcW w:w="1684" w:type="pct"/>
                  <w:shd w:val="clear" w:color="auto" w:fill="auto"/>
                  <w:vAlign w:val="center"/>
                </w:tcPr>
                <w:p w14:paraId="6478112F">
                  <w:pPr>
                    <w:pStyle w:val="28"/>
                    <w:rPr>
                      <w:highlight w:val="none"/>
                    </w:rPr>
                  </w:pPr>
                  <w:r>
                    <w:rPr>
                      <w:highlight w:val="none"/>
                    </w:rPr>
                    <w:t>3吨</w:t>
                  </w:r>
                </w:p>
              </w:tc>
              <w:tc>
                <w:tcPr>
                  <w:tcW w:w="1375" w:type="pct"/>
                  <w:shd w:val="clear" w:color="auto" w:fill="auto"/>
                  <w:vAlign w:val="center"/>
                </w:tcPr>
                <w:p w14:paraId="6D382372">
                  <w:pPr>
                    <w:pStyle w:val="28"/>
                    <w:rPr>
                      <w:highlight w:val="none"/>
                    </w:rPr>
                  </w:pPr>
                  <w:r>
                    <w:rPr>
                      <w:rFonts w:hint="eastAsia"/>
                      <w:highlight w:val="none"/>
                    </w:rPr>
                    <w:t>1</w:t>
                  </w:r>
                </w:p>
              </w:tc>
            </w:tr>
            <w:tr w14:paraId="2C64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38072A04">
                  <w:pPr>
                    <w:pStyle w:val="28"/>
                    <w:rPr>
                      <w:highlight w:val="none"/>
                    </w:rPr>
                  </w:pPr>
                  <w:r>
                    <w:rPr>
                      <w:rFonts w:hint="eastAsia"/>
                      <w:highlight w:val="none"/>
                    </w:rPr>
                    <w:t>36</w:t>
                  </w:r>
                </w:p>
              </w:tc>
              <w:tc>
                <w:tcPr>
                  <w:tcW w:w="1446" w:type="pct"/>
                  <w:shd w:val="clear" w:color="auto" w:fill="auto"/>
                  <w:vAlign w:val="center"/>
                </w:tcPr>
                <w:p w14:paraId="05E3B49F">
                  <w:pPr>
                    <w:pStyle w:val="28"/>
                    <w:rPr>
                      <w:highlight w:val="none"/>
                    </w:rPr>
                  </w:pPr>
                  <w:r>
                    <w:rPr>
                      <w:rFonts w:hint="eastAsia"/>
                      <w:highlight w:val="none"/>
                    </w:rPr>
                    <w:t>高温冷库</w:t>
                  </w:r>
                </w:p>
              </w:tc>
              <w:tc>
                <w:tcPr>
                  <w:tcW w:w="1684" w:type="pct"/>
                  <w:shd w:val="clear" w:color="auto" w:fill="auto"/>
                  <w:vAlign w:val="center"/>
                </w:tcPr>
                <w:p w14:paraId="0B94F116">
                  <w:pPr>
                    <w:pStyle w:val="28"/>
                    <w:rPr>
                      <w:highlight w:val="none"/>
                    </w:rPr>
                  </w:pPr>
                  <w:r>
                    <w:rPr>
                      <w:rFonts w:hint="eastAsia"/>
                      <w:highlight w:val="none"/>
                    </w:rPr>
                    <w:t>180m</w:t>
                  </w:r>
                  <w:r>
                    <w:rPr>
                      <w:highlight w:val="none"/>
                    </w:rPr>
                    <w:t>²</w:t>
                  </w:r>
                </w:p>
              </w:tc>
              <w:tc>
                <w:tcPr>
                  <w:tcW w:w="1375" w:type="pct"/>
                  <w:shd w:val="clear" w:color="auto" w:fill="auto"/>
                  <w:vAlign w:val="center"/>
                </w:tcPr>
                <w:p w14:paraId="6BF18ABE">
                  <w:pPr>
                    <w:pStyle w:val="28"/>
                    <w:rPr>
                      <w:highlight w:val="none"/>
                    </w:rPr>
                  </w:pPr>
                  <w:r>
                    <w:rPr>
                      <w:rFonts w:hint="eastAsia"/>
                      <w:highlight w:val="none"/>
                    </w:rPr>
                    <w:t>1</w:t>
                  </w:r>
                </w:p>
              </w:tc>
            </w:tr>
            <w:tr w14:paraId="0AA6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864EBAF">
                  <w:pPr>
                    <w:pStyle w:val="28"/>
                    <w:rPr>
                      <w:highlight w:val="none"/>
                    </w:rPr>
                  </w:pPr>
                  <w:r>
                    <w:rPr>
                      <w:rFonts w:hint="eastAsia"/>
                      <w:highlight w:val="none"/>
                    </w:rPr>
                    <w:t>37</w:t>
                  </w:r>
                </w:p>
              </w:tc>
              <w:tc>
                <w:tcPr>
                  <w:tcW w:w="1446" w:type="pct"/>
                  <w:shd w:val="clear" w:color="auto" w:fill="auto"/>
                  <w:vAlign w:val="center"/>
                </w:tcPr>
                <w:p w14:paraId="42B26527">
                  <w:pPr>
                    <w:pStyle w:val="28"/>
                    <w:rPr>
                      <w:highlight w:val="none"/>
                    </w:rPr>
                  </w:pPr>
                  <w:r>
                    <w:rPr>
                      <w:rFonts w:hint="eastAsia"/>
                      <w:highlight w:val="none"/>
                    </w:rPr>
                    <w:t>牛排定型模具</w:t>
                  </w:r>
                </w:p>
              </w:tc>
              <w:tc>
                <w:tcPr>
                  <w:tcW w:w="1684" w:type="pct"/>
                  <w:shd w:val="clear" w:color="auto" w:fill="auto"/>
                  <w:vAlign w:val="center"/>
                </w:tcPr>
                <w:p w14:paraId="50DF5512">
                  <w:pPr>
                    <w:pStyle w:val="28"/>
                    <w:rPr>
                      <w:highlight w:val="none"/>
                    </w:rPr>
                  </w:pPr>
                  <w:r>
                    <w:rPr>
                      <w:rFonts w:hint="eastAsia"/>
                      <w:highlight w:val="none"/>
                    </w:rPr>
                    <w:t>8kg/只</w:t>
                  </w:r>
                </w:p>
              </w:tc>
              <w:tc>
                <w:tcPr>
                  <w:tcW w:w="1375" w:type="pct"/>
                  <w:shd w:val="clear" w:color="auto" w:fill="auto"/>
                  <w:vAlign w:val="center"/>
                </w:tcPr>
                <w:p w14:paraId="22CF6D75">
                  <w:pPr>
                    <w:pStyle w:val="28"/>
                    <w:rPr>
                      <w:highlight w:val="none"/>
                    </w:rPr>
                  </w:pPr>
                  <w:r>
                    <w:rPr>
                      <w:rFonts w:hint="eastAsia"/>
                      <w:highlight w:val="none"/>
                    </w:rPr>
                    <w:t>500</w:t>
                  </w:r>
                </w:p>
              </w:tc>
            </w:tr>
            <w:tr w14:paraId="47ED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14:paraId="3D1774ED">
                  <w:pPr>
                    <w:pStyle w:val="28"/>
                    <w:rPr>
                      <w:highlight w:val="none"/>
                    </w:rPr>
                  </w:pPr>
                  <w:r>
                    <w:rPr>
                      <w:rFonts w:hint="eastAsia"/>
                      <w:b/>
                      <w:bCs/>
                      <w:highlight w:val="none"/>
                    </w:rPr>
                    <w:t>熟制品加工车间设备</w:t>
                  </w:r>
                </w:p>
              </w:tc>
            </w:tr>
            <w:tr w14:paraId="2324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93" w:type="pct"/>
                  <w:shd w:val="clear" w:color="auto" w:fill="auto"/>
                  <w:vAlign w:val="center"/>
                </w:tcPr>
                <w:p w14:paraId="7BEF7941">
                  <w:pPr>
                    <w:pStyle w:val="28"/>
                    <w:rPr>
                      <w:highlight w:val="none"/>
                    </w:rPr>
                  </w:pPr>
                  <w:r>
                    <w:rPr>
                      <w:rFonts w:hint="eastAsia"/>
                      <w:highlight w:val="none"/>
                    </w:rPr>
                    <w:t>38</w:t>
                  </w:r>
                </w:p>
              </w:tc>
              <w:tc>
                <w:tcPr>
                  <w:tcW w:w="1446" w:type="pct"/>
                  <w:shd w:val="clear" w:color="auto" w:fill="auto"/>
                  <w:vAlign w:val="center"/>
                </w:tcPr>
                <w:p w14:paraId="2D0BB6B7">
                  <w:pPr>
                    <w:pStyle w:val="28"/>
                    <w:rPr>
                      <w:highlight w:val="none"/>
                    </w:rPr>
                  </w:pPr>
                  <w:r>
                    <w:rPr>
                      <w:rFonts w:hint="eastAsia"/>
                      <w:highlight w:val="none"/>
                    </w:rPr>
                    <w:t>可倾斜真空封口机</w:t>
                  </w:r>
                </w:p>
              </w:tc>
              <w:tc>
                <w:tcPr>
                  <w:tcW w:w="1684" w:type="pct"/>
                  <w:shd w:val="clear" w:color="auto" w:fill="auto"/>
                  <w:vAlign w:val="center"/>
                </w:tcPr>
                <w:p w14:paraId="356D46F3">
                  <w:pPr>
                    <w:pStyle w:val="28"/>
                    <w:rPr>
                      <w:highlight w:val="none"/>
                    </w:rPr>
                  </w:pPr>
                  <w:r>
                    <w:rPr>
                      <w:highlight w:val="none"/>
                    </w:rPr>
                    <w:t>DZ-5002SF</w:t>
                  </w:r>
                </w:p>
              </w:tc>
              <w:tc>
                <w:tcPr>
                  <w:tcW w:w="1375" w:type="pct"/>
                  <w:shd w:val="clear" w:color="auto" w:fill="auto"/>
                  <w:vAlign w:val="center"/>
                </w:tcPr>
                <w:p w14:paraId="3C47A228">
                  <w:pPr>
                    <w:pStyle w:val="28"/>
                    <w:rPr>
                      <w:highlight w:val="none"/>
                    </w:rPr>
                  </w:pPr>
                  <w:r>
                    <w:rPr>
                      <w:rFonts w:hint="eastAsia"/>
                      <w:highlight w:val="none"/>
                    </w:rPr>
                    <w:t>6</w:t>
                  </w:r>
                </w:p>
              </w:tc>
            </w:tr>
            <w:tr w14:paraId="58E3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526B71B7">
                  <w:pPr>
                    <w:pStyle w:val="28"/>
                    <w:rPr>
                      <w:highlight w:val="none"/>
                    </w:rPr>
                  </w:pPr>
                  <w:r>
                    <w:rPr>
                      <w:rFonts w:hint="eastAsia"/>
                      <w:highlight w:val="none"/>
                    </w:rPr>
                    <w:t>39</w:t>
                  </w:r>
                </w:p>
              </w:tc>
              <w:tc>
                <w:tcPr>
                  <w:tcW w:w="1446" w:type="pct"/>
                  <w:shd w:val="clear" w:color="auto" w:fill="auto"/>
                  <w:vAlign w:val="center"/>
                </w:tcPr>
                <w:p w14:paraId="7EF66AFE">
                  <w:pPr>
                    <w:pStyle w:val="28"/>
                    <w:rPr>
                      <w:highlight w:val="none"/>
                    </w:rPr>
                  </w:pPr>
                  <w:r>
                    <w:rPr>
                      <w:rFonts w:hint="eastAsia"/>
                      <w:highlight w:val="none"/>
                    </w:rPr>
                    <w:t>架子车</w:t>
                  </w:r>
                </w:p>
              </w:tc>
              <w:tc>
                <w:tcPr>
                  <w:tcW w:w="1684" w:type="pct"/>
                  <w:shd w:val="clear" w:color="auto" w:fill="auto"/>
                  <w:vAlign w:val="center"/>
                </w:tcPr>
                <w:p w14:paraId="4E739998">
                  <w:pPr>
                    <w:pStyle w:val="28"/>
                    <w:rPr>
                      <w:highlight w:val="none"/>
                    </w:rPr>
                  </w:pPr>
                  <w:r>
                    <w:rPr>
                      <w:rFonts w:hint="eastAsia"/>
                      <w:highlight w:val="none"/>
                    </w:rPr>
                    <w:t>200kg/车</w:t>
                  </w:r>
                </w:p>
              </w:tc>
              <w:tc>
                <w:tcPr>
                  <w:tcW w:w="1375" w:type="pct"/>
                  <w:shd w:val="clear" w:color="auto" w:fill="auto"/>
                  <w:vAlign w:val="center"/>
                </w:tcPr>
                <w:p w14:paraId="43D837DB">
                  <w:pPr>
                    <w:pStyle w:val="28"/>
                    <w:rPr>
                      <w:highlight w:val="none"/>
                    </w:rPr>
                  </w:pPr>
                  <w:r>
                    <w:rPr>
                      <w:rFonts w:hint="eastAsia"/>
                      <w:highlight w:val="none"/>
                    </w:rPr>
                    <w:t>20</w:t>
                  </w:r>
                </w:p>
              </w:tc>
            </w:tr>
            <w:tr w14:paraId="0B99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314AFF07">
                  <w:pPr>
                    <w:pStyle w:val="28"/>
                    <w:rPr>
                      <w:highlight w:val="none"/>
                    </w:rPr>
                  </w:pPr>
                  <w:r>
                    <w:rPr>
                      <w:rFonts w:hint="eastAsia"/>
                      <w:highlight w:val="none"/>
                    </w:rPr>
                    <w:t>40</w:t>
                  </w:r>
                </w:p>
              </w:tc>
              <w:tc>
                <w:tcPr>
                  <w:tcW w:w="1446" w:type="pct"/>
                  <w:shd w:val="clear" w:color="auto" w:fill="auto"/>
                  <w:vAlign w:val="center"/>
                </w:tcPr>
                <w:p w14:paraId="252686C3">
                  <w:pPr>
                    <w:pStyle w:val="28"/>
                    <w:rPr>
                      <w:highlight w:val="none"/>
                    </w:rPr>
                  </w:pPr>
                  <w:r>
                    <w:rPr>
                      <w:rFonts w:hint="eastAsia"/>
                      <w:highlight w:val="none"/>
                    </w:rPr>
                    <w:t>真空灌肠机</w:t>
                  </w:r>
                </w:p>
              </w:tc>
              <w:tc>
                <w:tcPr>
                  <w:tcW w:w="1684" w:type="pct"/>
                  <w:shd w:val="clear" w:color="auto" w:fill="auto"/>
                  <w:vAlign w:val="center"/>
                </w:tcPr>
                <w:p w14:paraId="520CAACD">
                  <w:pPr>
                    <w:pStyle w:val="28"/>
                    <w:rPr>
                      <w:highlight w:val="none"/>
                    </w:rPr>
                  </w:pPr>
                  <w:r>
                    <w:rPr>
                      <w:rFonts w:hint="eastAsia"/>
                      <w:highlight w:val="none"/>
                    </w:rPr>
                    <w:t>900x900</w:t>
                  </w:r>
                </w:p>
              </w:tc>
              <w:tc>
                <w:tcPr>
                  <w:tcW w:w="1375" w:type="pct"/>
                  <w:shd w:val="clear" w:color="auto" w:fill="auto"/>
                  <w:vAlign w:val="center"/>
                </w:tcPr>
                <w:p w14:paraId="4B014AA5">
                  <w:pPr>
                    <w:pStyle w:val="28"/>
                    <w:rPr>
                      <w:highlight w:val="none"/>
                    </w:rPr>
                  </w:pPr>
                  <w:r>
                    <w:rPr>
                      <w:rFonts w:hint="eastAsia"/>
                      <w:highlight w:val="none"/>
                    </w:rPr>
                    <w:t>1</w:t>
                  </w:r>
                </w:p>
              </w:tc>
            </w:tr>
            <w:tr w14:paraId="1B96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1B5373CB">
                  <w:pPr>
                    <w:pStyle w:val="28"/>
                    <w:rPr>
                      <w:highlight w:val="none"/>
                    </w:rPr>
                  </w:pPr>
                  <w:r>
                    <w:rPr>
                      <w:rFonts w:hint="eastAsia"/>
                      <w:highlight w:val="none"/>
                    </w:rPr>
                    <w:t>41</w:t>
                  </w:r>
                </w:p>
              </w:tc>
              <w:tc>
                <w:tcPr>
                  <w:tcW w:w="1446" w:type="pct"/>
                  <w:shd w:val="clear" w:color="auto" w:fill="auto"/>
                  <w:vAlign w:val="center"/>
                </w:tcPr>
                <w:p w14:paraId="6B8DF701">
                  <w:pPr>
                    <w:pStyle w:val="28"/>
                    <w:rPr>
                      <w:highlight w:val="none"/>
                    </w:rPr>
                  </w:pPr>
                  <w:r>
                    <w:rPr>
                      <w:rFonts w:hint="eastAsia"/>
                      <w:highlight w:val="none"/>
                    </w:rPr>
                    <w:t>斩拌机</w:t>
                  </w:r>
                </w:p>
              </w:tc>
              <w:tc>
                <w:tcPr>
                  <w:tcW w:w="1684" w:type="pct"/>
                  <w:shd w:val="clear" w:color="auto" w:fill="auto"/>
                  <w:vAlign w:val="center"/>
                </w:tcPr>
                <w:p w14:paraId="4049CD69">
                  <w:pPr>
                    <w:pStyle w:val="28"/>
                    <w:rPr>
                      <w:highlight w:val="none"/>
                    </w:rPr>
                  </w:pPr>
                  <w:r>
                    <w:rPr>
                      <w:rFonts w:hint="eastAsia"/>
                      <w:highlight w:val="none"/>
                    </w:rPr>
                    <w:t>3980r/min</w:t>
                  </w:r>
                </w:p>
              </w:tc>
              <w:tc>
                <w:tcPr>
                  <w:tcW w:w="1375" w:type="pct"/>
                  <w:shd w:val="clear" w:color="auto" w:fill="auto"/>
                  <w:vAlign w:val="center"/>
                </w:tcPr>
                <w:p w14:paraId="6A5A0C49">
                  <w:pPr>
                    <w:pStyle w:val="28"/>
                    <w:rPr>
                      <w:highlight w:val="none"/>
                    </w:rPr>
                  </w:pPr>
                  <w:r>
                    <w:rPr>
                      <w:rFonts w:hint="eastAsia"/>
                      <w:highlight w:val="none"/>
                    </w:rPr>
                    <w:t>1</w:t>
                  </w:r>
                </w:p>
              </w:tc>
            </w:tr>
            <w:tr w14:paraId="04CF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6BB778AB">
                  <w:pPr>
                    <w:pStyle w:val="28"/>
                    <w:rPr>
                      <w:highlight w:val="none"/>
                    </w:rPr>
                  </w:pPr>
                  <w:r>
                    <w:rPr>
                      <w:rFonts w:hint="eastAsia"/>
                      <w:highlight w:val="none"/>
                    </w:rPr>
                    <w:t>42</w:t>
                  </w:r>
                </w:p>
              </w:tc>
              <w:tc>
                <w:tcPr>
                  <w:tcW w:w="1446" w:type="pct"/>
                  <w:shd w:val="clear" w:color="auto" w:fill="auto"/>
                  <w:vAlign w:val="center"/>
                </w:tcPr>
                <w:p w14:paraId="789D1F38">
                  <w:pPr>
                    <w:pStyle w:val="28"/>
                    <w:rPr>
                      <w:highlight w:val="none"/>
                    </w:rPr>
                  </w:pPr>
                  <w:r>
                    <w:rPr>
                      <w:rFonts w:hint="eastAsia"/>
                      <w:highlight w:val="none"/>
                    </w:rPr>
                    <w:t>肉丸机</w:t>
                  </w:r>
                </w:p>
              </w:tc>
              <w:tc>
                <w:tcPr>
                  <w:tcW w:w="1684" w:type="pct"/>
                  <w:shd w:val="clear" w:color="auto" w:fill="auto"/>
                  <w:vAlign w:val="center"/>
                </w:tcPr>
                <w:p w14:paraId="3EC3A526">
                  <w:pPr>
                    <w:pStyle w:val="28"/>
                    <w:rPr>
                      <w:highlight w:val="none"/>
                    </w:rPr>
                  </w:pPr>
                  <w:r>
                    <w:rPr>
                      <w:rFonts w:hint="eastAsia"/>
                      <w:highlight w:val="none"/>
                    </w:rPr>
                    <w:t>/</w:t>
                  </w:r>
                </w:p>
              </w:tc>
              <w:tc>
                <w:tcPr>
                  <w:tcW w:w="1375" w:type="pct"/>
                  <w:shd w:val="clear" w:color="auto" w:fill="auto"/>
                  <w:vAlign w:val="center"/>
                </w:tcPr>
                <w:p w14:paraId="72A37BBE">
                  <w:pPr>
                    <w:pStyle w:val="28"/>
                    <w:rPr>
                      <w:highlight w:val="none"/>
                    </w:rPr>
                  </w:pPr>
                  <w:r>
                    <w:rPr>
                      <w:rFonts w:hint="eastAsia"/>
                      <w:highlight w:val="none"/>
                    </w:rPr>
                    <w:t>1</w:t>
                  </w:r>
                </w:p>
              </w:tc>
            </w:tr>
            <w:tr w14:paraId="3911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180544E4">
                  <w:pPr>
                    <w:pStyle w:val="28"/>
                    <w:rPr>
                      <w:highlight w:val="none"/>
                    </w:rPr>
                  </w:pPr>
                  <w:r>
                    <w:rPr>
                      <w:rFonts w:hint="eastAsia"/>
                      <w:highlight w:val="none"/>
                    </w:rPr>
                    <w:t>43</w:t>
                  </w:r>
                </w:p>
              </w:tc>
              <w:tc>
                <w:tcPr>
                  <w:tcW w:w="1446" w:type="pct"/>
                  <w:shd w:val="clear" w:color="auto" w:fill="auto"/>
                  <w:vAlign w:val="center"/>
                </w:tcPr>
                <w:p w14:paraId="1D309022">
                  <w:pPr>
                    <w:pStyle w:val="28"/>
                    <w:rPr>
                      <w:highlight w:val="none"/>
                    </w:rPr>
                  </w:pPr>
                  <w:r>
                    <w:rPr>
                      <w:rFonts w:hint="eastAsia"/>
                      <w:highlight w:val="none"/>
                    </w:rPr>
                    <w:t>煮锅</w:t>
                  </w:r>
                </w:p>
              </w:tc>
              <w:tc>
                <w:tcPr>
                  <w:tcW w:w="1684" w:type="pct"/>
                  <w:vAlign w:val="center"/>
                </w:tcPr>
                <w:p w14:paraId="6B162FC2">
                  <w:pPr>
                    <w:pStyle w:val="28"/>
                    <w:rPr>
                      <w:highlight w:val="none"/>
                    </w:rPr>
                  </w:pPr>
                  <w:r>
                    <w:rPr>
                      <w:rFonts w:hint="eastAsia"/>
                      <w:highlight w:val="none"/>
                    </w:rPr>
                    <w:t>/</w:t>
                  </w:r>
                </w:p>
              </w:tc>
              <w:tc>
                <w:tcPr>
                  <w:tcW w:w="1375" w:type="pct"/>
                  <w:shd w:val="clear" w:color="auto" w:fill="auto"/>
                  <w:vAlign w:val="center"/>
                </w:tcPr>
                <w:p w14:paraId="4D330349">
                  <w:pPr>
                    <w:pStyle w:val="28"/>
                    <w:rPr>
                      <w:highlight w:val="none"/>
                    </w:rPr>
                  </w:pPr>
                  <w:r>
                    <w:rPr>
                      <w:rFonts w:hint="eastAsia"/>
                      <w:highlight w:val="none"/>
                    </w:rPr>
                    <w:t>2</w:t>
                  </w:r>
                </w:p>
              </w:tc>
            </w:tr>
            <w:tr w14:paraId="53C7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0060BCAE">
                  <w:pPr>
                    <w:pStyle w:val="28"/>
                    <w:rPr>
                      <w:highlight w:val="none"/>
                    </w:rPr>
                  </w:pPr>
                  <w:r>
                    <w:rPr>
                      <w:rFonts w:hint="eastAsia"/>
                      <w:highlight w:val="none"/>
                    </w:rPr>
                    <w:t>44</w:t>
                  </w:r>
                </w:p>
              </w:tc>
              <w:tc>
                <w:tcPr>
                  <w:tcW w:w="1446" w:type="pct"/>
                  <w:shd w:val="clear" w:color="auto" w:fill="auto"/>
                  <w:vAlign w:val="center"/>
                </w:tcPr>
                <w:p w14:paraId="1A331AEE">
                  <w:pPr>
                    <w:pStyle w:val="28"/>
                    <w:rPr>
                      <w:highlight w:val="none"/>
                    </w:rPr>
                  </w:pPr>
                  <w:r>
                    <w:rPr>
                      <w:rFonts w:hint="eastAsia"/>
                      <w:highlight w:val="none"/>
                    </w:rPr>
                    <w:t>电蒸熏炉</w:t>
                  </w:r>
                </w:p>
              </w:tc>
              <w:tc>
                <w:tcPr>
                  <w:tcW w:w="1684" w:type="pct"/>
                  <w:vAlign w:val="center"/>
                </w:tcPr>
                <w:p w14:paraId="359CED63">
                  <w:pPr>
                    <w:pStyle w:val="28"/>
                    <w:rPr>
                      <w:highlight w:val="none"/>
                    </w:rPr>
                  </w:pPr>
                  <w:r>
                    <w:rPr>
                      <w:rFonts w:hint="eastAsia"/>
                      <w:highlight w:val="none"/>
                    </w:rPr>
                    <w:t>/</w:t>
                  </w:r>
                </w:p>
              </w:tc>
              <w:tc>
                <w:tcPr>
                  <w:tcW w:w="1375" w:type="pct"/>
                  <w:shd w:val="clear" w:color="auto" w:fill="auto"/>
                  <w:vAlign w:val="center"/>
                </w:tcPr>
                <w:p w14:paraId="604BB766">
                  <w:pPr>
                    <w:pStyle w:val="28"/>
                    <w:rPr>
                      <w:highlight w:val="none"/>
                    </w:rPr>
                  </w:pPr>
                  <w:r>
                    <w:rPr>
                      <w:rFonts w:hint="eastAsia"/>
                      <w:highlight w:val="none"/>
                    </w:rPr>
                    <w:t>1</w:t>
                  </w:r>
                </w:p>
              </w:tc>
            </w:tr>
            <w:tr w14:paraId="13E8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000" w:type="pct"/>
                  <w:gridSpan w:val="4"/>
                  <w:vAlign w:val="center"/>
                </w:tcPr>
                <w:p w14:paraId="30E6737A">
                  <w:pPr>
                    <w:pStyle w:val="28"/>
                    <w:rPr>
                      <w:highlight w:val="none"/>
                    </w:rPr>
                  </w:pPr>
                  <w:r>
                    <w:rPr>
                      <w:rFonts w:hint="eastAsia"/>
                      <w:b/>
                      <w:bCs/>
                      <w:highlight w:val="none"/>
                    </w:rPr>
                    <w:t>肉羊屠宰线</w:t>
                  </w:r>
                </w:p>
              </w:tc>
            </w:tr>
            <w:tr w14:paraId="493C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6A25D17A">
                  <w:pPr>
                    <w:pStyle w:val="28"/>
                    <w:rPr>
                      <w:highlight w:val="none"/>
                    </w:rPr>
                  </w:pPr>
                  <w:r>
                    <w:rPr>
                      <w:rFonts w:hint="eastAsia"/>
                      <w:highlight w:val="none"/>
                    </w:rPr>
                    <w:t>45</w:t>
                  </w:r>
                </w:p>
              </w:tc>
              <w:tc>
                <w:tcPr>
                  <w:tcW w:w="1446" w:type="pct"/>
                  <w:shd w:val="clear" w:color="auto" w:fill="auto"/>
                  <w:vAlign w:val="center"/>
                </w:tcPr>
                <w:p w14:paraId="47E22689">
                  <w:pPr>
                    <w:pStyle w:val="28"/>
                    <w:rPr>
                      <w:highlight w:val="none"/>
                    </w:rPr>
                  </w:pPr>
                  <w:r>
                    <w:rPr>
                      <w:rFonts w:hint="eastAsia"/>
                      <w:highlight w:val="none"/>
                    </w:rPr>
                    <w:t>烫池</w:t>
                  </w:r>
                </w:p>
              </w:tc>
              <w:tc>
                <w:tcPr>
                  <w:tcW w:w="1684" w:type="pct"/>
                  <w:vAlign w:val="center"/>
                </w:tcPr>
                <w:p w14:paraId="49ED4137">
                  <w:pPr>
                    <w:pStyle w:val="28"/>
                    <w:rPr>
                      <w:highlight w:val="none"/>
                    </w:rPr>
                  </w:pPr>
                  <w:r>
                    <w:rPr>
                      <w:rFonts w:hint="eastAsia"/>
                      <w:highlight w:val="none"/>
                    </w:rPr>
                    <w:t>48kW</w:t>
                  </w:r>
                </w:p>
              </w:tc>
              <w:tc>
                <w:tcPr>
                  <w:tcW w:w="1375" w:type="pct"/>
                  <w:shd w:val="clear" w:color="auto" w:fill="auto"/>
                  <w:vAlign w:val="center"/>
                </w:tcPr>
                <w:p w14:paraId="2DEBC6F4">
                  <w:pPr>
                    <w:pStyle w:val="28"/>
                    <w:rPr>
                      <w:highlight w:val="none"/>
                    </w:rPr>
                  </w:pPr>
                  <w:r>
                    <w:rPr>
                      <w:rFonts w:hint="eastAsia"/>
                      <w:highlight w:val="none"/>
                    </w:rPr>
                    <w:t>1</w:t>
                  </w:r>
                </w:p>
              </w:tc>
            </w:tr>
            <w:tr w14:paraId="4D79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29A2A94C">
                  <w:pPr>
                    <w:pStyle w:val="28"/>
                    <w:rPr>
                      <w:highlight w:val="none"/>
                    </w:rPr>
                  </w:pPr>
                  <w:r>
                    <w:rPr>
                      <w:rFonts w:hint="eastAsia"/>
                      <w:highlight w:val="none"/>
                    </w:rPr>
                    <w:t>46</w:t>
                  </w:r>
                </w:p>
              </w:tc>
              <w:tc>
                <w:tcPr>
                  <w:tcW w:w="1446" w:type="pct"/>
                  <w:shd w:val="clear" w:color="auto" w:fill="auto"/>
                  <w:vAlign w:val="center"/>
                </w:tcPr>
                <w:p w14:paraId="6045A4C5">
                  <w:pPr>
                    <w:pStyle w:val="28"/>
                    <w:rPr>
                      <w:highlight w:val="none"/>
                    </w:rPr>
                  </w:pPr>
                  <w:r>
                    <w:rPr>
                      <w:rFonts w:hint="eastAsia"/>
                      <w:highlight w:val="none"/>
                    </w:rPr>
                    <w:t>脱毛机</w:t>
                  </w:r>
                </w:p>
              </w:tc>
              <w:tc>
                <w:tcPr>
                  <w:tcW w:w="1684" w:type="pct"/>
                  <w:vAlign w:val="center"/>
                </w:tcPr>
                <w:p w14:paraId="6ACF0370">
                  <w:pPr>
                    <w:pStyle w:val="28"/>
                    <w:rPr>
                      <w:highlight w:val="none"/>
                    </w:rPr>
                  </w:pPr>
                  <w:r>
                    <w:rPr>
                      <w:rFonts w:hint="eastAsia"/>
                      <w:highlight w:val="none"/>
                    </w:rPr>
                    <w:t>TQW50型‌</w:t>
                  </w:r>
                </w:p>
              </w:tc>
              <w:tc>
                <w:tcPr>
                  <w:tcW w:w="1375" w:type="pct"/>
                  <w:shd w:val="clear" w:color="auto" w:fill="auto"/>
                  <w:vAlign w:val="center"/>
                </w:tcPr>
                <w:p w14:paraId="22C3D2C8">
                  <w:pPr>
                    <w:pStyle w:val="28"/>
                    <w:rPr>
                      <w:highlight w:val="none"/>
                    </w:rPr>
                  </w:pPr>
                  <w:r>
                    <w:rPr>
                      <w:rFonts w:hint="eastAsia"/>
                      <w:highlight w:val="none"/>
                    </w:rPr>
                    <w:t>1</w:t>
                  </w:r>
                </w:p>
              </w:tc>
            </w:tr>
            <w:tr w14:paraId="1521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5AE44806">
                  <w:pPr>
                    <w:pStyle w:val="28"/>
                    <w:rPr>
                      <w:highlight w:val="none"/>
                    </w:rPr>
                  </w:pPr>
                  <w:r>
                    <w:rPr>
                      <w:rFonts w:hint="eastAsia"/>
                      <w:highlight w:val="none"/>
                    </w:rPr>
                    <w:t>47</w:t>
                  </w:r>
                </w:p>
              </w:tc>
              <w:tc>
                <w:tcPr>
                  <w:tcW w:w="1446" w:type="pct"/>
                  <w:shd w:val="clear" w:color="auto" w:fill="auto"/>
                  <w:vAlign w:val="center"/>
                </w:tcPr>
                <w:p w14:paraId="02ABE793">
                  <w:pPr>
                    <w:pStyle w:val="28"/>
                    <w:rPr>
                      <w:highlight w:val="none"/>
                    </w:rPr>
                  </w:pPr>
                  <w:r>
                    <w:rPr>
                      <w:rFonts w:hint="eastAsia"/>
                      <w:highlight w:val="none"/>
                    </w:rPr>
                    <w:t>辅助轨道</w:t>
                  </w:r>
                </w:p>
              </w:tc>
              <w:tc>
                <w:tcPr>
                  <w:tcW w:w="1684" w:type="pct"/>
                  <w:vAlign w:val="center"/>
                </w:tcPr>
                <w:p w14:paraId="17DF9A44">
                  <w:pPr>
                    <w:pStyle w:val="28"/>
                    <w:rPr>
                      <w:highlight w:val="none"/>
                    </w:rPr>
                  </w:pPr>
                  <w:r>
                    <w:rPr>
                      <w:rFonts w:hint="eastAsia"/>
                      <w:highlight w:val="none"/>
                    </w:rPr>
                    <w:t>/</w:t>
                  </w:r>
                </w:p>
              </w:tc>
              <w:tc>
                <w:tcPr>
                  <w:tcW w:w="1375" w:type="pct"/>
                  <w:shd w:val="clear" w:color="auto" w:fill="auto"/>
                  <w:vAlign w:val="center"/>
                </w:tcPr>
                <w:p w14:paraId="782DEE74">
                  <w:pPr>
                    <w:pStyle w:val="28"/>
                    <w:rPr>
                      <w:highlight w:val="none"/>
                    </w:rPr>
                  </w:pPr>
                  <w:r>
                    <w:rPr>
                      <w:rFonts w:hint="eastAsia"/>
                      <w:highlight w:val="none"/>
                    </w:rPr>
                    <w:t>1</w:t>
                  </w:r>
                </w:p>
              </w:tc>
            </w:tr>
            <w:tr w14:paraId="45CE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jc w:val="center"/>
              </w:trPr>
              <w:tc>
                <w:tcPr>
                  <w:tcW w:w="493" w:type="pct"/>
                  <w:vAlign w:val="center"/>
                </w:tcPr>
                <w:p w14:paraId="2BA8E7D4">
                  <w:pPr>
                    <w:pStyle w:val="28"/>
                    <w:rPr>
                      <w:rFonts w:hint="default" w:eastAsia="宋体"/>
                      <w:highlight w:val="none"/>
                      <w:lang w:val="en-US" w:eastAsia="zh-CN"/>
                    </w:rPr>
                  </w:pPr>
                  <w:r>
                    <w:rPr>
                      <w:rFonts w:hint="eastAsia"/>
                      <w:highlight w:val="none"/>
                      <w:lang w:val="en-US" w:eastAsia="zh-CN"/>
                    </w:rPr>
                    <w:t>48</w:t>
                  </w:r>
                </w:p>
              </w:tc>
              <w:tc>
                <w:tcPr>
                  <w:tcW w:w="1446" w:type="pct"/>
                  <w:shd w:val="clear" w:color="auto" w:fill="auto"/>
                  <w:vAlign w:val="center"/>
                </w:tcPr>
                <w:p w14:paraId="42F2AB05">
                  <w:pPr>
                    <w:pStyle w:val="28"/>
                    <w:ind w:firstLine="0" w:firstLineChars="0"/>
                    <w:rPr>
                      <w:rFonts w:hint="eastAsia"/>
                      <w:highlight w:val="none"/>
                    </w:rPr>
                  </w:pPr>
                  <w:r>
                    <w:rPr>
                      <w:rFonts w:hint="eastAsia"/>
                      <w:highlight w:val="none"/>
                    </w:rPr>
                    <w:t>地</w:t>
                  </w:r>
                  <w:r>
                    <w:rPr>
                      <w:rFonts w:hint="eastAsia"/>
                      <w:highlight w:val="none"/>
                      <w:lang w:eastAsia="zh-CN"/>
                    </w:rPr>
                    <w:t>磅秤</w:t>
                  </w:r>
                </w:p>
              </w:tc>
              <w:tc>
                <w:tcPr>
                  <w:tcW w:w="1684" w:type="pct"/>
                  <w:vAlign w:val="center"/>
                </w:tcPr>
                <w:p w14:paraId="46B330B2">
                  <w:pPr>
                    <w:pStyle w:val="28"/>
                    <w:ind w:firstLine="0" w:firstLineChars="0"/>
                    <w:rPr>
                      <w:rFonts w:hint="eastAsia"/>
                      <w:highlight w:val="none"/>
                    </w:rPr>
                  </w:pPr>
                  <w:r>
                    <w:rPr>
                      <w:rFonts w:hint="eastAsia"/>
                      <w:highlight w:val="none"/>
                    </w:rPr>
                    <w:t>/</w:t>
                  </w:r>
                </w:p>
              </w:tc>
              <w:tc>
                <w:tcPr>
                  <w:tcW w:w="1375" w:type="pct"/>
                  <w:shd w:val="clear" w:color="auto" w:fill="auto"/>
                  <w:vAlign w:val="center"/>
                </w:tcPr>
                <w:p w14:paraId="74D934F8">
                  <w:pPr>
                    <w:pStyle w:val="28"/>
                    <w:ind w:firstLine="0" w:firstLineChars="0"/>
                    <w:rPr>
                      <w:rFonts w:hint="eastAsia" w:eastAsia="宋体"/>
                      <w:highlight w:val="none"/>
                      <w:lang w:eastAsia="zh-CN"/>
                    </w:rPr>
                  </w:pPr>
                  <w:r>
                    <w:rPr>
                      <w:rFonts w:hint="eastAsia"/>
                      <w:highlight w:val="none"/>
                      <w:lang w:val="en-US" w:eastAsia="zh-CN"/>
                    </w:rPr>
                    <w:t>1</w:t>
                  </w:r>
                </w:p>
              </w:tc>
            </w:tr>
            <w:tr w14:paraId="1D85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7CA31949">
                  <w:pPr>
                    <w:pStyle w:val="28"/>
                    <w:rPr>
                      <w:rFonts w:hint="default" w:eastAsia="宋体"/>
                      <w:highlight w:val="none"/>
                      <w:lang w:val="en-US" w:eastAsia="zh-CN"/>
                    </w:rPr>
                  </w:pPr>
                  <w:r>
                    <w:rPr>
                      <w:rFonts w:hint="eastAsia"/>
                      <w:highlight w:val="none"/>
                      <w:lang w:val="en-US" w:eastAsia="zh-CN"/>
                    </w:rPr>
                    <w:t>49</w:t>
                  </w:r>
                </w:p>
              </w:tc>
              <w:tc>
                <w:tcPr>
                  <w:tcW w:w="1446" w:type="pct"/>
                  <w:shd w:val="clear" w:color="auto" w:fill="auto"/>
                  <w:vAlign w:val="center"/>
                </w:tcPr>
                <w:p w14:paraId="1C4BC125">
                  <w:pPr>
                    <w:pStyle w:val="28"/>
                    <w:ind w:firstLine="0" w:firstLineChars="0"/>
                    <w:rPr>
                      <w:rFonts w:hint="eastAsia"/>
                      <w:highlight w:val="none"/>
                    </w:rPr>
                  </w:pPr>
                  <w:r>
                    <w:rPr>
                      <w:rFonts w:hint="eastAsia"/>
                      <w:highlight w:val="none"/>
                    </w:rPr>
                    <w:t>屠宰工具</w:t>
                  </w:r>
                </w:p>
              </w:tc>
              <w:tc>
                <w:tcPr>
                  <w:tcW w:w="1684" w:type="pct"/>
                  <w:vAlign w:val="center"/>
                </w:tcPr>
                <w:p w14:paraId="062238CD">
                  <w:pPr>
                    <w:pStyle w:val="28"/>
                    <w:ind w:firstLine="0" w:firstLineChars="0"/>
                    <w:rPr>
                      <w:rFonts w:hint="eastAsia"/>
                      <w:highlight w:val="none"/>
                    </w:rPr>
                  </w:pPr>
                  <w:r>
                    <w:rPr>
                      <w:rFonts w:hint="eastAsia"/>
                      <w:highlight w:val="none"/>
                    </w:rPr>
                    <w:t>/</w:t>
                  </w:r>
                </w:p>
              </w:tc>
              <w:tc>
                <w:tcPr>
                  <w:tcW w:w="1375" w:type="pct"/>
                  <w:shd w:val="clear" w:color="auto" w:fill="auto"/>
                  <w:vAlign w:val="center"/>
                </w:tcPr>
                <w:p w14:paraId="7303550D">
                  <w:pPr>
                    <w:pStyle w:val="28"/>
                    <w:ind w:firstLine="0" w:firstLineChars="0"/>
                    <w:rPr>
                      <w:rFonts w:hint="eastAsia" w:eastAsia="宋体"/>
                      <w:highlight w:val="none"/>
                      <w:lang w:eastAsia="zh-CN"/>
                    </w:rPr>
                  </w:pPr>
                  <w:r>
                    <w:rPr>
                      <w:rFonts w:hint="eastAsia"/>
                      <w:highlight w:val="none"/>
                      <w:lang w:val="en-US" w:eastAsia="zh-CN"/>
                    </w:rPr>
                    <w:t>1</w:t>
                  </w:r>
                </w:p>
              </w:tc>
            </w:tr>
            <w:tr w14:paraId="51F9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jc w:val="center"/>
              </w:trPr>
              <w:tc>
                <w:tcPr>
                  <w:tcW w:w="493" w:type="pct"/>
                  <w:vAlign w:val="center"/>
                </w:tcPr>
                <w:p w14:paraId="1CFA94FB">
                  <w:pPr>
                    <w:pStyle w:val="28"/>
                    <w:rPr>
                      <w:rFonts w:hint="default"/>
                      <w:highlight w:val="none"/>
                      <w:lang w:val="en-US" w:eastAsia="zh-CN"/>
                    </w:rPr>
                  </w:pPr>
                  <w:r>
                    <w:rPr>
                      <w:rFonts w:hint="eastAsia"/>
                      <w:highlight w:val="none"/>
                      <w:lang w:val="en-US" w:eastAsia="zh-CN"/>
                    </w:rPr>
                    <w:t>50</w:t>
                  </w:r>
                </w:p>
              </w:tc>
              <w:tc>
                <w:tcPr>
                  <w:tcW w:w="1446" w:type="pct"/>
                  <w:shd w:val="clear" w:color="auto" w:fill="auto"/>
                  <w:vAlign w:val="center"/>
                </w:tcPr>
                <w:p w14:paraId="49034CAC">
                  <w:pPr>
                    <w:pStyle w:val="28"/>
                    <w:ind w:firstLine="0" w:firstLineChars="0"/>
                    <w:rPr>
                      <w:rFonts w:hint="eastAsia" w:ascii="Times New Roman" w:hAnsi="Times New Roman" w:eastAsia="宋体" w:cs="Times New Roman"/>
                      <w:kern w:val="0"/>
                      <w:sz w:val="21"/>
                      <w:szCs w:val="21"/>
                      <w:highlight w:val="none"/>
                      <w:lang w:val="en-US" w:eastAsia="zh-CN" w:bidi="ar-SA"/>
                    </w:rPr>
                  </w:pPr>
                  <w:r>
                    <w:rPr>
                      <w:rFonts w:hint="eastAsia"/>
                      <w:highlight w:val="none"/>
                      <w:lang w:val="en-US" w:eastAsia="zh-CN"/>
                    </w:rPr>
                    <w:t>通风机</w:t>
                  </w:r>
                </w:p>
              </w:tc>
              <w:tc>
                <w:tcPr>
                  <w:tcW w:w="1684" w:type="pct"/>
                  <w:shd w:val="clear" w:color="auto" w:fill="auto"/>
                  <w:vAlign w:val="center"/>
                </w:tcPr>
                <w:p w14:paraId="276812D5">
                  <w:pPr>
                    <w:pStyle w:val="28"/>
                    <w:ind w:firstLine="0" w:firstLineChars="0"/>
                    <w:rPr>
                      <w:rFonts w:hint="eastAsia" w:ascii="Times New Roman" w:hAnsi="Times New Roman" w:eastAsia="宋体" w:cs="Times New Roman"/>
                      <w:kern w:val="0"/>
                      <w:sz w:val="21"/>
                      <w:szCs w:val="21"/>
                      <w:highlight w:val="none"/>
                      <w:lang w:val="en-US" w:eastAsia="zh-CN" w:bidi="ar-SA"/>
                    </w:rPr>
                  </w:pPr>
                  <w:r>
                    <w:rPr>
                      <w:rFonts w:hint="eastAsia"/>
                      <w:highlight w:val="none"/>
                      <w:lang w:val="en-US" w:eastAsia="zh-CN"/>
                    </w:rPr>
                    <w:t>SF6-4</w:t>
                  </w:r>
                </w:p>
              </w:tc>
              <w:tc>
                <w:tcPr>
                  <w:tcW w:w="1375" w:type="pct"/>
                  <w:shd w:val="clear" w:color="auto" w:fill="auto"/>
                  <w:vAlign w:val="center"/>
                </w:tcPr>
                <w:p w14:paraId="459C6E82">
                  <w:pPr>
                    <w:pStyle w:val="28"/>
                    <w:ind w:firstLine="0" w:firstLineChars="0"/>
                    <w:rPr>
                      <w:rFonts w:hint="eastAsia" w:ascii="Times New Roman" w:hAnsi="Times New Roman" w:eastAsia="宋体" w:cs="Times New Roman"/>
                      <w:kern w:val="0"/>
                      <w:sz w:val="21"/>
                      <w:szCs w:val="21"/>
                      <w:highlight w:val="none"/>
                      <w:lang w:val="en-US" w:eastAsia="zh-CN" w:bidi="ar-SA"/>
                    </w:rPr>
                  </w:pPr>
                  <w:r>
                    <w:rPr>
                      <w:rFonts w:hint="eastAsia"/>
                      <w:highlight w:val="none"/>
                      <w:lang w:val="en-US" w:eastAsia="zh-CN"/>
                    </w:rPr>
                    <w:t>1</w:t>
                  </w:r>
                </w:p>
              </w:tc>
            </w:tr>
          </w:tbl>
          <w:p w14:paraId="4FD429F0">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4.主要原辅料</w:t>
            </w:r>
          </w:p>
          <w:p w14:paraId="1959B880">
            <w:pPr>
              <w:pStyle w:val="50"/>
              <w:spacing w:line="360" w:lineRule="auto"/>
              <w:ind w:firstLine="492" w:firstLineChars="200"/>
              <w:rPr>
                <w:rFonts w:ascii="Times New Roman" w:hAnsi="Times New Roman"/>
                <w:color w:val="000000" w:themeColor="text1"/>
                <w:highlight w:val="none"/>
                <w:lang w:eastAsia="zh-CN"/>
                <w14:textFill>
                  <w14:solidFill>
                    <w14:schemeClr w14:val="tx1"/>
                  </w14:solidFill>
                </w14:textFill>
              </w:rPr>
            </w:pPr>
            <w:r>
              <w:rPr>
                <w:rFonts w:hint="eastAsia" w:ascii="Times New Roman" w:hAnsi="Times New Roman"/>
                <w:color w:val="000000" w:themeColor="text1"/>
                <w:spacing w:val="3"/>
                <w:highlight w:val="none"/>
                <w:lang w:eastAsia="zh-CN"/>
                <w14:textFill>
                  <w14:solidFill>
                    <w14:schemeClr w14:val="tx1"/>
                  </w14:solidFill>
                </w14:textFill>
              </w:rPr>
              <w:t>本项目主要进行肉羊的屠宰工作</w:t>
            </w:r>
            <w:r>
              <w:rPr>
                <w:rFonts w:ascii="Times New Roman" w:hAnsi="Times New Roman"/>
                <w:color w:val="000000" w:themeColor="text1"/>
                <w:spacing w:val="3"/>
                <w:highlight w:val="none"/>
                <w:lang w:eastAsia="zh-CN"/>
                <w14:textFill>
                  <w14:solidFill>
                    <w14:schemeClr w14:val="tx1"/>
                  </w14:solidFill>
                </w14:textFill>
              </w:rPr>
              <w:t>，</w:t>
            </w:r>
            <w:r>
              <w:rPr>
                <w:rFonts w:hint="eastAsia" w:ascii="Times New Roman" w:hAnsi="Times New Roman"/>
                <w:color w:val="000000" w:themeColor="text1"/>
                <w:spacing w:val="3"/>
                <w:highlight w:val="none"/>
                <w:lang w:eastAsia="zh-CN"/>
                <w14:textFill>
                  <w14:solidFill>
                    <w14:schemeClr w14:val="tx1"/>
                  </w14:solidFill>
                </w14:textFill>
              </w:rPr>
              <w:t>改建后</w:t>
            </w:r>
            <w:r>
              <w:rPr>
                <w:rFonts w:ascii="Times New Roman" w:hAnsi="Times New Roman"/>
                <w:color w:val="000000" w:themeColor="text1"/>
                <w:spacing w:val="-1"/>
                <w:highlight w:val="none"/>
                <w:lang w:eastAsia="zh-CN"/>
                <w14:textFill>
                  <w14:solidFill>
                    <w14:schemeClr w14:val="tx1"/>
                  </w14:solidFill>
                </w14:textFill>
              </w:rPr>
              <w:t>主要</w:t>
            </w:r>
            <w:r>
              <w:rPr>
                <w:rFonts w:hint="eastAsia" w:ascii="Times New Roman" w:hAnsi="Times New Roman"/>
                <w:color w:val="000000" w:themeColor="text1"/>
                <w:spacing w:val="3"/>
                <w:highlight w:val="none"/>
                <w:lang w:eastAsia="zh-CN"/>
                <w14:textFill>
                  <w14:solidFill>
                    <w14:schemeClr w14:val="tx1"/>
                  </w14:solidFill>
                </w14:textFill>
              </w:rPr>
              <w:t>新增</w:t>
            </w:r>
            <w:r>
              <w:rPr>
                <w:rFonts w:hint="eastAsia" w:ascii="Times New Roman" w:hAnsi="Times New Roman"/>
                <w:color w:val="000000" w:themeColor="text1"/>
                <w:spacing w:val="-1"/>
                <w:highlight w:val="none"/>
                <w:lang w:eastAsia="zh-CN"/>
                <w14:textFill>
                  <w14:solidFill>
                    <w14:schemeClr w14:val="tx1"/>
                  </w14:solidFill>
                </w14:textFill>
              </w:rPr>
              <w:t>原辅料</w:t>
            </w:r>
            <w:r>
              <w:rPr>
                <w:rFonts w:ascii="Times New Roman" w:hAnsi="Times New Roman"/>
                <w:color w:val="000000" w:themeColor="text1"/>
                <w:spacing w:val="-1"/>
                <w:highlight w:val="none"/>
                <w:lang w:eastAsia="zh-CN"/>
                <w14:textFill>
                  <w14:solidFill>
                    <w14:schemeClr w14:val="tx1"/>
                  </w14:solidFill>
                </w14:textFill>
              </w:rPr>
              <w:t>情况见表</w:t>
            </w:r>
            <w:r>
              <w:rPr>
                <w:rFonts w:ascii="Times New Roman" w:hAnsi="Times New Roman" w:cs="Times New Roman"/>
                <w:color w:val="000000" w:themeColor="text1"/>
                <w:spacing w:val="-1"/>
                <w:highlight w:val="none"/>
                <w:lang w:eastAsia="zh-CN"/>
                <w14:textFill>
                  <w14:solidFill>
                    <w14:schemeClr w14:val="tx1"/>
                  </w14:solidFill>
                </w14:textFill>
              </w:rPr>
              <w:t>2-</w:t>
            </w:r>
            <w:r>
              <w:rPr>
                <w:rFonts w:hint="eastAsia" w:ascii="Times New Roman" w:hAnsi="Times New Roman" w:cs="Times New Roman"/>
                <w:color w:val="000000" w:themeColor="text1"/>
                <w:spacing w:val="-1"/>
                <w:highlight w:val="none"/>
                <w:lang w:eastAsia="zh-CN"/>
                <w14:textFill>
                  <w14:solidFill>
                    <w14:schemeClr w14:val="tx1"/>
                  </w14:solidFill>
                </w14:textFill>
              </w:rPr>
              <w:t>6。</w:t>
            </w:r>
          </w:p>
          <w:p w14:paraId="2207D7F3">
            <w:pPr>
              <w:pStyle w:val="30"/>
              <w:rPr>
                <w:rFonts w:hint="default"/>
                <w:highlight w:val="none"/>
              </w:rPr>
            </w:pPr>
            <w:r>
              <w:rPr>
                <w:highlight w:val="none"/>
              </w:rPr>
              <w:t>表2-6本改建项目主要原辅料一览表</w:t>
            </w:r>
          </w:p>
          <w:tbl>
            <w:tblPr>
              <w:tblStyle w:val="20"/>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82"/>
              <w:gridCol w:w="3653"/>
              <w:gridCol w:w="2197"/>
              <w:gridCol w:w="1531"/>
            </w:tblGrid>
            <w:tr w14:paraId="0CCB4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587" w:type="pct"/>
                  <w:vAlign w:val="center"/>
                </w:tcPr>
                <w:p w14:paraId="21F449C4">
                  <w:pPr>
                    <w:pStyle w:val="28"/>
                    <w:rPr>
                      <w:b/>
                      <w:bCs/>
                      <w:highlight w:val="none"/>
                    </w:rPr>
                  </w:pPr>
                  <w:r>
                    <w:rPr>
                      <w:b/>
                      <w:bCs/>
                      <w:highlight w:val="none"/>
                    </w:rPr>
                    <w:t>序号</w:t>
                  </w:r>
                </w:p>
              </w:tc>
              <w:tc>
                <w:tcPr>
                  <w:tcW w:w="2183" w:type="pct"/>
                  <w:vAlign w:val="center"/>
                </w:tcPr>
                <w:p w14:paraId="33BE986E">
                  <w:pPr>
                    <w:pStyle w:val="28"/>
                    <w:rPr>
                      <w:b/>
                      <w:bCs/>
                      <w:highlight w:val="none"/>
                    </w:rPr>
                  </w:pPr>
                  <w:r>
                    <w:rPr>
                      <w:b/>
                      <w:bCs/>
                      <w:highlight w:val="none"/>
                    </w:rPr>
                    <w:t>名称</w:t>
                  </w:r>
                </w:p>
              </w:tc>
              <w:tc>
                <w:tcPr>
                  <w:tcW w:w="1313" w:type="pct"/>
                  <w:vAlign w:val="center"/>
                </w:tcPr>
                <w:p w14:paraId="31EA7E97">
                  <w:pPr>
                    <w:pStyle w:val="28"/>
                    <w:rPr>
                      <w:b/>
                      <w:bCs/>
                      <w:highlight w:val="none"/>
                    </w:rPr>
                  </w:pPr>
                  <w:r>
                    <w:rPr>
                      <w:b/>
                      <w:bCs/>
                      <w:highlight w:val="none"/>
                    </w:rPr>
                    <w:t>单位</w:t>
                  </w:r>
                </w:p>
              </w:tc>
              <w:tc>
                <w:tcPr>
                  <w:tcW w:w="915" w:type="pct"/>
                  <w:vAlign w:val="center"/>
                </w:tcPr>
                <w:p w14:paraId="0C073D67">
                  <w:pPr>
                    <w:pStyle w:val="28"/>
                    <w:rPr>
                      <w:b/>
                      <w:bCs/>
                      <w:highlight w:val="none"/>
                    </w:rPr>
                  </w:pPr>
                  <w:r>
                    <w:rPr>
                      <w:b/>
                      <w:bCs/>
                      <w:highlight w:val="none"/>
                    </w:rPr>
                    <w:t>年耗量</w:t>
                  </w:r>
                </w:p>
              </w:tc>
            </w:tr>
            <w:tr w14:paraId="0A01F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587" w:type="pct"/>
                  <w:vAlign w:val="center"/>
                </w:tcPr>
                <w:p w14:paraId="6CFD8F71">
                  <w:pPr>
                    <w:pStyle w:val="28"/>
                    <w:rPr>
                      <w:highlight w:val="none"/>
                    </w:rPr>
                  </w:pPr>
                  <w:r>
                    <w:rPr>
                      <w:highlight w:val="none"/>
                    </w:rPr>
                    <w:t>1</w:t>
                  </w:r>
                </w:p>
              </w:tc>
              <w:tc>
                <w:tcPr>
                  <w:tcW w:w="2183" w:type="pct"/>
                  <w:vAlign w:val="center"/>
                </w:tcPr>
                <w:p w14:paraId="5674C627">
                  <w:pPr>
                    <w:pStyle w:val="28"/>
                    <w:rPr>
                      <w:highlight w:val="none"/>
                    </w:rPr>
                  </w:pPr>
                  <w:r>
                    <w:rPr>
                      <w:rFonts w:hint="eastAsia"/>
                      <w:highlight w:val="none"/>
                    </w:rPr>
                    <w:t>活羊</w:t>
                  </w:r>
                </w:p>
              </w:tc>
              <w:tc>
                <w:tcPr>
                  <w:tcW w:w="1313" w:type="pct"/>
                  <w:vAlign w:val="center"/>
                </w:tcPr>
                <w:p w14:paraId="58E2B9C8">
                  <w:pPr>
                    <w:pStyle w:val="28"/>
                    <w:rPr>
                      <w:highlight w:val="none"/>
                    </w:rPr>
                  </w:pPr>
                  <w:r>
                    <w:rPr>
                      <w:rFonts w:hint="eastAsia"/>
                      <w:color w:val="000000" w:themeColor="text1"/>
                      <w:highlight w:val="none"/>
                      <w14:textFill>
                        <w14:solidFill>
                          <w14:schemeClr w14:val="tx1"/>
                        </w14:solidFill>
                      </w14:textFill>
                    </w:rPr>
                    <w:t>只</w:t>
                  </w:r>
                  <w:r>
                    <w:rPr>
                      <w:rFonts w:hint="eastAsia"/>
                      <w:highlight w:val="none"/>
                    </w:rPr>
                    <w:t>/年</w:t>
                  </w:r>
                </w:p>
              </w:tc>
              <w:tc>
                <w:tcPr>
                  <w:tcW w:w="915" w:type="pct"/>
                  <w:vAlign w:val="center"/>
                </w:tcPr>
                <w:p w14:paraId="0CFE11EA">
                  <w:pPr>
                    <w:pStyle w:val="28"/>
                    <w:rPr>
                      <w:highlight w:val="none"/>
                    </w:rPr>
                  </w:pPr>
                  <w:r>
                    <w:rPr>
                      <w:rFonts w:hint="eastAsia"/>
                      <w:highlight w:val="none"/>
                    </w:rPr>
                    <w:t>50000</w:t>
                  </w:r>
                </w:p>
              </w:tc>
            </w:tr>
          </w:tbl>
          <w:p w14:paraId="07CDB165">
            <w:pPr>
              <w:pStyle w:val="50"/>
              <w:spacing w:line="360" w:lineRule="auto"/>
              <w:ind w:firstLine="492" w:firstLineChars="200"/>
              <w:rPr>
                <w:rFonts w:ascii="Times New Roman" w:hAnsi="Times New Roman"/>
                <w:color w:val="000000" w:themeColor="text1"/>
                <w:spacing w:val="3"/>
                <w:highlight w:val="none"/>
                <w:lang w:eastAsia="zh-CN"/>
                <w14:textFill>
                  <w14:solidFill>
                    <w14:schemeClr w14:val="tx1"/>
                  </w14:solidFill>
                </w14:textFill>
              </w:rPr>
            </w:pPr>
            <w:r>
              <w:rPr>
                <w:rFonts w:hint="eastAsia" w:ascii="Times New Roman" w:hAnsi="Times New Roman"/>
                <w:color w:val="000000" w:themeColor="text1"/>
                <w:spacing w:val="3"/>
                <w:highlight w:val="none"/>
                <w:lang w:eastAsia="zh-CN"/>
                <w14:textFill>
                  <w14:solidFill>
                    <w14:schemeClr w14:val="tx1"/>
                  </w14:solidFill>
                </w14:textFill>
              </w:rPr>
              <w:t>改建后全厂主要原辅材料见表2-7。</w:t>
            </w:r>
          </w:p>
          <w:p w14:paraId="791B2543">
            <w:pPr>
              <w:pStyle w:val="30"/>
              <w:rPr>
                <w:rFonts w:hint="default"/>
                <w:highlight w:val="none"/>
              </w:rPr>
            </w:pPr>
            <w:r>
              <w:rPr>
                <w:highlight w:val="none"/>
              </w:rPr>
              <w:t>表2-7改建后全厂主要原辅材料一览表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634"/>
              <w:gridCol w:w="1836"/>
              <w:gridCol w:w="2077"/>
            </w:tblGrid>
            <w:tr w14:paraId="2D51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217176AD">
                  <w:pPr>
                    <w:pStyle w:val="28"/>
                    <w:rPr>
                      <w:b/>
                      <w:bCs/>
                      <w:highlight w:val="none"/>
                    </w:rPr>
                  </w:pPr>
                  <w:r>
                    <w:rPr>
                      <w:rFonts w:hint="eastAsia"/>
                      <w:b/>
                      <w:bCs/>
                      <w:highlight w:val="none"/>
                    </w:rPr>
                    <w:t>序号</w:t>
                  </w:r>
                </w:p>
              </w:tc>
              <w:tc>
                <w:tcPr>
                  <w:tcW w:w="2174" w:type="pct"/>
                  <w:vAlign w:val="center"/>
                </w:tcPr>
                <w:p w14:paraId="18E27DBA">
                  <w:pPr>
                    <w:pStyle w:val="28"/>
                    <w:rPr>
                      <w:b/>
                      <w:bCs/>
                      <w:highlight w:val="none"/>
                    </w:rPr>
                  </w:pPr>
                  <w:r>
                    <w:rPr>
                      <w:rFonts w:hint="eastAsia"/>
                      <w:b/>
                      <w:bCs/>
                      <w:highlight w:val="none"/>
                    </w:rPr>
                    <w:t>名称</w:t>
                  </w:r>
                </w:p>
              </w:tc>
              <w:tc>
                <w:tcPr>
                  <w:tcW w:w="1098" w:type="pct"/>
                  <w:vAlign w:val="center"/>
                </w:tcPr>
                <w:p w14:paraId="43FE08DC">
                  <w:pPr>
                    <w:pStyle w:val="28"/>
                    <w:rPr>
                      <w:b/>
                      <w:bCs/>
                      <w:highlight w:val="none"/>
                    </w:rPr>
                  </w:pPr>
                  <w:r>
                    <w:rPr>
                      <w:rFonts w:hint="eastAsia"/>
                      <w:b/>
                      <w:bCs/>
                      <w:highlight w:val="none"/>
                    </w:rPr>
                    <w:t>年消耗量</w:t>
                  </w:r>
                </w:p>
              </w:tc>
              <w:tc>
                <w:tcPr>
                  <w:tcW w:w="1242" w:type="pct"/>
                  <w:vAlign w:val="center"/>
                </w:tcPr>
                <w:p w14:paraId="03A6B3EC">
                  <w:pPr>
                    <w:pStyle w:val="28"/>
                    <w:rPr>
                      <w:b/>
                      <w:bCs/>
                      <w:highlight w:val="none"/>
                    </w:rPr>
                  </w:pPr>
                  <w:r>
                    <w:rPr>
                      <w:rFonts w:hint="eastAsia"/>
                      <w:b/>
                      <w:bCs/>
                      <w:highlight w:val="none"/>
                    </w:rPr>
                    <w:t>备注</w:t>
                  </w:r>
                </w:p>
              </w:tc>
            </w:tr>
            <w:tr w14:paraId="6406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18EA1A83">
                  <w:pPr>
                    <w:pStyle w:val="28"/>
                    <w:rPr>
                      <w:highlight w:val="none"/>
                    </w:rPr>
                  </w:pPr>
                  <w:r>
                    <w:rPr>
                      <w:rFonts w:hint="eastAsia"/>
                      <w:highlight w:val="none"/>
                    </w:rPr>
                    <w:t>1</w:t>
                  </w:r>
                </w:p>
              </w:tc>
              <w:tc>
                <w:tcPr>
                  <w:tcW w:w="2174" w:type="pct"/>
                  <w:vAlign w:val="center"/>
                </w:tcPr>
                <w:p w14:paraId="6807C497">
                  <w:pPr>
                    <w:pStyle w:val="28"/>
                    <w:rPr>
                      <w:highlight w:val="none"/>
                    </w:rPr>
                  </w:pPr>
                  <w:r>
                    <w:rPr>
                      <w:rFonts w:hint="eastAsia"/>
                      <w:highlight w:val="none"/>
                    </w:rPr>
                    <w:t>活牛</w:t>
                  </w:r>
                </w:p>
              </w:tc>
              <w:tc>
                <w:tcPr>
                  <w:tcW w:w="1098" w:type="pct"/>
                  <w:vAlign w:val="center"/>
                </w:tcPr>
                <w:p w14:paraId="0D0DCD1E">
                  <w:pPr>
                    <w:pStyle w:val="28"/>
                    <w:rPr>
                      <w:highlight w:val="none"/>
                    </w:rPr>
                  </w:pPr>
                  <w:r>
                    <w:rPr>
                      <w:rFonts w:hint="eastAsia"/>
                      <w:highlight w:val="none"/>
                    </w:rPr>
                    <w:t>30000头/年</w:t>
                  </w:r>
                </w:p>
              </w:tc>
              <w:tc>
                <w:tcPr>
                  <w:tcW w:w="1242" w:type="pct"/>
                  <w:vAlign w:val="center"/>
                </w:tcPr>
                <w:p w14:paraId="6582BFD4">
                  <w:pPr>
                    <w:pStyle w:val="28"/>
                    <w:rPr>
                      <w:highlight w:val="none"/>
                    </w:rPr>
                  </w:pPr>
                  <w:r>
                    <w:rPr>
                      <w:rFonts w:hint="eastAsia"/>
                      <w:highlight w:val="none"/>
                    </w:rPr>
                    <w:t>/</w:t>
                  </w:r>
                </w:p>
              </w:tc>
            </w:tr>
            <w:tr w14:paraId="0AD4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57A9E766">
                  <w:pPr>
                    <w:pStyle w:val="28"/>
                    <w:rPr>
                      <w:highlight w:val="none"/>
                    </w:rPr>
                  </w:pPr>
                  <w:r>
                    <w:rPr>
                      <w:rFonts w:hint="eastAsia"/>
                      <w:highlight w:val="none"/>
                    </w:rPr>
                    <w:t>2</w:t>
                  </w:r>
                </w:p>
              </w:tc>
              <w:tc>
                <w:tcPr>
                  <w:tcW w:w="2174" w:type="pct"/>
                  <w:vAlign w:val="center"/>
                </w:tcPr>
                <w:p w14:paraId="2C1F1BD5">
                  <w:pPr>
                    <w:pStyle w:val="28"/>
                    <w:rPr>
                      <w:highlight w:val="none"/>
                    </w:rPr>
                  </w:pPr>
                  <w:r>
                    <w:rPr>
                      <w:rFonts w:hint="eastAsia"/>
                      <w:highlight w:val="none"/>
                    </w:rPr>
                    <w:t>真空袋（折算）</w:t>
                  </w:r>
                </w:p>
              </w:tc>
              <w:tc>
                <w:tcPr>
                  <w:tcW w:w="1098" w:type="pct"/>
                  <w:vAlign w:val="center"/>
                </w:tcPr>
                <w:p w14:paraId="407B83CF">
                  <w:pPr>
                    <w:pStyle w:val="28"/>
                    <w:rPr>
                      <w:highlight w:val="none"/>
                    </w:rPr>
                  </w:pPr>
                  <w:r>
                    <w:rPr>
                      <w:rFonts w:hint="eastAsia"/>
                      <w:highlight w:val="none"/>
                    </w:rPr>
                    <w:t>30000只/年</w:t>
                  </w:r>
                </w:p>
              </w:tc>
              <w:tc>
                <w:tcPr>
                  <w:tcW w:w="1242" w:type="pct"/>
                  <w:vAlign w:val="center"/>
                </w:tcPr>
                <w:p w14:paraId="5D7C7656">
                  <w:pPr>
                    <w:pStyle w:val="28"/>
                    <w:rPr>
                      <w:highlight w:val="none"/>
                    </w:rPr>
                  </w:pPr>
                  <w:r>
                    <w:rPr>
                      <w:rFonts w:hint="eastAsia"/>
                      <w:highlight w:val="none"/>
                    </w:rPr>
                    <w:t>市场购买</w:t>
                  </w:r>
                </w:p>
              </w:tc>
            </w:tr>
            <w:tr w14:paraId="2467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1C42444A">
                  <w:pPr>
                    <w:pStyle w:val="28"/>
                    <w:rPr>
                      <w:highlight w:val="none"/>
                    </w:rPr>
                  </w:pPr>
                  <w:r>
                    <w:rPr>
                      <w:rFonts w:hint="eastAsia"/>
                      <w:highlight w:val="none"/>
                    </w:rPr>
                    <w:t>3</w:t>
                  </w:r>
                </w:p>
              </w:tc>
              <w:tc>
                <w:tcPr>
                  <w:tcW w:w="2174" w:type="pct"/>
                  <w:vAlign w:val="center"/>
                </w:tcPr>
                <w:p w14:paraId="35429A9C">
                  <w:pPr>
                    <w:pStyle w:val="28"/>
                    <w:rPr>
                      <w:highlight w:val="none"/>
                    </w:rPr>
                  </w:pPr>
                  <w:r>
                    <w:rPr>
                      <w:rFonts w:hint="eastAsia"/>
                      <w:highlight w:val="none"/>
                    </w:rPr>
                    <w:t>纸箱</w:t>
                  </w:r>
                </w:p>
              </w:tc>
              <w:tc>
                <w:tcPr>
                  <w:tcW w:w="1098" w:type="pct"/>
                  <w:vAlign w:val="center"/>
                </w:tcPr>
                <w:p w14:paraId="57321056">
                  <w:pPr>
                    <w:pStyle w:val="28"/>
                    <w:rPr>
                      <w:highlight w:val="none"/>
                    </w:rPr>
                  </w:pPr>
                  <w:r>
                    <w:rPr>
                      <w:rFonts w:hint="eastAsia"/>
                      <w:highlight w:val="none"/>
                    </w:rPr>
                    <w:t>15000只/年</w:t>
                  </w:r>
                </w:p>
              </w:tc>
              <w:tc>
                <w:tcPr>
                  <w:tcW w:w="1242" w:type="pct"/>
                  <w:vAlign w:val="center"/>
                </w:tcPr>
                <w:p w14:paraId="36A99FE4">
                  <w:pPr>
                    <w:pStyle w:val="28"/>
                    <w:rPr>
                      <w:highlight w:val="none"/>
                    </w:rPr>
                  </w:pPr>
                  <w:r>
                    <w:rPr>
                      <w:rFonts w:hint="eastAsia"/>
                      <w:highlight w:val="none"/>
                    </w:rPr>
                    <w:t>市场购买</w:t>
                  </w:r>
                </w:p>
              </w:tc>
            </w:tr>
            <w:tr w14:paraId="7A4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shd w:val="clear" w:color="auto" w:fill="auto"/>
                  <w:vAlign w:val="center"/>
                </w:tcPr>
                <w:p w14:paraId="38D1A5EB">
                  <w:pPr>
                    <w:pStyle w:val="28"/>
                    <w:rPr>
                      <w:highlight w:val="none"/>
                    </w:rPr>
                  </w:pPr>
                  <w:r>
                    <w:rPr>
                      <w:rFonts w:hint="eastAsia"/>
                      <w:highlight w:val="none"/>
                    </w:rPr>
                    <w:t>4</w:t>
                  </w:r>
                </w:p>
              </w:tc>
              <w:tc>
                <w:tcPr>
                  <w:tcW w:w="2174" w:type="pct"/>
                  <w:vAlign w:val="center"/>
                </w:tcPr>
                <w:p w14:paraId="5DD707E7">
                  <w:pPr>
                    <w:pStyle w:val="28"/>
                    <w:rPr>
                      <w:highlight w:val="none"/>
                    </w:rPr>
                  </w:pPr>
                  <w:r>
                    <w:rPr>
                      <w:rFonts w:hint="eastAsia"/>
                      <w:highlight w:val="none"/>
                    </w:rPr>
                    <w:t>液氮</w:t>
                  </w:r>
                </w:p>
              </w:tc>
              <w:tc>
                <w:tcPr>
                  <w:tcW w:w="1098" w:type="pct"/>
                  <w:vAlign w:val="center"/>
                </w:tcPr>
                <w:p w14:paraId="1D571976">
                  <w:pPr>
                    <w:pStyle w:val="28"/>
                    <w:rPr>
                      <w:highlight w:val="none"/>
                    </w:rPr>
                  </w:pPr>
                  <w:r>
                    <w:rPr>
                      <w:rFonts w:hint="eastAsia"/>
                      <w:highlight w:val="none"/>
                    </w:rPr>
                    <w:t>3t/a</w:t>
                  </w:r>
                </w:p>
              </w:tc>
              <w:tc>
                <w:tcPr>
                  <w:tcW w:w="1242" w:type="pct"/>
                  <w:vAlign w:val="center"/>
                </w:tcPr>
                <w:p w14:paraId="317896F7">
                  <w:pPr>
                    <w:pStyle w:val="28"/>
                    <w:rPr>
                      <w:highlight w:val="none"/>
                    </w:rPr>
                  </w:pPr>
                  <w:r>
                    <w:rPr>
                      <w:rFonts w:hint="eastAsia"/>
                      <w:highlight w:val="none"/>
                    </w:rPr>
                    <w:t>市场购买</w:t>
                  </w:r>
                </w:p>
              </w:tc>
            </w:tr>
            <w:tr w14:paraId="69C7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shd w:val="clear" w:color="auto" w:fill="auto"/>
                  <w:vAlign w:val="center"/>
                </w:tcPr>
                <w:p w14:paraId="2840C6D4">
                  <w:pPr>
                    <w:pStyle w:val="28"/>
                    <w:rPr>
                      <w:highlight w:val="none"/>
                    </w:rPr>
                  </w:pPr>
                  <w:r>
                    <w:rPr>
                      <w:rFonts w:hint="eastAsia"/>
                      <w:highlight w:val="none"/>
                    </w:rPr>
                    <w:t>5</w:t>
                  </w:r>
                </w:p>
              </w:tc>
              <w:tc>
                <w:tcPr>
                  <w:tcW w:w="2174" w:type="pct"/>
                  <w:vAlign w:val="center"/>
                </w:tcPr>
                <w:p w14:paraId="581885F6">
                  <w:pPr>
                    <w:pStyle w:val="28"/>
                    <w:rPr>
                      <w:highlight w:val="none"/>
                    </w:rPr>
                  </w:pPr>
                  <w:r>
                    <w:rPr>
                      <w:rFonts w:hint="eastAsia"/>
                      <w:highlight w:val="none"/>
                    </w:rPr>
                    <w:t>易耗品损耗（周转箱/制冷剂）</w:t>
                  </w:r>
                </w:p>
              </w:tc>
              <w:tc>
                <w:tcPr>
                  <w:tcW w:w="1098" w:type="pct"/>
                  <w:vAlign w:val="center"/>
                </w:tcPr>
                <w:p w14:paraId="3FD80B21">
                  <w:pPr>
                    <w:pStyle w:val="28"/>
                    <w:rPr>
                      <w:highlight w:val="none"/>
                    </w:rPr>
                  </w:pPr>
                  <w:r>
                    <w:rPr>
                      <w:rFonts w:hint="eastAsia"/>
                      <w:highlight w:val="none"/>
                    </w:rPr>
                    <w:t>20000只/年</w:t>
                  </w:r>
                </w:p>
              </w:tc>
              <w:tc>
                <w:tcPr>
                  <w:tcW w:w="1242" w:type="pct"/>
                  <w:vAlign w:val="center"/>
                </w:tcPr>
                <w:p w14:paraId="5E2FC5E1">
                  <w:pPr>
                    <w:pStyle w:val="28"/>
                    <w:rPr>
                      <w:highlight w:val="none"/>
                    </w:rPr>
                  </w:pPr>
                  <w:r>
                    <w:rPr>
                      <w:rFonts w:hint="eastAsia"/>
                      <w:highlight w:val="none"/>
                    </w:rPr>
                    <w:t>市场购买</w:t>
                  </w:r>
                </w:p>
              </w:tc>
            </w:tr>
            <w:tr w14:paraId="4814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shd w:val="clear" w:color="auto" w:fill="auto"/>
                  <w:vAlign w:val="center"/>
                </w:tcPr>
                <w:p w14:paraId="1C1E048C">
                  <w:pPr>
                    <w:pStyle w:val="28"/>
                    <w:rPr>
                      <w:highlight w:val="none"/>
                    </w:rPr>
                  </w:pPr>
                  <w:r>
                    <w:rPr>
                      <w:rFonts w:hint="eastAsia"/>
                      <w:highlight w:val="none"/>
                    </w:rPr>
                    <w:t>6</w:t>
                  </w:r>
                </w:p>
              </w:tc>
              <w:tc>
                <w:tcPr>
                  <w:tcW w:w="2174" w:type="pct"/>
                  <w:vAlign w:val="center"/>
                </w:tcPr>
                <w:p w14:paraId="46A1245C">
                  <w:pPr>
                    <w:pStyle w:val="28"/>
                    <w:rPr>
                      <w:highlight w:val="none"/>
                    </w:rPr>
                  </w:pPr>
                  <w:r>
                    <w:rPr>
                      <w:rFonts w:hint="eastAsia"/>
                      <w:highlight w:val="none"/>
                    </w:rPr>
                    <w:t>冷冻原料肉</w:t>
                  </w:r>
                </w:p>
              </w:tc>
              <w:tc>
                <w:tcPr>
                  <w:tcW w:w="1098" w:type="pct"/>
                  <w:vAlign w:val="center"/>
                </w:tcPr>
                <w:p w14:paraId="2EFCAB6C">
                  <w:pPr>
                    <w:pStyle w:val="28"/>
                    <w:rPr>
                      <w:highlight w:val="none"/>
                    </w:rPr>
                  </w:pPr>
                  <w:r>
                    <w:rPr>
                      <w:rFonts w:hint="eastAsia"/>
                      <w:highlight w:val="none"/>
                    </w:rPr>
                    <w:t>10000吨/年</w:t>
                  </w:r>
                </w:p>
              </w:tc>
              <w:tc>
                <w:tcPr>
                  <w:tcW w:w="1242" w:type="pct"/>
                  <w:vAlign w:val="center"/>
                </w:tcPr>
                <w:p w14:paraId="2E492B72">
                  <w:pPr>
                    <w:pStyle w:val="28"/>
                    <w:rPr>
                      <w:highlight w:val="none"/>
                    </w:rPr>
                  </w:pPr>
                  <w:r>
                    <w:rPr>
                      <w:rFonts w:hint="eastAsia"/>
                      <w:highlight w:val="none"/>
                    </w:rPr>
                    <w:t>原屠宰加工提供</w:t>
                  </w:r>
                </w:p>
              </w:tc>
            </w:tr>
            <w:tr w14:paraId="3A0C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5768A7DF">
                  <w:pPr>
                    <w:pStyle w:val="28"/>
                    <w:rPr>
                      <w:highlight w:val="none"/>
                    </w:rPr>
                  </w:pPr>
                  <w:r>
                    <w:rPr>
                      <w:rFonts w:hint="eastAsia"/>
                      <w:highlight w:val="none"/>
                    </w:rPr>
                    <w:t>7</w:t>
                  </w:r>
                </w:p>
              </w:tc>
              <w:tc>
                <w:tcPr>
                  <w:tcW w:w="2174" w:type="pct"/>
                  <w:vAlign w:val="center"/>
                </w:tcPr>
                <w:p w14:paraId="64FCF518">
                  <w:pPr>
                    <w:pStyle w:val="28"/>
                    <w:rPr>
                      <w:highlight w:val="none"/>
                    </w:rPr>
                  </w:pPr>
                  <w:r>
                    <w:rPr>
                      <w:rFonts w:hint="eastAsia"/>
                      <w:highlight w:val="none"/>
                    </w:rPr>
                    <w:t>辅料（袋装佐料）</w:t>
                  </w:r>
                </w:p>
              </w:tc>
              <w:tc>
                <w:tcPr>
                  <w:tcW w:w="1098" w:type="pct"/>
                  <w:vAlign w:val="center"/>
                </w:tcPr>
                <w:p w14:paraId="575386D0">
                  <w:pPr>
                    <w:pStyle w:val="28"/>
                    <w:rPr>
                      <w:highlight w:val="none"/>
                    </w:rPr>
                  </w:pPr>
                  <w:r>
                    <w:rPr>
                      <w:rFonts w:hint="eastAsia"/>
                      <w:highlight w:val="none"/>
                    </w:rPr>
                    <w:t>500吨/年</w:t>
                  </w:r>
                </w:p>
              </w:tc>
              <w:tc>
                <w:tcPr>
                  <w:tcW w:w="1242" w:type="pct"/>
                  <w:vAlign w:val="center"/>
                </w:tcPr>
                <w:p w14:paraId="3A67C563">
                  <w:pPr>
                    <w:pStyle w:val="28"/>
                    <w:rPr>
                      <w:highlight w:val="none"/>
                    </w:rPr>
                  </w:pPr>
                  <w:r>
                    <w:rPr>
                      <w:rFonts w:hint="eastAsia"/>
                      <w:highlight w:val="none"/>
                    </w:rPr>
                    <w:t>市场购买</w:t>
                  </w:r>
                </w:p>
              </w:tc>
            </w:tr>
            <w:tr w14:paraId="4DAE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7F8FB980">
                  <w:pPr>
                    <w:pStyle w:val="28"/>
                    <w:rPr>
                      <w:highlight w:val="none"/>
                    </w:rPr>
                  </w:pPr>
                  <w:r>
                    <w:rPr>
                      <w:rFonts w:hint="eastAsia"/>
                      <w:highlight w:val="none"/>
                    </w:rPr>
                    <w:t>8</w:t>
                  </w:r>
                </w:p>
              </w:tc>
              <w:tc>
                <w:tcPr>
                  <w:tcW w:w="2174" w:type="pct"/>
                  <w:vAlign w:val="center"/>
                </w:tcPr>
                <w:p w14:paraId="47CC6547">
                  <w:pPr>
                    <w:pStyle w:val="28"/>
                    <w:rPr>
                      <w:highlight w:val="none"/>
                    </w:rPr>
                  </w:pPr>
                  <w:r>
                    <w:rPr>
                      <w:rFonts w:hint="eastAsia"/>
                      <w:highlight w:val="none"/>
                    </w:rPr>
                    <w:t>新鲜水</w:t>
                  </w:r>
                </w:p>
              </w:tc>
              <w:tc>
                <w:tcPr>
                  <w:tcW w:w="1098" w:type="pct"/>
                  <w:vAlign w:val="center"/>
                </w:tcPr>
                <w:p w14:paraId="07561F5A">
                  <w:pPr>
                    <w:pStyle w:val="28"/>
                    <w:rPr>
                      <w:highlight w:val="none"/>
                    </w:rPr>
                  </w:pPr>
                  <w:r>
                    <w:rPr>
                      <w:rFonts w:hint="eastAsia"/>
                      <w:highlight w:val="none"/>
                    </w:rPr>
                    <w:t>39万吨</w:t>
                  </w:r>
                </w:p>
              </w:tc>
              <w:tc>
                <w:tcPr>
                  <w:tcW w:w="1242" w:type="pct"/>
                  <w:vAlign w:val="center"/>
                </w:tcPr>
                <w:p w14:paraId="0DFD68E9">
                  <w:pPr>
                    <w:pStyle w:val="28"/>
                    <w:rPr>
                      <w:highlight w:val="none"/>
                    </w:rPr>
                  </w:pPr>
                  <w:r>
                    <w:rPr>
                      <w:rFonts w:hint="eastAsia"/>
                      <w:highlight w:val="none"/>
                    </w:rPr>
                    <w:t>十里箐水库</w:t>
                  </w:r>
                </w:p>
              </w:tc>
            </w:tr>
            <w:tr w14:paraId="7EE8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3600CB67">
                  <w:pPr>
                    <w:pStyle w:val="28"/>
                    <w:rPr>
                      <w:highlight w:val="none"/>
                    </w:rPr>
                  </w:pPr>
                  <w:r>
                    <w:rPr>
                      <w:rFonts w:hint="eastAsia"/>
                      <w:highlight w:val="none"/>
                    </w:rPr>
                    <w:t>9</w:t>
                  </w:r>
                </w:p>
              </w:tc>
              <w:tc>
                <w:tcPr>
                  <w:tcW w:w="2174" w:type="pct"/>
                  <w:vAlign w:val="center"/>
                </w:tcPr>
                <w:p w14:paraId="5787EFAE">
                  <w:pPr>
                    <w:pStyle w:val="28"/>
                    <w:rPr>
                      <w:highlight w:val="none"/>
                    </w:rPr>
                  </w:pPr>
                  <w:r>
                    <w:rPr>
                      <w:rFonts w:hint="eastAsia"/>
                      <w:highlight w:val="none"/>
                    </w:rPr>
                    <w:t>活羊</w:t>
                  </w:r>
                </w:p>
              </w:tc>
              <w:tc>
                <w:tcPr>
                  <w:tcW w:w="1098" w:type="pct"/>
                  <w:vAlign w:val="center"/>
                </w:tcPr>
                <w:p w14:paraId="1502C812">
                  <w:pPr>
                    <w:pStyle w:val="28"/>
                    <w:rPr>
                      <w:highlight w:val="none"/>
                    </w:rPr>
                  </w:pPr>
                  <w:r>
                    <w:rPr>
                      <w:rFonts w:hint="eastAsia"/>
                      <w:highlight w:val="none"/>
                    </w:rPr>
                    <w:t>50000只/年</w:t>
                  </w:r>
                </w:p>
              </w:tc>
              <w:tc>
                <w:tcPr>
                  <w:tcW w:w="1242" w:type="pct"/>
                  <w:vAlign w:val="center"/>
                </w:tcPr>
                <w:p w14:paraId="26C2168F">
                  <w:pPr>
                    <w:pStyle w:val="28"/>
                    <w:rPr>
                      <w:highlight w:val="none"/>
                    </w:rPr>
                  </w:pPr>
                  <w:r>
                    <w:rPr>
                      <w:rFonts w:hint="eastAsia"/>
                      <w:highlight w:val="none"/>
                    </w:rPr>
                    <w:t>/</w:t>
                  </w:r>
                </w:p>
              </w:tc>
            </w:tr>
          </w:tbl>
          <w:p w14:paraId="2CE1A98D">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5.项目水平衡</w:t>
            </w:r>
          </w:p>
          <w:p w14:paraId="683258DE">
            <w:pPr>
              <w:pStyle w:val="34"/>
              <w:rPr>
                <w:rFonts w:hint="default"/>
                <w:color w:val="000000" w:themeColor="text1"/>
                <w:highlight w:val="none"/>
                <w:lang w:val="en-US" w:eastAsia="zh-CN"/>
                <w14:textFill>
                  <w14:solidFill>
                    <w14:schemeClr w14:val="tx1"/>
                  </w14:solidFill>
                </w14:textFill>
              </w:rPr>
            </w:pPr>
            <w:r>
              <w:rPr>
                <w:color w:val="000000" w:themeColor="text1"/>
                <w:highlight w:val="none"/>
                <w:lang w:eastAsia="zh-CN"/>
                <w14:textFill>
                  <w14:solidFill>
                    <w14:schemeClr w14:val="tx1"/>
                  </w14:solidFill>
                </w14:textFill>
              </w:rPr>
              <w:t>本项目产生的废水主要为生活</w:t>
            </w:r>
            <w:r>
              <w:rPr>
                <w:rFonts w:hint="eastAsia"/>
                <w:color w:val="000000" w:themeColor="text1"/>
                <w:highlight w:val="none"/>
                <w:lang w:eastAsia="zh-CN"/>
                <w14:textFill>
                  <w14:solidFill>
                    <w14:schemeClr w14:val="tx1"/>
                  </w14:solidFill>
                </w14:textFill>
              </w:rPr>
              <w:t>污水</w:t>
            </w:r>
            <w:r>
              <w:rPr>
                <w:color w:val="000000" w:themeColor="text1"/>
                <w:highlight w:val="none"/>
                <w:lang w:eastAsia="zh-CN"/>
                <w14:textFill>
                  <w14:solidFill>
                    <w14:schemeClr w14:val="tx1"/>
                  </w14:solidFill>
                </w14:textFill>
              </w:rPr>
              <w:t>和</w:t>
            </w:r>
            <w:r>
              <w:rPr>
                <w:rFonts w:hint="eastAsia"/>
                <w:color w:val="000000" w:themeColor="text1"/>
                <w:highlight w:val="none"/>
                <w:lang w:eastAsia="zh-CN"/>
                <w14:textFill>
                  <w14:solidFill>
                    <w14:schemeClr w14:val="tx1"/>
                  </w14:solidFill>
                </w14:textFill>
              </w:rPr>
              <w:t>肉羊屠宰</w:t>
            </w:r>
            <w:r>
              <w:rPr>
                <w:color w:val="000000" w:themeColor="text1"/>
                <w:highlight w:val="none"/>
                <w:lang w:eastAsia="zh-CN"/>
                <w14:textFill>
                  <w14:solidFill>
                    <w14:schemeClr w14:val="tx1"/>
                  </w14:solidFill>
                </w14:textFill>
              </w:rPr>
              <w:t>废水。</w:t>
            </w:r>
            <w:r>
              <w:rPr>
                <w:rFonts w:hint="eastAsia"/>
                <w:color w:val="000000" w:themeColor="text1"/>
                <w:highlight w:val="none"/>
                <w:lang w:eastAsia="zh-CN"/>
                <w14:textFill>
                  <w14:solidFill>
                    <w14:schemeClr w14:val="tx1"/>
                  </w14:solidFill>
                </w14:textFill>
              </w:rPr>
              <w:t>屠宰</w:t>
            </w:r>
            <w:r>
              <w:rPr>
                <w:color w:val="000000" w:themeColor="text1"/>
                <w:highlight w:val="none"/>
                <w:lang w:eastAsia="zh-CN"/>
                <w14:textFill>
                  <w14:solidFill>
                    <w14:schemeClr w14:val="tx1"/>
                  </w14:solidFill>
                </w14:textFill>
              </w:rPr>
              <w:t>废水包括圈栏冲洗、屠宰及厂房地坪冲洗、烫毛</w:t>
            </w:r>
            <w:r>
              <w:rPr>
                <w:rFonts w:hint="eastAsia"/>
                <w:color w:val="000000" w:themeColor="text1"/>
                <w:highlight w:val="none"/>
                <w:lang w:eastAsia="zh-CN"/>
                <w14:textFill>
                  <w14:solidFill>
                    <w14:schemeClr w14:val="tx1"/>
                  </w14:solidFill>
                </w14:textFill>
              </w:rPr>
              <w:t>及</w:t>
            </w:r>
            <w:r>
              <w:rPr>
                <w:color w:val="000000" w:themeColor="text1"/>
                <w:highlight w:val="none"/>
                <w:lang w:eastAsia="zh-CN"/>
                <w14:textFill>
                  <w14:solidFill>
                    <w14:schemeClr w14:val="tx1"/>
                  </w14:solidFill>
                </w14:textFill>
              </w:rPr>
              <w:t>血水。</w:t>
            </w:r>
            <w:r>
              <w:rPr>
                <w:rFonts w:hint="eastAsia"/>
                <w:color w:val="000000" w:themeColor="text1"/>
                <w:highlight w:val="none"/>
                <w:lang w:val="en-US" w:eastAsia="zh-CN"/>
                <w14:textFill>
                  <w14:solidFill>
                    <w14:schemeClr w14:val="tx1"/>
                  </w14:solidFill>
                </w14:textFill>
              </w:rPr>
              <w:t>项目水平衡图如下图所示。</w:t>
            </w:r>
          </w:p>
          <w:p w14:paraId="62339B08">
            <w:pPr>
              <w:jc w:val="center"/>
              <w:rPr>
                <w:highlight w:val="none"/>
              </w:rPr>
            </w:pPr>
            <w:r>
              <w:rPr>
                <w:b/>
                <w:bCs/>
                <w:color w:val="000000" w:themeColor="text1"/>
                <w:spacing w:val="6"/>
                <w:sz w:val="20"/>
                <w:szCs w:val="20"/>
                <w:highlight w:val="none"/>
                <w14:textFill>
                  <w14:solidFill>
                    <w14:schemeClr w14:val="tx1"/>
                  </w14:solidFill>
                </w14:textFill>
              </w:rPr>
              <w:drawing>
                <wp:inline distT="0" distB="0" distL="114300" distR="114300">
                  <wp:extent cx="3839845" cy="2159000"/>
                  <wp:effectExtent l="0" t="0" r="0" b="0"/>
                  <wp:docPr id="3" name="ECB019B1-382A-4266-B25C-5B523AA43C14-1" descr="C:/Users/Administrator/AppData/Local/Temp/wps.MDYUG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MDYUGuwps"/>
                          <pic:cNvPicPr>
                            <a:picLocks noChangeAspect="1"/>
                          </pic:cNvPicPr>
                        </pic:nvPicPr>
                        <pic:blipFill>
                          <a:blip r:embed="rId11"/>
                          <a:stretch>
                            <a:fillRect/>
                          </a:stretch>
                        </pic:blipFill>
                        <pic:spPr>
                          <a:xfrm>
                            <a:off x="0" y="0"/>
                            <a:ext cx="3839845" cy="2159000"/>
                          </a:xfrm>
                          <a:prstGeom prst="rect">
                            <a:avLst/>
                          </a:prstGeom>
                        </pic:spPr>
                      </pic:pic>
                    </a:graphicData>
                  </a:graphic>
                </wp:inline>
              </w:drawing>
            </w:r>
          </w:p>
          <w:p w14:paraId="70CF7FA2">
            <w:pPr>
              <w:pStyle w:val="30"/>
              <w:rPr>
                <w:rFonts w:hint="default"/>
                <w:highlight w:val="none"/>
              </w:rPr>
            </w:pPr>
            <w:r>
              <w:rPr>
                <w:highlight w:val="none"/>
              </w:rPr>
              <w:t>图2-1项目水平衡图（单位：m</w:t>
            </w:r>
            <w:r>
              <w:rPr>
                <w:highlight w:val="none"/>
                <w:vertAlign w:val="superscript"/>
              </w:rPr>
              <w:t>3</w:t>
            </w:r>
            <w:r>
              <w:rPr>
                <w:highlight w:val="none"/>
              </w:rPr>
              <w:t>/d）</w:t>
            </w:r>
          </w:p>
          <w:p w14:paraId="6360707F">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6.项目总平面布置</w:t>
            </w:r>
          </w:p>
          <w:p w14:paraId="05C8A1B7">
            <w:pPr>
              <w:pStyle w:val="50"/>
              <w:spacing w:line="360" w:lineRule="auto"/>
              <w:ind w:right="102" w:firstLine="492" w:firstLineChars="200"/>
              <w:rPr>
                <w:rFonts w:ascii="Times New Roman" w:hAnsi="Times New Roman"/>
                <w:color w:val="000000" w:themeColor="text1"/>
                <w:highlight w:val="none"/>
                <w:lang w:eastAsia="zh-CN"/>
                <w14:textFill>
                  <w14:solidFill>
                    <w14:schemeClr w14:val="tx1"/>
                  </w14:solidFill>
                </w14:textFill>
              </w:rPr>
            </w:pPr>
            <w:r>
              <w:rPr>
                <w:rFonts w:ascii="Times New Roman" w:hAnsi="Times New Roman"/>
                <w:color w:val="000000" w:themeColor="text1"/>
                <w:spacing w:val="3"/>
                <w:highlight w:val="none"/>
                <w:lang w:eastAsia="zh-CN"/>
                <w14:textFill>
                  <w14:solidFill>
                    <w14:schemeClr w14:val="tx1"/>
                  </w14:solidFill>
                </w14:textFill>
              </w:rPr>
              <w:t>本项目位于</w:t>
            </w:r>
            <w:r>
              <w:rPr>
                <w:rFonts w:hint="eastAsia" w:ascii="Times New Roman" w:hAnsi="Times New Roman"/>
                <w:color w:val="000000" w:themeColor="text1"/>
                <w:spacing w:val="3"/>
                <w:highlight w:val="none"/>
                <w:lang w:eastAsia="zh-CN"/>
                <w14:textFill>
                  <w14:solidFill>
                    <w14:schemeClr w14:val="tx1"/>
                  </w14:solidFill>
                </w14:textFill>
              </w:rPr>
              <w:t>云南省昆明市寻甸县羊街镇龙池村</w:t>
            </w:r>
            <w:r>
              <w:rPr>
                <w:rFonts w:ascii="Times New Roman" w:hAnsi="Times New Roman"/>
                <w:color w:val="000000" w:themeColor="text1"/>
                <w:spacing w:val="3"/>
                <w:highlight w:val="none"/>
                <w:lang w:eastAsia="zh-CN"/>
                <w14:textFill>
                  <w14:solidFill>
                    <w14:schemeClr w14:val="tx1"/>
                  </w14:solidFill>
                </w14:textFill>
              </w:rPr>
              <w:t>，项目建设内容主要分为</w:t>
            </w:r>
            <w:r>
              <w:rPr>
                <w:rFonts w:hint="eastAsia" w:ascii="Times New Roman" w:hAnsi="Times New Roman"/>
                <w:color w:val="000000" w:themeColor="text1"/>
                <w:spacing w:val="3"/>
                <w:highlight w:val="none"/>
                <w:lang w:eastAsia="zh-CN"/>
                <w14:textFill>
                  <w14:solidFill>
                    <w14:schemeClr w14:val="tx1"/>
                  </w14:solidFill>
                </w14:textFill>
              </w:rPr>
              <w:t>待宰圈舍</w:t>
            </w:r>
            <w:r>
              <w:rPr>
                <w:rFonts w:ascii="Times New Roman" w:hAnsi="Times New Roman"/>
                <w:color w:val="000000" w:themeColor="text1"/>
                <w:spacing w:val="3"/>
                <w:highlight w:val="none"/>
                <w:lang w:eastAsia="zh-CN"/>
                <w14:textFill>
                  <w14:solidFill>
                    <w14:schemeClr w14:val="tx1"/>
                  </w14:solidFill>
                </w14:textFill>
              </w:rPr>
              <w:t>、</w:t>
            </w:r>
            <w:r>
              <w:rPr>
                <w:rFonts w:hint="eastAsia" w:ascii="Times New Roman" w:hAnsi="Times New Roman"/>
                <w:color w:val="000000" w:themeColor="text1"/>
                <w:spacing w:val="3"/>
                <w:highlight w:val="none"/>
                <w:lang w:eastAsia="zh-CN"/>
                <w14:textFill>
                  <w14:solidFill>
                    <w14:schemeClr w14:val="tx1"/>
                  </w14:solidFill>
                </w14:textFill>
              </w:rPr>
              <w:t>屠宰加工车间</w:t>
            </w:r>
            <w:r>
              <w:rPr>
                <w:rFonts w:ascii="Times New Roman" w:hAnsi="Times New Roman"/>
                <w:color w:val="000000" w:themeColor="text1"/>
                <w:spacing w:val="3"/>
                <w:highlight w:val="none"/>
                <w:lang w:eastAsia="zh-CN"/>
                <w14:textFill>
                  <w14:solidFill>
                    <w14:schemeClr w14:val="tx1"/>
                  </w14:solidFill>
                </w14:textFill>
              </w:rPr>
              <w:t>和</w:t>
            </w:r>
            <w:r>
              <w:rPr>
                <w:rFonts w:hint="eastAsia" w:ascii="Times New Roman" w:hAnsi="Times New Roman"/>
                <w:color w:val="000000" w:themeColor="text1"/>
                <w:spacing w:val="3"/>
                <w:highlight w:val="none"/>
                <w:lang w:eastAsia="zh-CN"/>
                <w14:textFill>
                  <w14:solidFill>
                    <w14:schemeClr w14:val="tx1"/>
                  </w14:solidFill>
                </w14:textFill>
              </w:rPr>
              <w:t>仓储保鲜区</w:t>
            </w:r>
            <w:r>
              <w:rPr>
                <w:rFonts w:ascii="Times New Roman" w:hAnsi="Times New Roman"/>
                <w:color w:val="000000" w:themeColor="text1"/>
                <w:spacing w:val="3"/>
                <w:highlight w:val="none"/>
                <w:lang w:eastAsia="zh-CN"/>
                <w14:textFill>
                  <w14:solidFill>
                    <w14:schemeClr w14:val="tx1"/>
                  </w14:solidFill>
                </w14:textFill>
              </w:rPr>
              <w:t>等。</w:t>
            </w:r>
            <w:r>
              <w:rPr>
                <w:rFonts w:hint="eastAsia" w:ascii="Times New Roman" w:hAnsi="Times New Roman"/>
                <w:color w:val="000000" w:themeColor="text1"/>
                <w:spacing w:val="3"/>
                <w:highlight w:val="none"/>
                <w:lang w:val="en-US" w:eastAsia="zh-CN"/>
                <w14:textFill>
                  <w14:solidFill>
                    <w14:schemeClr w14:val="tx1"/>
                  </w14:solidFill>
                </w14:textFill>
              </w:rPr>
              <w:t>屠宰间新建烫毛和脱毛区，吊挂辅助轨道对原宰牛轨道进行改造，多余轨道升起闲置。</w:t>
            </w:r>
            <w:r>
              <w:rPr>
                <w:rFonts w:ascii="Times New Roman" w:hAnsi="Times New Roman"/>
                <w:color w:val="000000" w:themeColor="text1"/>
                <w:spacing w:val="3"/>
                <w:highlight w:val="none"/>
                <w:lang w:eastAsia="zh-CN"/>
                <w14:textFill>
                  <w14:solidFill>
                    <w14:schemeClr w14:val="tx1"/>
                  </w14:solidFill>
                </w14:textFill>
              </w:rPr>
              <w:t>根据项目实际情况，排水系统、供电系统、卫</w:t>
            </w:r>
            <w:r>
              <w:rPr>
                <w:rFonts w:ascii="Times New Roman" w:hAnsi="Times New Roman"/>
                <w:color w:val="000000" w:themeColor="text1"/>
                <w:spacing w:val="2"/>
                <w:highlight w:val="none"/>
                <w:lang w:eastAsia="zh-CN"/>
                <w14:textFill>
                  <w14:solidFill>
                    <w14:schemeClr w14:val="tx1"/>
                  </w14:solidFill>
                </w14:textFill>
              </w:rPr>
              <w:t>生间等</w:t>
            </w:r>
            <w:r>
              <w:rPr>
                <w:rFonts w:ascii="Times New Roman" w:hAnsi="Times New Roman"/>
                <w:color w:val="000000" w:themeColor="text1"/>
                <w:spacing w:val="-1"/>
                <w:highlight w:val="none"/>
                <w:lang w:eastAsia="zh-CN"/>
                <w14:textFill>
                  <w14:solidFill>
                    <w14:schemeClr w14:val="tx1"/>
                  </w14:solidFill>
                </w14:textFill>
              </w:rPr>
              <w:t>均使用</w:t>
            </w:r>
            <w:r>
              <w:rPr>
                <w:rFonts w:hint="eastAsia" w:ascii="Times New Roman" w:hAnsi="Times New Roman"/>
                <w:color w:val="000000" w:themeColor="text1"/>
                <w:spacing w:val="-1"/>
                <w:highlight w:val="none"/>
                <w:lang w:eastAsia="zh-CN"/>
                <w14:textFill>
                  <w14:solidFill>
                    <w14:schemeClr w14:val="tx1"/>
                  </w14:solidFill>
                </w14:textFill>
              </w:rPr>
              <w:t>云南海潮集团听牧肉牛产业股份有限公司</w:t>
            </w:r>
            <w:r>
              <w:rPr>
                <w:rFonts w:ascii="Times New Roman" w:hAnsi="Times New Roman"/>
                <w:color w:val="000000" w:themeColor="text1"/>
                <w:spacing w:val="-1"/>
                <w:highlight w:val="none"/>
                <w:lang w:eastAsia="zh-CN"/>
                <w14:textFill>
                  <w14:solidFill>
                    <w14:schemeClr w14:val="tx1"/>
                  </w14:solidFill>
                </w14:textFill>
              </w:rPr>
              <w:t>已有设施，本项目不再单独建设。</w:t>
            </w:r>
          </w:p>
          <w:p w14:paraId="7CF09A55">
            <w:pPr>
              <w:pStyle w:val="50"/>
              <w:spacing w:line="360" w:lineRule="auto"/>
              <w:ind w:right="40" w:firstLine="468" w:firstLineChars="200"/>
              <w:rPr>
                <w:rFonts w:ascii="Times New Roman" w:hAnsi="Times New Roman"/>
                <w:color w:val="000000" w:themeColor="text1"/>
                <w:spacing w:val="-1"/>
                <w:highlight w:val="none"/>
                <w:lang w:eastAsia="zh-CN"/>
                <w14:textFill>
                  <w14:solidFill>
                    <w14:schemeClr w14:val="tx1"/>
                  </w14:solidFill>
                </w14:textFill>
              </w:rPr>
            </w:pPr>
            <w:r>
              <w:rPr>
                <w:rFonts w:ascii="Times New Roman" w:hAnsi="Times New Roman"/>
                <w:color w:val="000000" w:themeColor="text1"/>
                <w:spacing w:val="-3"/>
                <w:highlight w:val="none"/>
                <w:lang w:eastAsia="zh-CN"/>
                <w14:textFill>
                  <w14:solidFill>
                    <w14:schemeClr w14:val="tx1"/>
                  </w14:solidFill>
                </w14:textFill>
              </w:rPr>
              <w:t>综上所述，项目</w:t>
            </w:r>
            <w:r>
              <w:rPr>
                <w:rFonts w:hint="eastAsia" w:ascii="Times New Roman" w:hAnsi="Times New Roman"/>
                <w:color w:val="000000" w:themeColor="text1"/>
                <w:spacing w:val="3"/>
                <w:highlight w:val="none"/>
                <w:lang w:eastAsia="zh-CN"/>
                <w14:textFill>
                  <w14:solidFill>
                    <w14:schemeClr w14:val="tx1"/>
                  </w14:solidFill>
                </w14:textFill>
              </w:rPr>
              <w:t>待宰圈舍位于屠宰加工车间的西侧</w:t>
            </w:r>
            <w:r>
              <w:rPr>
                <w:rFonts w:ascii="Times New Roman" w:hAnsi="Times New Roman"/>
                <w:color w:val="000000" w:themeColor="text1"/>
                <w:spacing w:val="-3"/>
                <w:highlight w:val="none"/>
                <w:lang w:eastAsia="zh-CN"/>
                <w14:textFill>
                  <w14:solidFill>
                    <w14:schemeClr w14:val="tx1"/>
                  </w14:solidFill>
                </w14:textFill>
              </w:rPr>
              <w:t>，</w:t>
            </w:r>
            <w:r>
              <w:rPr>
                <w:rFonts w:hint="eastAsia" w:ascii="Times New Roman" w:hAnsi="Times New Roman"/>
                <w:color w:val="000000" w:themeColor="text1"/>
                <w:spacing w:val="-3"/>
                <w:highlight w:val="none"/>
                <w:lang w:eastAsia="zh-CN"/>
                <w14:textFill>
                  <w14:solidFill>
                    <w14:schemeClr w14:val="tx1"/>
                  </w14:solidFill>
                </w14:textFill>
              </w:rPr>
              <w:t>污水处理系统位于</w:t>
            </w:r>
            <w:r>
              <w:rPr>
                <w:rFonts w:hint="eastAsia" w:ascii="Times New Roman" w:hAnsi="Times New Roman"/>
                <w:color w:val="000000" w:themeColor="text1"/>
                <w:spacing w:val="3"/>
                <w:highlight w:val="none"/>
                <w:lang w:eastAsia="zh-CN"/>
                <w14:textFill>
                  <w14:solidFill>
                    <w14:schemeClr w14:val="tx1"/>
                  </w14:solidFill>
                </w14:textFill>
              </w:rPr>
              <w:t>屠宰加工车间的西北侧，</w:t>
            </w:r>
            <w:r>
              <w:rPr>
                <w:rFonts w:ascii="Times New Roman" w:hAnsi="Times New Roman"/>
                <w:color w:val="000000" w:themeColor="text1"/>
                <w:spacing w:val="-3"/>
                <w:highlight w:val="none"/>
                <w:lang w:eastAsia="zh-CN"/>
                <w14:textFill>
                  <w14:solidFill>
                    <w14:schemeClr w14:val="tx1"/>
                  </w14:solidFill>
                </w14:textFill>
              </w:rPr>
              <w:t>清污分区、各单元功能分区明确，</w:t>
            </w:r>
            <w:r>
              <w:rPr>
                <w:rFonts w:ascii="Times New Roman" w:hAnsi="Times New Roman"/>
                <w:color w:val="000000" w:themeColor="text1"/>
                <w:spacing w:val="3"/>
                <w:highlight w:val="none"/>
                <w:lang w:eastAsia="zh-CN"/>
                <w14:textFill>
                  <w14:solidFill>
                    <w14:schemeClr w14:val="tx1"/>
                  </w14:solidFill>
                </w14:textFill>
              </w:rPr>
              <w:t>办公区与</w:t>
            </w:r>
            <w:r>
              <w:rPr>
                <w:rFonts w:hint="eastAsia" w:ascii="Times New Roman" w:hAnsi="Times New Roman"/>
                <w:color w:val="000000" w:themeColor="text1"/>
                <w:spacing w:val="3"/>
                <w:highlight w:val="none"/>
                <w:lang w:eastAsia="zh-CN"/>
                <w14:textFill>
                  <w14:solidFill>
                    <w14:schemeClr w14:val="tx1"/>
                  </w14:solidFill>
                </w14:textFill>
              </w:rPr>
              <w:t>屠宰加工区</w:t>
            </w:r>
            <w:r>
              <w:rPr>
                <w:rFonts w:ascii="Times New Roman" w:hAnsi="Times New Roman"/>
                <w:color w:val="000000" w:themeColor="text1"/>
                <w:spacing w:val="3"/>
                <w:highlight w:val="none"/>
                <w:lang w:eastAsia="zh-CN"/>
                <w14:textFill>
                  <w14:solidFill>
                    <w14:schemeClr w14:val="tx1"/>
                  </w14:solidFill>
                </w14:textFill>
              </w:rPr>
              <w:t>分开，避免了</w:t>
            </w:r>
            <w:r>
              <w:rPr>
                <w:rFonts w:hint="eastAsia" w:ascii="Times New Roman" w:hAnsi="Times New Roman"/>
                <w:color w:val="000000" w:themeColor="text1"/>
                <w:spacing w:val="3"/>
                <w:highlight w:val="none"/>
                <w:lang w:eastAsia="zh-CN"/>
                <w14:textFill>
                  <w14:solidFill>
                    <w14:schemeClr w14:val="tx1"/>
                  </w14:solidFill>
                </w14:textFill>
              </w:rPr>
              <w:t>屠宰区</w:t>
            </w:r>
            <w:r>
              <w:rPr>
                <w:rFonts w:ascii="Times New Roman" w:hAnsi="Times New Roman"/>
                <w:color w:val="000000" w:themeColor="text1"/>
                <w:spacing w:val="3"/>
                <w:highlight w:val="none"/>
                <w:lang w:eastAsia="zh-CN"/>
                <w14:textFill>
                  <w14:solidFill>
                    <w14:schemeClr w14:val="tx1"/>
                  </w14:solidFill>
                </w14:textFill>
              </w:rPr>
              <w:t>可能对办公环境的影响。</w:t>
            </w:r>
            <w:r>
              <w:rPr>
                <w:rFonts w:hint="eastAsia" w:ascii="Times New Roman" w:hAnsi="Times New Roman"/>
                <w:color w:val="000000" w:themeColor="text1"/>
                <w:spacing w:val="3"/>
                <w:highlight w:val="none"/>
                <w:lang w:eastAsia="zh-CN"/>
                <w14:textFill>
                  <w14:solidFill>
                    <w14:schemeClr w14:val="tx1"/>
                  </w14:solidFill>
                </w14:textFill>
              </w:rPr>
              <w:t>具体情况见</w:t>
            </w:r>
            <w:r>
              <w:rPr>
                <w:rFonts w:hint="eastAsia" w:ascii="Times New Roman" w:hAnsi="Times New Roman"/>
                <w:color w:val="000000" w:themeColor="text1"/>
                <w:spacing w:val="3"/>
                <w:highlight w:val="none"/>
                <w:lang w:val="en-US" w:eastAsia="zh-CN"/>
                <w14:textFill>
                  <w14:solidFill>
                    <w14:schemeClr w14:val="tx1"/>
                  </w14:solidFill>
                </w14:textFill>
              </w:rPr>
              <w:t>附图</w:t>
            </w:r>
            <w:r>
              <w:rPr>
                <w:rFonts w:hint="eastAsia" w:ascii="Times New Roman" w:hAnsi="Times New Roman"/>
                <w:color w:val="000000" w:themeColor="text1"/>
                <w:spacing w:val="3"/>
                <w:highlight w:val="none"/>
                <w:lang w:eastAsia="zh-CN"/>
                <w14:textFill>
                  <w14:solidFill>
                    <w14:schemeClr w14:val="tx1"/>
                  </w14:solidFill>
                </w14:textFill>
              </w:rPr>
              <w:t>。</w:t>
            </w:r>
          </w:p>
          <w:p w14:paraId="28029D29">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7.施工计划</w:t>
            </w:r>
          </w:p>
          <w:p w14:paraId="3C385A4D">
            <w:pPr>
              <w:pStyle w:val="50"/>
              <w:spacing w:line="360" w:lineRule="auto"/>
              <w:ind w:firstLine="484" w:firstLineChars="200"/>
              <w:rPr>
                <w:rFonts w:ascii="Times New Roman" w:hAnsi="Times New Roman"/>
                <w:color w:val="000000" w:themeColor="text1"/>
                <w:highlight w:val="none"/>
                <w:lang w:eastAsia="zh-CN"/>
                <w14:textFill>
                  <w14:solidFill>
                    <w14:schemeClr w14:val="tx1"/>
                  </w14:solidFill>
                </w14:textFill>
              </w:rPr>
            </w:pPr>
            <w:r>
              <w:rPr>
                <w:rFonts w:ascii="Times New Roman" w:hAnsi="Times New Roman"/>
                <w:color w:val="000000" w:themeColor="text1"/>
                <w:spacing w:val="1"/>
                <w:highlight w:val="none"/>
                <w:lang w:eastAsia="zh-CN"/>
                <w14:textFill>
                  <w14:solidFill>
                    <w14:schemeClr w14:val="tx1"/>
                  </w14:solidFill>
                </w14:textFill>
              </w:rPr>
              <w:t>本项目</w:t>
            </w:r>
            <w:r>
              <w:rPr>
                <w:rFonts w:hint="eastAsia" w:ascii="Times New Roman" w:hAnsi="Times New Roman"/>
                <w:color w:val="000000" w:themeColor="text1"/>
                <w:spacing w:val="1"/>
                <w:highlight w:val="none"/>
                <w:lang w:eastAsia="zh-CN"/>
                <w14:textFill>
                  <w14:solidFill>
                    <w14:schemeClr w14:val="tx1"/>
                  </w14:solidFill>
                </w14:textFill>
              </w:rPr>
              <w:t>用地为</w:t>
            </w:r>
            <w:r>
              <w:rPr>
                <w:rFonts w:hint="eastAsia" w:ascii="Times New Roman" w:hAnsi="Times New Roman"/>
                <w:color w:val="000000" w:themeColor="text1"/>
                <w:highlight w:val="none"/>
                <w:lang w:eastAsia="zh-CN"/>
                <w14:textFill>
                  <w14:solidFill>
                    <w14:schemeClr w14:val="tx1"/>
                  </w14:solidFill>
                </w14:textFill>
              </w:rPr>
              <w:t>云南海潮集团听牧肉牛产业股份有限公司原牛屠宰车间</w:t>
            </w:r>
            <w:r>
              <w:rPr>
                <w:rFonts w:ascii="Times New Roman" w:hAnsi="Times New Roman"/>
                <w:color w:val="000000" w:themeColor="text1"/>
                <w:spacing w:val="1"/>
                <w:highlight w:val="none"/>
                <w:lang w:eastAsia="zh-CN"/>
                <w14:textFill>
                  <w14:solidFill>
                    <w14:schemeClr w14:val="tx1"/>
                  </w14:solidFill>
                </w14:textFill>
              </w:rPr>
              <w:t>，项目施工期主要为</w:t>
            </w:r>
            <w:r>
              <w:rPr>
                <w:rFonts w:hint="eastAsia" w:ascii="Times New Roman" w:hAnsi="Times New Roman"/>
                <w:color w:val="000000" w:themeColor="text1"/>
                <w:spacing w:val="1"/>
                <w:highlight w:val="none"/>
                <w:lang w:eastAsia="zh-CN"/>
                <w14:textFill>
                  <w14:solidFill>
                    <w14:schemeClr w14:val="tx1"/>
                  </w14:solidFill>
                </w14:textFill>
              </w:rPr>
              <w:t>车间内</w:t>
            </w:r>
            <w:r>
              <w:rPr>
                <w:rFonts w:ascii="Times New Roman" w:hAnsi="Times New Roman"/>
                <w:color w:val="000000" w:themeColor="text1"/>
                <w:spacing w:val="1"/>
                <w:highlight w:val="none"/>
                <w:lang w:eastAsia="zh-CN"/>
                <w14:textFill>
                  <w14:solidFill>
                    <w14:schemeClr w14:val="tx1"/>
                  </w14:solidFill>
                </w14:textFill>
              </w:rPr>
              <w:t>部改造、装修，设备安装等。</w:t>
            </w:r>
          </w:p>
          <w:p w14:paraId="58ECFE22">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8.劳动定员及工作制度</w:t>
            </w:r>
          </w:p>
          <w:p w14:paraId="16DE471B">
            <w:pPr>
              <w:pStyle w:val="50"/>
              <w:spacing w:line="360" w:lineRule="auto"/>
              <w:ind w:firstLine="484" w:firstLineChars="200"/>
              <w:rPr>
                <w:rFonts w:ascii="Times New Roman" w:hAnsi="Times New Roman"/>
                <w:color w:val="000000" w:themeColor="text1"/>
                <w:spacing w:val="1"/>
                <w:highlight w:val="none"/>
                <w:lang w:eastAsia="zh-CN"/>
                <w14:textFill>
                  <w14:solidFill>
                    <w14:schemeClr w14:val="tx1"/>
                  </w14:solidFill>
                </w14:textFill>
              </w:rPr>
            </w:pPr>
            <w:r>
              <w:rPr>
                <w:rFonts w:ascii="Times New Roman" w:hAnsi="Times New Roman"/>
                <w:color w:val="000000" w:themeColor="text1"/>
                <w:spacing w:val="1"/>
                <w:highlight w:val="none"/>
                <w:lang w:eastAsia="zh-CN"/>
                <w14:textFill>
                  <w14:solidFill>
                    <w14:schemeClr w14:val="tx1"/>
                  </w14:solidFill>
                </w14:textFill>
              </w:rPr>
              <w:t>本项目</w:t>
            </w:r>
            <w:r>
              <w:rPr>
                <w:rFonts w:hint="eastAsia" w:ascii="Times New Roman" w:hAnsi="Times New Roman"/>
                <w:color w:val="000000" w:themeColor="text1"/>
                <w:spacing w:val="1"/>
                <w:highlight w:val="none"/>
                <w:lang w:eastAsia="zh-CN"/>
                <w14:textFill>
                  <w14:solidFill>
                    <w14:schemeClr w14:val="tx1"/>
                  </w14:solidFill>
                </w14:textFill>
              </w:rPr>
              <w:t>劳动定员6人，由厂区原</w:t>
            </w:r>
            <w:r>
              <w:rPr>
                <w:rFonts w:ascii="Times New Roman" w:hAnsi="Times New Roman"/>
                <w:color w:val="000000" w:themeColor="text1"/>
                <w:spacing w:val="1"/>
                <w:highlight w:val="none"/>
                <w:lang w:eastAsia="zh-CN"/>
                <w14:textFill>
                  <w14:solidFill>
                    <w14:schemeClr w14:val="tx1"/>
                  </w14:solidFill>
                </w14:textFill>
              </w:rPr>
              <w:t>劳动定员</w:t>
            </w:r>
            <w:r>
              <w:rPr>
                <w:rFonts w:hint="eastAsia" w:ascii="Times New Roman" w:hAnsi="Times New Roman"/>
                <w:color w:val="000000" w:themeColor="text1"/>
                <w:spacing w:val="1"/>
                <w:highlight w:val="none"/>
                <w:lang w:eastAsia="zh-CN"/>
                <w14:textFill>
                  <w14:solidFill>
                    <w14:schemeClr w14:val="tx1"/>
                  </w14:solidFill>
                </w14:textFill>
              </w:rPr>
              <w:t>80</w:t>
            </w:r>
            <w:r>
              <w:rPr>
                <w:rFonts w:ascii="Times New Roman" w:hAnsi="Times New Roman"/>
                <w:color w:val="000000" w:themeColor="text1"/>
                <w:spacing w:val="1"/>
                <w:highlight w:val="none"/>
                <w:lang w:eastAsia="zh-CN"/>
                <w14:textFill>
                  <w14:solidFill>
                    <w14:schemeClr w14:val="tx1"/>
                  </w14:solidFill>
                </w14:textFill>
              </w:rPr>
              <w:t>人</w:t>
            </w:r>
            <w:r>
              <w:rPr>
                <w:rFonts w:hint="eastAsia" w:ascii="Times New Roman" w:hAnsi="Times New Roman"/>
                <w:color w:val="000000" w:themeColor="text1"/>
                <w:spacing w:val="1"/>
                <w:highlight w:val="none"/>
                <w:lang w:eastAsia="zh-CN"/>
                <w14:textFill>
                  <w14:solidFill>
                    <w14:schemeClr w14:val="tx1"/>
                  </w14:solidFill>
                </w14:textFill>
              </w:rPr>
              <w:t>中借调人员</w:t>
            </w:r>
            <w:r>
              <w:rPr>
                <w:rFonts w:ascii="Times New Roman" w:hAnsi="Times New Roman"/>
                <w:color w:val="000000" w:themeColor="text1"/>
                <w:spacing w:val="1"/>
                <w:highlight w:val="none"/>
                <w:lang w:eastAsia="zh-CN"/>
                <w14:textFill>
                  <w14:solidFill>
                    <w14:schemeClr w14:val="tx1"/>
                  </w14:solidFill>
                </w14:textFill>
              </w:rPr>
              <w:t>，</w:t>
            </w:r>
            <w:r>
              <w:rPr>
                <w:rFonts w:hint="eastAsia" w:ascii="Times New Roman" w:hAnsi="Times New Roman"/>
                <w:color w:val="000000" w:themeColor="text1"/>
                <w:spacing w:val="1"/>
                <w:highlight w:val="none"/>
                <w:lang w:eastAsia="zh-CN"/>
                <w14:textFill>
                  <w14:solidFill>
                    <w14:schemeClr w14:val="tx1"/>
                  </w14:solidFill>
                </w14:textFill>
              </w:rPr>
              <w:t>不存在新增人员，</w:t>
            </w:r>
            <w:r>
              <w:rPr>
                <w:rFonts w:ascii="Times New Roman" w:hAnsi="Times New Roman"/>
                <w:color w:val="000000" w:themeColor="text1"/>
                <w:spacing w:val="1"/>
                <w:highlight w:val="none"/>
                <w:lang w:eastAsia="zh-CN"/>
                <w14:textFill>
                  <w14:solidFill>
                    <w14:schemeClr w14:val="tx1"/>
                  </w14:solidFill>
                </w14:textFill>
              </w:rPr>
              <w:t>工作实行一班制，每天工作8小时，年工作3</w:t>
            </w:r>
            <w:r>
              <w:rPr>
                <w:rFonts w:hint="eastAsia" w:ascii="Times New Roman" w:hAnsi="Times New Roman"/>
                <w:color w:val="000000" w:themeColor="text1"/>
                <w:spacing w:val="1"/>
                <w:highlight w:val="none"/>
                <w:lang w:val="en-US" w:eastAsia="zh-CN"/>
                <w14:textFill>
                  <w14:solidFill>
                    <w14:schemeClr w14:val="tx1"/>
                  </w14:solidFill>
                </w14:textFill>
              </w:rPr>
              <w:t>5</w:t>
            </w:r>
            <w:r>
              <w:rPr>
                <w:rFonts w:ascii="Times New Roman" w:hAnsi="Times New Roman"/>
                <w:color w:val="000000" w:themeColor="text1"/>
                <w:spacing w:val="1"/>
                <w:highlight w:val="none"/>
                <w:lang w:eastAsia="zh-CN"/>
                <w14:textFill>
                  <w14:solidFill>
                    <w14:schemeClr w14:val="tx1"/>
                  </w14:solidFill>
                </w14:textFill>
              </w:rPr>
              <w:t>0天，工作时间：8</w:t>
            </w:r>
            <w:r>
              <w:rPr>
                <w:rFonts w:hint="eastAsia" w:ascii="Times New Roman" w:hAnsi="Times New Roman" w:cs="Times New Roman"/>
                <w:color w:val="000000" w:themeColor="text1"/>
                <w:spacing w:val="1"/>
                <w:highlight w:val="none"/>
                <w:lang w:eastAsia="zh-CN"/>
                <w14:textFill>
                  <w14:solidFill>
                    <w14:schemeClr w14:val="tx1"/>
                  </w14:solidFill>
                </w14:textFill>
              </w:rPr>
              <w:t>:</w:t>
            </w:r>
            <w:r>
              <w:rPr>
                <w:rFonts w:ascii="Times New Roman" w:hAnsi="Times New Roman"/>
                <w:color w:val="000000" w:themeColor="text1"/>
                <w:spacing w:val="1"/>
                <w:highlight w:val="none"/>
                <w:lang w:eastAsia="zh-CN"/>
                <w14:textFill>
                  <w14:solidFill>
                    <w14:schemeClr w14:val="tx1"/>
                  </w14:solidFill>
                </w14:textFill>
              </w:rPr>
              <w:t>00-12</w:t>
            </w:r>
            <w:r>
              <w:rPr>
                <w:rFonts w:hint="eastAsia" w:ascii="Times New Roman" w:hAnsi="Times New Roman"/>
                <w:color w:val="000000" w:themeColor="text1"/>
                <w:spacing w:val="1"/>
                <w:highlight w:val="none"/>
                <w:lang w:eastAsia="zh-CN"/>
                <w14:textFill>
                  <w14:solidFill>
                    <w14:schemeClr w14:val="tx1"/>
                  </w14:solidFill>
                </w14:textFill>
              </w:rPr>
              <w:t>:</w:t>
            </w:r>
            <w:r>
              <w:rPr>
                <w:rFonts w:ascii="Times New Roman" w:hAnsi="Times New Roman"/>
                <w:color w:val="000000" w:themeColor="text1"/>
                <w:spacing w:val="1"/>
                <w:highlight w:val="none"/>
                <w:lang w:eastAsia="zh-CN"/>
                <w14:textFill>
                  <w14:solidFill>
                    <w14:schemeClr w14:val="tx1"/>
                  </w14:solidFill>
                </w14:textFill>
              </w:rPr>
              <w:t>00</w:t>
            </w:r>
            <w:r>
              <w:rPr>
                <w:rFonts w:hint="eastAsia" w:ascii="Times New Roman" w:hAnsi="Times New Roman"/>
                <w:color w:val="000000" w:themeColor="text1"/>
                <w:spacing w:val="1"/>
                <w:highlight w:val="none"/>
                <w:lang w:eastAsia="zh-CN"/>
                <w14:textFill>
                  <w14:solidFill>
                    <w14:schemeClr w14:val="tx1"/>
                  </w14:solidFill>
                </w14:textFill>
              </w:rPr>
              <w:t>，</w:t>
            </w:r>
            <w:r>
              <w:rPr>
                <w:rFonts w:ascii="Times New Roman" w:hAnsi="Times New Roman"/>
                <w:color w:val="000000" w:themeColor="text1"/>
                <w:spacing w:val="1"/>
                <w:highlight w:val="none"/>
                <w:lang w:eastAsia="zh-CN"/>
                <w14:textFill>
                  <w14:solidFill>
                    <w14:schemeClr w14:val="tx1"/>
                  </w14:solidFill>
                </w14:textFill>
              </w:rPr>
              <w:t>14</w:t>
            </w:r>
            <w:r>
              <w:rPr>
                <w:rFonts w:hint="eastAsia" w:ascii="Times New Roman" w:hAnsi="Times New Roman"/>
                <w:color w:val="000000" w:themeColor="text1"/>
                <w:spacing w:val="1"/>
                <w:highlight w:val="none"/>
                <w:lang w:eastAsia="zh-CN"/>
                <w14:textFill>
                  <w14:solidFill>
                    <w14:schemeClr w14:val="tx1"/>
                  </w14:solidFill>
                </w14:textFill>
              </w:rPr>
              <w:t>:</w:t>
            </w:r>
            <w:r>
              <w:rPr>
                <w:rFonts w:ascii="Times New Roman" w:hAnsi="Times New Roman"/>
                <w:color w:val="000000" w:themeColor="text1"/>
                <w:spacing w:val="1"/>
                <w:highlight w:val="none"/>
                <w:lang w:eastAsia="zh-CN"/>
                <w14:textFill>
                  <w14:solidFill>
                    <w14:schemeClr w14:val="tx1"/>
                  </w14:solidFill>
                </w14:textFill>
              </w:rPr>
              <w:t>00-18</w:t>
            </w:r>
            <w:r>
              <w:rPr>
                <w:rFonts w:hint="eastAsia" w:ascii="Times New Roman" w:hAnsi="Times New Roman"/>
                <w:color w:val="000000" w:themeColor="text1"/>
                <w:spacing w:val="1"/>
                <w:highlight w:val="none"/>
                <w:lang w:eastAsia="zh-CN"/>
                <w14:textFill>
                  <w14:solidFill>
                    <w14:schemeClr w14:val="tx1"/>
                  </w14:solidFill>
                </w14:textFill>
              </w:rPr>
              <w:t>:</w:t>
            </w:r>
            <w:r>
              <w:rPr>
                <w:rFonts w:ascii="Times New Roman" w:hAnsi="Times New Roman"/>
                <w:color w:val="000000" w:themeColor="text1"/>
                <w:spacing w:val="1"/>
                <w:highlight w:val="none"/>
                <w:lang w:eastAsia="zh-CN"/>
                <w14:textFill>
                  <w14:solidFill>
                    <w14:schemeClr w14:val="tx1"/>
                  </w14:solidFill>
                </w14:textFill>
              </w:rPr>
              <w:t>00。</w:t>
            </w:r>
          </w:p>
          <w:p w14:paraId="685A87BC">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9.环保投资</w:t>
            </w:r>
          </w:p>
          <w:p w14:paraId="74162896">
            <w:pPr>
              <w:pStyle w:val="50"/>
              <w:spacing w:line="360" w:lineRule="auto"/>
              <w:ind w:firstLine="484" w:firstLineChars="200"/>
              <w:rPr>
                <w:rFonts w:ascii="Times New Roman" w:hAnsi="Times New Roman"/>
                <w:color w:val="000000" w:themeColor="text1"/>
                <w:spacing w:val="1"/>
                <w:sz w:val="21"/>
                <w:szCs w:val="21"/>
                <w:highlight w:val="none"/>
                <w:lang w:eastAsia="zh-CN"/>
                <w14:textFill>
                  <w14:solidFill>
                    <w14:schemeClr w14:val="tx1"/>
                  </w14:solidFill>
                </w14:textFill>
              </w:rPr>
            </w:pPr>
            <w:r>
              <w:rPr>
                <w:rFonts w:ascii="Times New Roman" w:hAnsi="Times New Roman"/>
                <w:color w:val="000000" w:themeColor="text1"/>
                <w:spacing w:val="1"/>
                <w:highlight w:val="none"/>
                <w:lang w:eastAsia="zh-CN"/>
                <w14:textFill>
                  <w14:solidFill>
                    <w14:schemeClr w14:val="tx1"/>
                  </w14:solidFill>
                </w14:textFill>
              </w:rPr>
              <w:t>本项目总投资</w:t>
            </w:r>
            <w:r>
              <w:rPr>
                <w:rFonts w:hint="eastAsia" w:ascii="Times New Roman" w:hAnsi="Times New Roman"/>
                <w:color w:val="000000" w:themeColor="text1"/>
                <w:spacing w:val="1"/>
                <w:highlight w:val="none"/>
                <w:lang w:eastAsia="zh-CN"/>
                <w14:textFill>
                  <w14:solidFill>
                    <w14:schemeClr w14:val="tx1"/>
                  </w14:solidFill>
                </w14:textFill>
              </w:rPr>
              <w:t>515.44</w:t>
            </w:r>
            <w:r>
              <w:rPr>
                <w:rFonts w:ascii="Times New Roman" w:hAnsi="Times New Roman"/>
                <w:color w:val="000000" w:themeColor="text1"/>
                <w:spacing w:val="1"/>
                <w:highlight w:val="none"/>
                <w:lang w:eastAsia="zh-CN"/>
                <w14:textFill>
                  <w14:solidFill>
                    <w14:schemeClr w14:val="tx1"/>
                  </w14:solidFill>
                </w14:textFill>
              </w:rPr>
              <w:t>万元，其中环保投资</w:t>
            </w:r>
            <w:r>
              <w:rPr>
                <w:rFonts w:hint="eastAsia" w:ascii="Times New Roman" w:hAnsi="Times New Roman"/>
                <w:color w:val="000000" w:themeColor="text1"/>
                <w:spacing w:val="1"/>
                <w:highlight w:val="none"/>
                <w:lang w:eastAsia="zh-CN"/>
                <w14:textFill>
                  <w14:solidFill>
                    <w14:schemeClr w14:val="tx1"/>
                  </w14:solidFill>
                </w14:textFill>
              </w:rPr>
              <w:t>23</w:t>
            </w:r>
            <w:r>
              <w:rPr>
                <w:rFonts w:ascii="Times New Roman" w:hAnsi="Times New Roman"/>
                <w:color w:val="000000" w:themeColor="text1"/>
                <w:spacing w:val="1"/>
                <w:highlight w:val="none"/>
                <w:lang w:eastAsia="zh-CN"/>
                <w14:textFill>
                  <w14:solidFill>
                    <w14:schemeClr w14:val="tx1"/>
                  </w14:solidFill>
                </w14:textFill>
              </w:rPr>
              <w:t>万元，占总投资的</w:t>
            </w:r>
            <w:r>
              <w:rPr>
                <w:rFonts w:hint="eastAsia" w:ascii="Times New Roman" w:hAnsi="Times New Roman"/>
                <w:color w:val="000000" w:themeColor="text1"/>
                <w:spacing w:val="1"/>
                <w:highlight w:val="none"/>
                <w:lang w:eastAsia="zh-CN"/>
                <w14:textFill>
                  <w14:solidFill>
                    <w14:schemeClr w14:val="tx1"/>
                  </w14:solidFill>
                </w14:textFill>
              </w:rPr>
              <w:t>4.46%</w:t>
            </w:r>
            <w:r>
              <w:rPr>
                <w:rFonts w:ascii="Times New Roman" w:hAnsi="Times New Roman"/>
                <w:color w:val="000000" w:themeColor="text1"/>
                <w:spacing w:val="1"/>
                <w:highlight w:val="none"/>
                <w:lang w:eastAsia="zh-CN"/>
                <w14:textFill>
                  <w14:solidFill>
                    <w14:schemeClr w14:val="tx1"/>
                  </w14:solidFill>
                </w14:textFill>
              </w:rPr>
              <w:t>，环保投资情况见表2-</w:t>
            </w:r>
            <w:r>
              <w:rPr>
                <w:rFonts w:hint="eastAsia" w:ascii="Times New Roman" w:hAnsi="Times New Roman"/>
                <w:color w:val="000000" w:themeColor="text1"/>
                <w:spacing w:val="1"/>
                <w:highlight w:val="none"/>
                <w:lang w:val="en-US" w:eastAsia="zh-CN"/>
                <w14:textFill>
                  <w14:solidFill>
                    <w14:schemeClr w14:val="tx1"/>
                  </w14:solidFill>
                </w14:textFill>
              </w:rPr>
              <w:t>8</w:t>
            </w:r>
            <w:r>
              <w:rPr>
                <w:rFonts w:ascii="Times New Roman" w:hAnsi="Times New Roman"/>
                <w:color w:val="000000" w:themeColor="text1"/>
                <w:spacing w:val="1"/>
                <w:highlight w:val="none"/>
                <w:lang w:eastAsia="zh-CN"/>
                <w14:textFill>
                  <w14:solidFill>
                    <w14:schemeClr w14:val="tx1"/>
                  </w14:solidFill>
                </w14:textFill>
              </w:rPr>
              <w:t>。</w:t>
            </w:r>
          </w:p>
          <w:p w14:paraId="111FF4E9">
            <w:pPr>
              <w:pStyle w:val="50"/>
              <w:ind w:left="3192"/>
              <w:rPr>
                <w:rFonts w:ascii="Times New Roman" w:hAnsi="Times New Roman"/>
                <w:color w:val="000000" w:themeColor="text1"/>
                <w:sz w:val="21"/>
                <w:szCs w:val="21"/>
                <w:highlight w:val="yellow"/>
                <w14:textFill>
                  <w14:solidFill>
                    <w14:schemeClr w14:val="tx1"/>
                  </w14:solidFill>
                </w14:textFill>
              </w:rPr>
            </w:pPr>
            <w:r>
              <w:rPr>
                <w:rFonts w:ascii="Times New Roman" w:hAnsi="Times New Roman"/>
                <w:b/>
                <w:bCs/>
                <w:color w:val="000000" w:themeColor="text1"/>
                <w:spacing w:val="5"/>
                <w:sz w:val="21"/>
                <w:szCs w:val="21"/>
                <w:highlight w:val="none"/>
                <w14:textFill>
                  <w14:solidFill>
                    <w14:schemeClr w14:val="tx1"/>
                  </w14:solidFill>
                </w14:textFill>
              </w:rPr>
              <w:t>表</w:t>
            </w:r>
            <w:r>
              <w:rPr>
                <w:rFonts w:ascii="Times New Roman" w:hAnsi="Times New Roman" w:cs="Times New Roman"/>
                <w:b/>
                <w:bCs/>
                <w:color w:val="000000" w:themeColor="text1"/>
                <w:spacing w:val="5"/>
                <w:sz w:val="21"/>
                <w:szCs w:val="21"/>
                <w:highlight w:val="none"/>
                <w14:textFill>
                  <w14:solidFill>
                    <w14:schemeClr w14:val="tx1"/>
                  </w14:solidFill>
                </w14:textFill>
              </w:rPr>
              <w:t>2-</w:t>
            </w:r>
            <w:r>
              <w:rPr>
                <w:rFonts w:hint="eastAsia" w:ascii="Times New Roman" w:hAnsi="Times New Roman" w:cs="Times New Roman"/>
                <w:b/>
                <w:bCs/>
                <w:color w:val="000000" w:themeColor="text1"/>
                <w:spacing w:val="5"/>
                <w:sz w:val="21"/>
                <w:szCs w:val="21"/>
                <w:highlight w:val="none"/>
                <w:lang w:val="en-US" w:eastAsia="zh-CN"/>
                <w14:textFill>
                  <w14:solidFill>
                    <w14:schemeClr w14:val="tx1"/>
                  </w14:solidFill>
                </w14:textFill>
              </w:rPr>
              <w:t>8</w:t>
            </w:r>
            <w:r>
              <w:rPr>
                <w:rFonts w:ascii="Times New Roman" w:hAnsi="Times New Roman"/>
                <w:b/>
                <w:bCs/>
                <w:color w:val="000000" w:themeColor="text1"/>
                <w:spacing w:val="5"/>
                <w:sz w:val="21"/>
                <w:szCs w:val="21"/>
                <w:highlight w:val="none"/>
                <w14:textFill>
                  <w14:solidFill>
                    <w14:schemeClr w14:val="tx1"/>
                  </w14:solidFill>
                </w14:textFill>
              </w:rPr>
              <w:t>环保投资情况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4906"/>
              <w:gridCol w:w="1281"/>
              <w:gridCol w:w="1244"/>
            </w:tblGrid>
            <w:tr w14:paraId="6A1A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pct"/>
                  <w:vAlign w:val="center"/>
                </w:tcPr>
                <w:p w14:paraId="12035036">
                  <w:pPr>
                    <w:widowControl/>
                    <w:jc w:val="center"/>
                    <w:textAlignment w:val="top"/>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污染项目</w:t>
                  </w:r>
                </w:p>
              </w:tc>
              <w:tc>
                <w:tcPr>
                  <w:tcW w:w="2934" w:type="pct"/>
                  <w:vAlign w:val="center"/>
                </w:tcPr>
                <w:p w14:paraId="2428D89F">
                  <w:pPr>
                    <w:widowControl/>
                    <w:jc w:val="center"/>
                    <w:textAlignment w:val="top"/>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治理设施</w:t>
                  </w:r>
                </w:p>
              </w:tc>
              <w:tc>
                <w:tcPr>
                  <w:tcW w:w="766" w:type="pct"/>
                  <w:vAlign w:val="center"/>
                </w:tcPr>
                <w:p w14:paraId="4E0B1DA8">
                  <w:pPr>
                    <w:widowControl/>
                    <w:jc w:val="center"/>
                    <w:textAlignment w:val="top"/>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投资</w:t>
                  </w:r>
                </w:p>
                <w:p w14:paraId="1B7DA454">
                  <w:pPr>
                    <w:widowControl/>
                    <w:jc w:val="center"/>
                    <w:textAlignment w:val="top"/>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（万元）</w:t>
                  </w:r>
                </w:p>
              </w:tc>
              <w:tc>
                <w:tcPr>
                  <w:tcW w:w="744" w:type="pct"/>
                  <w:vAlign w:val="center"/>
                </w:tcPr>
                <w:p w14:paraId="3E15EC61">
                  <w:pPr>
                    <w:widowControl/>
                    <w:jc w:val="center"/>
                    <w:textAlignment w:val="top"/>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备注</w:t>
                  </w:r>
                </w:p>
              </w:tc>
            </w:tr>
            <w:tr w14:paraId="0CDD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pct"/>
                  <w:vMerge w:val="restart"/>
                  <w:vAlign w:val="center"/>
                </w:tcPr>
                <w:p w14:paraId="0535CA51">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施工期</w:t>
                  </w:r>
                </w:p>
              </w:tc>
              <w:tc>
                <w:tcPr>
                  <w:tcW w:w="2934" w:type="pct"/>
                  <w:vAlign w:val="center"/>
                </w:tcPr>
                <w:p w14:paraId="7B9F287D">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洒水降尘</w:t>
                  </w:r>
                </w:p>
              </w:tc>
              <w:tc>
                <w:tcPr>
                  <w:tcW w:w="766" w:type="pct"/>
                  <w:vAlign w:val="center"/>
                </w:tcPr>
                <w:p w14:paraId="23E143EA">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3</w:t>
                  </w:r>
                </w:p>
              </w:tc>
              <w:tc>
                <w:tcPr>
                  <w:tcW w:w="744" w:type="pct"/>
                  <w:vAlign w:val="center"/>
                </w:tcPr>
                <w:p w14:paraId="13F72F45">
                  <w:pPr>
                    <w:widowControl/>
                    <w:jc w:val="center"/>
                    <w:textAlignment w:val="top"/>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w:t>
                  </w:r>
                </w:p>
              </w:tc>
            </w:tr>
            <w:tr w14:paraId="6A1B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pct"/>
                  <w:vMerge w:val="continue"/>
                  <w:vAlign w:val="center"/>
                </w:tcPr>
                <w:p w14:paraId="1844E05F">
                  <w:pPr>
                    <w:widowControl/>
                    <w:jc w:val="center"/>
                    <w:textAlignment w:val="top"/>
                    <w:rPr>
                      <w:rFonts w:cs="宋体"/>
                      <w:color w:val="000000" w:themeColor="text1"/>
                      <w:kern w:val="0"/>
                      <w:szCs w:val="21"/>
                      <w:highlight w:val="none"/>
                      <w:lang w:bidi="ar"/>
                      <w14:textFill>
                        <w14:solidFill>
                          <w14:schemeClr w14:val="tx1"/>
                        </w14:solidFill>
                      </w14:textFill>
                    </w:rPr>
                  </w:pPr>
                </w:p>
              </w:tc>
              <w:tc>
                <w:tcPr>
                  <w:tcW w:w="2934" w:type="pct"/>
                  <w:vAlign w:val="center"/>
                </w:tcPr>
                <w:p w14:paraId="25605A8E">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固废清运</w:t>
                  </w:r>
                </w:p>
              </w:tc>
              <w:tc>
                <w:tcPr>
                  <w:tcW w:w="766" w:type="pct"/>
                  <w:vAlign w:val="center"/>
                </w:tcPr>
                <w:p w14:paraId="7C7EBC58">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w:t>
                  </w:r>
                </w:p>
              </w:tc>
              <w:tc>
                <w:tcPr>
                  <w:tcW w:w="744" w:type="pct"/>
                  <w:vAlign w:val="center"/>
                </w:tcPr>
                <w:p w14:paraId="250C761B">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r>
            <w:tr w14:paraId="2106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pct"/>
                  <w:vMerge w:val="restart"/>
                  <w:vAlign w:val="center"/>
                </w:tcPr>
                <w:p w14:paraId="40E0C605">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运营期</w:t>
                  </w:r>
                </w:p>
              </w:tc>
              <w:tc>
                <w:tcPr>
                  <w:tcW w:w="2934" w:type="pct"/>
                  <w:vAlign w:val="center"/>
                </w:tcPr>
                <w:p w14:paraId="0A197BD2">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厂房雨污管网分别与厂区雨污管网对接</w:t>
                  </w:r>
                </w:p>
              </w:tc>
              <w:tc>
                <w:tcPr>
                  <w:tcW w:w="766" w:type="pct"/>
                  <w:vAlign w:val="center"/>
                </w:tcPr>
                <w:p w14:paraId="0EAFDE24">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744" w:type="pct"/>
                  <w:vAlign w:val="center"/>
                </w:tcPr>
                <w:p w14:paraId="0BE9BD0F">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依托</w:t>
                  </w:r>
                </w:p>
              </w:tc>
            </w:tr>
            <w:tr w14:paraId="4AA1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pct"/>
                  <w:vMerge w:val="continue"/>
                  <w:vAlign w:val="center"/>
                </w:tcPr>
                <w:p w14:paraId="167BBA8E">
                  <w:pPr>
                    <w:widowControl/>
                    <w:jc w:val="center"/>
                    <w:textAlignment w:val="top"/>
                    <w:rPr>
                      <w:rFonts w:cs="宋体"/>
                      <w:color w:val="000000" w:themeColor="text1"/>
                      <w:kern w:val="0"/>
                      <w:szCs w:val="21"/>
                      <w:highlight w:val="none"/>
                      <w:lang w:bidi="ar"/>
                      <w14:textFill>
                        <w14:solidFill>
                          <w14:schemeClr w14:val="tx1"/>
                        </w14:solidFill>
                      </w14:textFill>
                    </w:rPr>
                  </w:pPr>
                </w:p>
              </w:tc>
              <w:tc>
                <w:tcPr>
                  <w:tcW w:w="2934" w:type="pct"/>
                  <w:vAlign w:val="center"/>
                </w:tcPr>
                <w:p w14:paraId="23B0A052">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250m</w:t>
                  </w:r>
                  <w:r>
                    <w:rPr>
                      <w:rFonts w:hint="eastAsia" w:cs="宋体"/>
                      <w:color w:val="000000" w:themeColor="text1"/>
                      <w:kern w:val="0"/>
                      <w:szCs w:val="21"/>
                      <w:highlight w:val="none"/>
                      <w:vertAlign w:val="superscript"/>
                      <w:lang w:bidi="ar"/>
                      <w14:textFill>
                        <w14:solidFill>
                          <w14:schemeClr w14:val="tx1"/>
                        </w14:solidFill>
                      </w14:textFill>
                    </w:rPr>
                    <w:t>3</w:t>
                  </w:r>
                  <w:r>
                    <w:rPr>
                      <w:rFonts w:hint="eastAsia" w:cs="宋体"/>
                      <w:color w:val="000000" w:themeColor="text1"/>
                      <w:kern w:val="0"/>
                      <w:szCs w:val="21"/>
                      <w:highlight w:val="none"/>
                      <w:lang w:bidi="ar"/>
                      <w14:textFill>
                        <w14:solidFill>
                          <w14:schemeClr w14:val="tx1"/>
                        </w14:solidFill>
                      </w14:textFill>
                    </w:rPr>
                    <w:t>污水处理系统</w:t>
                  </w:r>
                </w:p>
              </w:tc>
              <w:tc>
                <w:tcPr>
                  <w:tcW w:w="766" w:type="pct"/>
                  <w:vAlign w:val="center"/>
                </w:tcPr>
                <w:p w14:paraId="4A032F3F">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744" w:type="pct"/>
                  <w:vAlign w:val="center"/>
                </w:tcPr>
                <w:p w14:paraId="77386C55">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依托</w:t>
                  </w:r>
                </w:p>
              </w:tc>
            </w:tr>
            <w:tr w14:paraId="4D8C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55" w:type="pct"/>
                  <w:vMerge w:val="continue"/>
                  <w:vAlign w:val="center"/>
                </w:tcPr>
                <w:p w14:paraId="1DB11EAB">
                  <w:pPr>
                    <w:widowControl/>
                    <w:jc w:val="center"/>
                    <w:textAlignment w:val="top"/>
                    <w:rPr>
                      <w:rFonts w:cs="宋体"/>
                      <w:color w:val="000000" w:themeColor="text1"/>
                      <w:kern w:val="0"/>
                      <w:szCs w:val="21"/>
                      <w:highlight w:val="none"/>
                      <w:lang w:bidi="ar"/>
                      <w14:textFill>
                        <w14:solidFill>
                          <w14:schemeClr w14:val="tx1"/>
                        </w14:solidFill>
                      </w14:textFill>
                    </w:rPr>
                  </w:pPr>
                </w:p>
              </w:tc>
              <w:tc>
                <w:tcPr>
                  <w:tcW w:w="2934" w:type="pct"/>
                  <w:vMerge w:val="restart"/>
                  <w:vAlign w:val="center"/>
                </w:tcPr>
                <w:p w14:paraId="2EF257A5">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固体废弃物</w:t>
                  </w:r>
                  <w:r>
                    <w:rPr>
                      <w:rStyle w:val="26"/>
                      <w:rFonts w:hint="eastAsia"/>
                      <w:kern w:val="0"/>
                      <w:szCs w:val="20"/>
                      <w:highlight w:val="none"/>
                    </w:rPr>
                    <w:t>病死羊、羊胃内容物、</w:t>
                  </w:r>
                  <w:r>
                    <w:rPr>
                      <w:rFonts w:hint="eastAsia" w:cs="宋体"/>
                      <w:color w:val="000000" w:themeColor="text1"/>
                      <w:kern w:val="0"/>
                      <w:szCs w:val="21"/>
                      <w:highlight w:val="none"/>
                      <w:lang w:bidi="ar"/>
                      <w14:textFill>
                        <w14:solidFill>
                          <w14:schemeClr w14:val="tx1"/>
                        </w14:solidFill>
                      </w14:textFill>
                    </w:rPr>
                    <w:t>羊粪便及肠胃内容物的</w:t>
                  </w:r>
                  <w:r>
                    <w:rPr>
                      <w:rFonts w:hint="eastAsia" w:cs="宋体"/>
                      <w:color w:val="000000" w:themeColor="text1"/>
                      <w:kern w:val="0"/>
                      <w:szCs w:val="21"/>
                      <w:highlight w:val="none"/>
                      <w:lang w:val="en-US" w:eastAsia="zh-CN" w:bidi="ar"/>
                      <w14:textFill>
                        <w14:solidFill>
                          <w14:schemeClr w14:val="tx1"/>
                        </w14:solidFill>
                      </w14:textFill>
                    </w:rPr>
                    <w:t>委托</w:t>
                  </w:r>
                  <w:r>
                    <w:rPr>
                      <w:rFonts w:hint="eastAsia" w:cs="宋体"/>
                      <w:color w:val="000000" w:themeColor="text1"/>
                      <w:kern w:val="0"/>
                      <w:szCs w:val="21"/>
                      <w:highlight w:val="none"/>
                      <w:lang w:bidi="ar"/>
                      <w14:textFill>
                        <w14:solidFill>
                          <w14:schemeClr w14:val="tx1"/>
                        </w14:solidFill>
                      </w14:textFill>
                    </w:rPr>
                    <w:t>处理</w:t>
                  </w:r>
                </w:p>
              </w:tc>
              <w:tc>
                <w:tcPr>
                  <w:tcW w:w="766" w:type="pct"/>
                  <w:vAlign w:val="center"/>
                </w:tcPr>
                <w:p w14:paraId="22192065">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10</w:t>
                  </w:r>
                </w:p>
              </w:tc>
              <w:tc>
                <w:tcPr>
                  <w:tcW w:w="744" w:type="pct"/>
                  <w:vAlign w:val="center"/>
                </w:tcPr>
                <w:p w14:paraId="38FC9929">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新建</w:t>
                  </w:r>
                </w:p>
              </w:tc>
            </w:tr>
            <w:tr w14:paraId="0BAF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55" w:type="pct"/>
                  <w:vMerge w:val="continue"/>
                  <w:vAlign w:val="center"/>
                </w:tcPr>
                <w:p w14:paraId="22D33E94">
                  <w:pPr>
                    <w:widowControl/>
                    <w:jc w:val="center"/>
                    <w:textAlignment w:val="top"/>
                    <w:rPr>
                      <w:rFonts w:cs="宋体"/>
                      <w:color w:val="000000" w:themeColor="text1"/>
                      <w:kern w:val="0"/>
                      <w:szCs w:val="21"/>
                      <w:highlight w:val="none"/>
                      <w:lang w:bidi="ar"/>
                      <w14:textFill>
                        <w14:solidFill>
                          <w14:schemeClr w14:val="tx1"/>
                        </w14:solidFill>
                      </w14:textFill>
                    </w:rPr>
                  </w:pPr>
                </w:p>
              </w:tc>
              <w:tc>
                <w:tcPr>
                  <w:tcW w:w="2934" w:type="pct"/>
                  <w:vAlign w:val="center"/>
                </w:tcPr>
                <w:p w14:paraId="1D147122">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废气治理除臭剂</w:t>
                  </w:r>
                </w:p>
              </w:tc>
              <w:tc>
                <w:tcPr>
                  <w:tcW w:w="766" w:type="pct"/>
                  <w:vAlign w:val="center"/>
                </w:tcPr>
                <w:p w14:paraId="3444F620">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4</w:t>
                  </w:r>
                </w:p>
              </w:tc>
              <w:tc>
                <w:tcPr>
                  <w:tcW w:w="744" w:type="pct"/>
                  <w:vAlign w:val="center"/>
                </w:tcPr>
                <w:p w14:paraId="54A2FC1F">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新建</w:t>
                  </w:r>
                </w:p>
              </w:tc>
            </w:tr>
            <w:tr w14:paraId="6570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pct"/>
                  <w:vMerge w:val="continue"/>
                  <w:vAlign w:val="center"/>
                </w:tcPr>
                <w:p w14:paraId="55359705">
                  <w:pPr>
                    <w:widowControl/>
                    <w:jc w:val="center"/>
                    <w:textAlignment w:val="top"/>
                    <w:rPr>
                      <w:rFonts w:cs="宋体"/>
                      <w:color w:val="000000" w:themeColor="text1"/>
                      <w:kern w:val="0"/>
                      <w:szCs w:val="21"/>
                      <w:highlight w:val="none"/>
                      <w:lang w:bidi="ar"/>
                      <w14:textFill>
                        <w14:solidFill>
                          <w14:schemeClr w14:val="tx1"/>
                        </w14:solidFill>
                      </w14:textFill>
                    </w:rPr>
                  </w:pPr>
                </w:p>
              </w:tc>
              <w:tc>
                <w:tcPr>
                  <w:tcW w:w="2934" w:type="pct"/>
                  <w:vAlign w:val="center"/>
                </w:tcPr>
                <w:p w14:paraId="03EF910F">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噪声治理，设备底座加固、安装减震垫</w:t>
                  </w:r>
                </w:p>
              </w:tc>
              <w:tc>
                <w:tcPr>
                  <w:tcW w:w="766" w:type="pct"/>
                  <w:vAlign w:val="center"/>
                </w:tcPr>
                <w:p w14:paraId="189C91B1">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5</w:t>
                  </w:r>
                </w:p>
              </w:tc>
              <w:tc>
                <w:tcPr>
                  <w:tcW w:w="744" w:type="pct"/>
                  <w:vAlign w:val="center"/>
                </w:tcPr>
                <w:p w14:paraId="498DF157">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新建</w:t>
                  </w:r>
                </w:p>
              </w:tc>
            </w:tr>
            <w:tr w14:paraId="6DC9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89" w:type="pct"/>
                  <w:gridSpan w:val="2"/>
                  <w:vAlign w:val="center"/>
                </w:tcPr>
                <w:p w14:paraId="27E0FCB5">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合计</w:t>
                  </w:r>
                </w:p>
              </w:tc>
              <w:tc>
                <w:tcPr>
                  <w:tcW w:w="766" w:type="pct"/>
                  <w:vAlign w:val="center"/>
                </w:tcPr>
                <w:p w14:paraId="7D4B6213">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23</w:t>
                  </w:r>
                </w:p>
              </w:tc>
              <w:tc>
                <w:tcPr>
                  <w:tcW w:w="744" w:type="pct"/>
                  <w:vAlign w:val="center"/>
                </w:tcPr>
                <w:p w14:paraId="4FFE6731">
                  <w:pPr>
                    <w:widowControl/>
                    <w:jc w:val="center"/>
                    <w:textAlignment w:val="top"/>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r>
          </w:tbl>
          <w:p w14:paraId="6A011775">
            <w:pPr>
              <w:adjustRightInd w:val="0"/>
              <w:snapToGrid w:val="0"/>
              <w:rPr>
                <w:b/>
                <w:bCs/>
                <w:color w:val="000000" w:themeColor="text1"/>
                <w:spacing w:val="6"/>
                <w:sz w:val="20"/>
                <w:szCs w:val="20"/>
                <w:highlight w:val="none"/>
                <w14:textFill>
                  <w14:solidFill>
                    <w14:schemeClr w14:val="tx1"/>
                  </w14:solidFill>
                </w14:textFill>
              </w:rPr>
            </w:pPr>
          </w:p>
        </w:tc>
      </w:tr>
      <w:tr w14:paraId="31734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dxa"/>
            <w:vAlign w:val="center"/>
          </w:tcPr>
          <w:p w14:paraId="2A6020D0">
            <w:pPr>
              <w:pStyle w:val="16"/>
              <w:adjustRightInd w:val="0"/>
              <w:snapToGrid w:val="0"/>
              <w:spacing w:before="0" w:beforeAutospacing="0" w:after="0" w:afterAutospacing="0"/>
              <w:jc w:val="center"/>
              <w:rPr>
                <w:rFonts w:ascii="Times New Roman" w:hAnsi="Times New Roman" w:cs="宋体"/>
                <w:color w:val="000000" w:themeColor="text1"/>
                <w:szCs w:val="24"/>
                <w:highlight w:val="none"/>
                <w14:textFill>
                  <w14:solidFill>
                    <w14:schemeClr w14:val="tx1"/>
                  </w14:solidFill>
                </w14:textFill>
              </w:rPr>
            </w:pPr>
            <w:r>
              <w:rPr>
                <w:rFonts w:hint="eastAsia" w:ascii="Times New Roman" w:hAnsi="Times New Roman" w:cs="宋体"/>
                <w:color w:val="000000" w:themeColor="text1"/>
                <w:szCs w:val="24"/>
                <w:highlight w:val="none"/>
                <w14:textFill>
                  <w14:solidFill>
                    <w14:schemeClr w14:val="tx1"/>
                  </w14:solidFill>
                </w14:textFill>
              </w:rPr>
              <w:t>工艺流程和产排污环节</w:t>
            </w:r>
          </w:p>
        </w:tc>
        <w:tc>
          <w:tcPr>
            <w:tcW w:w="8587" w:type="dxa"/>
          </w:tcPr>
          <w:p w14:paraId="44D79EA8">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1.施工期工艺流程及产污流程分析</w:t>
            </w:r>
          </w:p>
          <w:p w14:paraId="1EEE7DBB">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本项目为</w:t>
            </w:r>
            <w:r>
              <w:rPr>
                <w:rFonts w:hint="eastAsia"/>
                <w:color w:val="000000" w:themeColor="text1"/>
                <w:highlight w:val="none"/>
                <w:lang w:eastAsia="zh-CN"/>
                <w14:textFill>
                  <w14:solidFill>
                    <w14:schemeClr w14:val="tx1"/>
                  </w14:solidFill>
                </w14:textFill>
              </w:rPr>
              <w:t>扩</w:t>
            </w:r>
            <w:r>
              <w:rPr>
                <w:color w:val="000000" w:themeColor="text1"/>
                <w:highlight w:val="none"/>
                <w:lang w:eastAsia="zh-CN"/>
                <w14:textFill>
                  <w14:solidFill>
                    <w14:schemeClr w14:val="tx1"/>
                  </w14:solidFill>
                </w14:textFill>
              </w:rPr>
              <w:t>建项目，项目</w:t>
            </w:r>
            <w:r>
              <w:rPr>
                <w:rFonts w:hint="eastAsia"/>
                <w:color w:val="000000" w:themeColor="text1"/>
                <w:highlight w:val="none"/>
                <w:lang w:eastAsia="zh-CN"/>
                <w14:textFill>
                  <w14:solidFill>
                    <w14:schemeClr w14:val="tx1"/>
                  </w14:solidFill>
                </w14:textFill>
              </w:rPr>
              <w:t>位于云南省昆明市寻甸县羊街镇龙池村，</w:t>
            </w:r>
            <w:r>
              <w:rPr>
                <w:rFonts w:hint="eastAsia"/>
                <w:color w:val="000000" w:themeColor="text1"/>
                <w:kern w:val="0"/>
                <w:highlight w:val="none"/>
                <w:lang w:eastAsia="zh-CN" w:bidi="ar"/>
                <w14:textFill>
                  <w14:solidFill>
                    <w14:schemeClr w14:val="tx1"/>
                  </w14:solidFill>
                </w14:textFill>
              </w:rPr>
              <w:t>在现有牛屠宰车间的基础上，将急宰间改建为肉羊屠宰线</w:t>
            </w:r>
            <w:r>
              <w:rPr>
                <w:color w:val="000000" w:themeColor="text1"/>
                <w:highlight w:val="none"/>
                <w:lang w:eastAsia="zh-CN"/>
                <w14:textFill>
                  <w14:solidFill>
                    <w14:schemeClr w14:val="tx1"/>
                  </w14:solidFill>
                </w14:textFill>
              </w:rPr>
              <w:t>，项目施工期主要为室内局部改造、装修，设备安装等，施工期产生的污染物主要为扬尘、机械废气、施工人员生活污水、生活垃圾、废包装袋、废金属料、设备噪声。</w:t>
            </w:r>
          </w:p>
          <w:p w14:paraId="3E5A3B96">
            <w:pPr>
              <w:pStyle w:val="27"/>
              <w:rPr>
                <w:rFonts w:hint="default"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drawing>
                <wp:inline distT="0" distB="0" distL="114300" distR="114300">
                  <wp:extent cx="4657725" cy="3081020"/>
                  <wp:effectExtent l="0" t="0" r="0" b="0"/>
                  <wp:docPr id="22"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2" descr="wps"/>
                          <pic:cNvPicPr>
                            <a:picLocks noChangeAspect="1"/>
                          </pic:cNvPicPr>
                        </pic:nvPicPr>
                        <pic:blipFill>
                          <a:blip r:embed="rId12"/>
                          <a:stretch>
                            <a:fillRect/>
                          </a:stretch>
                        </pic:blipFill>
                        <pic:spPr>
                          <a:xfrm>
                            <a:off x="0" y="0"/>
                            <a:ext cx="4657725" cy="3081020"/>
                          </a:xfrm>
                          <a:prstGeom prst="rect">
                            <a:avLst/>
                          </a:prstGeom>
                          <a:noFill/>
                          <a:ln>
                            <a:noFill/>
                          </a:ln>
                        </pic:spPr>
                      </pic:pic>
                    </a:graphicData>
                  </a:graphic>
                </wp:inline>
              </w:drawing>
            </w:r>
          </w:p>
          <w:p w14:paraId="26ACBC5D">
            <w:pPr>
              <w:pStyle w:val="30"/>
              <w:rPr>
                <w:rFonts w:hint="default"/>
                <w:highlight w:val="none"/>
              </w:rPr>
            </w:pPr>
            <w:r>
              <w:rPr>
                <w:highlight w:val="none"/>
              </w:rPr>
              <w:t>图2-</w:t>
            </w:r>
            <w:r>
              <w:rPr>
                <w:rFonts w:hint="eastAsia"/>
                <w:highlight w:val="none"/>
                <w:lang w:val="en-US" w:eastAsia="zh-CN"/>
              </w:rPr>
              <w:t>2</w:t>
            </w:r>
            <w:r>
              <w:rPr>
                <w:highlight w:val="none"/>
              </w:rPr>
              <w:t>施工期工艺流程及产污节点图</w:t>
            </w:r>
          </w:p>
          <w:p w14:paraId="4BC31194">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施工流程简述：</w:t>
            </w:r>
          </w:p>
          <w:p w14:paraId="158633C9">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（1）施工前准备：准备必要的机械设备、施工设备、建筑材料等。</w:t>
            </w:r>
          </w:p>
          <w:p w14:paraId="587D5167">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（2）室内局部改造：对项目区场地进行局部改造，</w:t>
            </w:r>
            <w:r>
              <w:rPr>
                <w:rFonts w:hint="eastAsia"/>
                <w:color w:val="000000" w:themeColor="text1"/>
                <w:highlight w:val="none"/>
                <w:lang w:eastAsia="zh-CN"/>
                <w14:textFill>
                  <w14:solidFill>
                    <w14:schemeClr w14:val="tx1"/>
                  </w14:solidFill>
                </w14:textFill>
              </w:rPr>
              <w:t>将原有物品全部搬出，剩余空厂房</w:t>
            </w:r>
            <w:r>
              <w:rPr>
                <w:color w:val="000000" w:themeColor="text1"/>
                <w:highlight w:val="none"/>
                <w:lang w:eastAsia="zh-CN"/>
                <w14:textFill>
                  <w14:solidFill>
                    <w14:schemeClr w14:val="tx1"/>
                  </w14:solidFill>
                </w14:textFill>
              </w:rPr>
              <w:t>。</w:t>
            </w:r>
          </w:p>
          <w:p w14:paraId="5AA8BCC6">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（3）室内装修：安装门，配套水电安装，墙面等外观粉刷，室内</w:t>
            </w:r>
            <w:r>
              <w:rPr>
                <w:rFonts w:hint="eastAsia"/>
                <w:color w:val="000000" w:themeColor="text1"/>
                <w:highlight w:val="none"/>
                <w:lang w:eastAsia="zh-CN"/>
                <w14:textFill>
                  <w14:solidFill>
                    <w14:schemeClr w14:val="tx1"/>
                  </w14:solidFill>
                </w14:textFill>
              </w:rPr>
              <w:t>墙面和地板的打磨其他</w:t>
            </w:r>
            <w:r>
              <w:rPr>
                <w:color w:val="000000" w:themeColor="text1"/>
                <w:highlight w:val="none"/>
                <w:lang w:eastAsia="zh-CN"/>
                <w14:textFill>
                  <w14:solidFill>
                    <w14:schemeClr w14:val="tx1"/>
                  </w14:solidFill>
                </w14:textFill>
              </w:rPr>
              <w:t>装修。</w:t>
            </w:r>
          </w:p>
          <w:p w14:paraId="165EE866">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（4）设备安装：安装设备、</w:t>
            </w:r>
            <w:r>
              <w:rPr>
                <w:rFonts w:hint="eastAsia" w:cs="Times New Roman"/>
                <w:highlight w:val="none"/>
                <w:lang w:eastAsia="zh-CN"/>
              </w:rPr>
              <w:t>辅助轨道</w:t>
            </w:r>
            <w:r>
              <w:rPr>
                <w:color w:val="000000" w:themeColor="text1"/>
                <w:highlight w:val="none"/>
                <w:lang w:eastAsia="zh-CN"/>
                <w14:textFill>
                  <w14:solidFill>
                    <w14:schemeClr w14:val="tx1"/>
                  </w14:solidFill>
                </w14:textFill>
              </w:rPr>
              <w:t>等设施设备。</w:t>
            </w:r>
          </w:p>
          <w:p w14:paraId="52065D2E">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2.运营期工艺流程及产污环节分析</w:t>
            </w:r>
          </w:p>
          <w:p w14:paraId="59319C87">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本项目主要是进行肉羊的屠宰加工，大致流程如下。</w:t>
            </w:r>
          </w:p>
          <w:p w14:paraId="5F4ED9AF">
            <w:pPr>
              <w:pStyle w:val="34"/>
              <w:ind w:firstLine="0" w:firstLineChars="0"/>
              <w:jc w:val="center"/>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drawing>
                <wp:inline distT="0" distB="0" distL="114300" distR="114300">
                  <wp:extent cx="4819650" cy="3398520"/>
                  <wp:effectExtent l="0" t="0" r="0" b="0"/>
                  <wp:docPr id="8" name="ECB019B1-382A-4266-B25C-5B523AA43C14-3" descr="C:/Users/Administrator/AppData/Local/Temp/wps.dMZxX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3" descr="C:/Users/Administrator/AppData/Local/Temp/wps.dMZxXTwps"/>
                          <pic:cNvPicPr>
                            <a:picLocks noChangeAspect="1"/>
                          </pic:cNvPicPr>
                        </pic:nvPicPr>
                        <pic:blipFill>
                          <a:blip r:embed="rId13"/>
                          <a:stretch>
                            <a:fillRect/>
                          </a:stretch>
                        </pic:blipFill>
                        <pic:spPr>
                          <a:xfrm>
                            <a:off x="0" y="0"/>
                            <a:ext cx="4819650" cy="3398520"/>
                          </a:xfrm>
                          <a:prstGeom prst="rect">
                            <a:avLst/>
                          </a:prstGeom>
                        </pic:spPr>
                      </pic:pic>
                    </a:graphicData>
                  </a:graphic>
                </wp:inline>
              </w:drawing>
            </w:r>
          </w:p>
          <w:p w14:paraId="6F01E4F7">
            <w:pPr>
              <w:pStyle w:val="30"/>
              <w:rPr>
                <w:rFonts w:hint="default"/>
                <w:highlight w:val="none"/>
              </w:rPr>
            </w:pPr>
            <w:r>
              <w:rPr>
                <w:highlight w:val="none"/>
              </w:rPr>
              <w:t>图2-</w:t>
            </w:r>
            <w:r>
              <w:rPr>
                <w:rFonts w:hint="eastAsia"/>
                <w:highlight w:val="none"/>
                <w:lang w:val="en-US" w:eastAsia="zh-CN"/>
              </w:rPr>
              <w:t>3</w:t>
            </w:r>
            <w:r>
              <w:rPr>
                <w:highlight w:val="none"/>
              </w:rPr>
              <w:t>项目屠宰流程图</w:t>
            </w:r>
          </w:p>
          <w:p w14:paraId="36B9C221">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生产操作过程简述如下：</w:t>
            </w:r>
          </w:p>
          <w:p w14:paraId="0F594322">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活羊进入待宰圈舍静养，经检疫合格的羊体编号并进行称重，做好相应记录。将称重后的羊分圈拴牢，保持拴牢的缰距（70～80cm为宜），缰长以羊刚能饮到水为宜。要求：宰前24小时停饲，充分给水，宰前3小时停水。将羊带入待宰区，然后严格按操作规程细则要求进行放血、烫毛、脱毛、清洗、去红白内脏、胴体修刮等工序的操作，由卫生检验人员进行必要的检验，并对设备器具用82℃热水消毒并保证相应的消毒时间，操作人员用42℃水保持不少于5秒的洗手消毒。并严格进行内脏分类和修整处理，由卫生检验人员进行同步检验。严格按照卫生要求，进行消毒操作。对胴体进行冲洗、修整，待胴体自然冷却后出货。</w:t>
            </w:r>
          </w:p>
          <w:p w14:paraId="6E712C57">
            <w:pPr>
              <w:pStyle w:val="34"/>
              <w:ind w:firstLine="486"/>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静养：</w:t>
            </w:r>
            <w:r>
              <w:rPr>
                <w:rFonts w:hint="eastAsia"/>
                <w:color w:val="000000" w:themeColor="text1"/>
                <w:highlight w:val="none"/>
                <w:lang w:eastAsia="zh-CN"/>
                <w14:textFill>
                  <w14:solidFill>
                    <w14:schemeClr w14:val="tx1"/>
                  </w14:solidFill>
                </w14:textFill>
              </w:rPr>
              <w:t>在待宰圈舍内进行静养，期间羊发出声响产生噪声</w:t>
            </w:r>
            <w:r>
              <w:rPr>
                <w:rFonts w:hint="eastAsia"/>
                <w:highlight w:val="none"/>
                <w:lang w:eastAsia="zh-CN"/>
              </w:rPr>
              <w:t>N1，产生粪便及尿液S1，羊粪便和尿液在分解过程中产生恶臭气体G1</w:t>
            </w:r>
            <w:r>
              <w:rPr>
                <w:rFonts w:hint="eastAsia"/>
                <w:color w:val="000000" w:themeColor="text1"/>
                <w:highlight w:val="none"/>
                <w:lang w:eastAsia="zh-CN"/>
                <w14:textFill>
                  <w14:solidFill>
                    <w14:schemeClr w14:val="tx1"/>
                  </w14:solidFill>
                </w14:textFill>
              </w:rPr>
              <w:t>。</w:t>
            </w:r>
          </w:p>
          <w:p w14:paraId="06BF0044">
            <w:pPr>
              <w:pStyle w:val="34"/>
              <w:ind w:firstLine="486"/>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宰杀：</w:t>
            </w:r>
            <w:r>
              <w:rPr>
                <w:rFonts w:hint="eastAsia"/>
                <w:color w:val="000000" w:themeColor="text1"/>
                <w:highlight w:val="none"/>
                <w:lang w:eastAsia="zh-CN"/>
                <w14:textFill>
                  <w14:solidFill>
                    <w14:schemeClr w14:val="tx1"/>
                  </w14:solidFill>
                </w14:textFill>
              </w:rPr>
              <w:t>在待宰区进行放血，以备下一环节使用。</w:t>
            </w:r>
            <w:r>
              <w:rPr>
                <w:color w:val="000000" w:themeColor="text1"/>
                <w:highlight w:val="none"/>
                <w:lang w:eastAsia="zh-CN"/>
                <w14:textFill>
                  <w14:solidFill>
                    <w14:schemeClr w14:val="tx1"/>
                  </w14:solidFill>
                </w14:textFill>
              </w:rPr>
              <w:t>此步骤产</w:t>
            </w:r>
            <w:r>
              <w:rPr>
                <w:rFonts w:hint="eastAsia"/>
                <w:color w:val="000000" w:themeColor="text1"/>
                <w:highlight w:val="none"/>
                <w:lang w:eastAsia="zh-CN"/>
                <w14:textFill>
                  <w14:solidFill>
                    <w14:schemeClr w14:val="tx1"/>
                  </w14:solidFill>
                </w14:textFill>
              </w:rPr>
              <w:t>生的污染物主要有：屠宰废水W1</w:t>
            </w:r>
            <w:r>
              <w:rPr>
                <w:color w:val="000000" w:themeColor="text1"/>
                <w:highlight w:val="none"/>
                <w:lang w:eastAsia="zh-CN"/>
                <w14:textFill>
                  <w14:solidFill>
                    <w14:schemeClr w14:val="tx1"/>
                  </w14:solidFill>
                </w14:textFill>
              </w:rPr>
              <w:t>。</w:t>
            </w:r>
          </w:p>
          <w:p w14:paraId="6879F184">
            <w:pPr>
              <w:pStyle w:val="34"/>
              <w:ind w:firstLine="486"/>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烫毛：</w:t>
            </w:r>
            <w:r>
              <w:rPr>
                <w:rFonts w:hint="eastAsia"/>
                <w:color w:val="000000" w:themeColor="text1"/>
                <w:highlight w:val="none"/>
                <w:lang w:eastAsia="zh-CN"/>
                <w14:textFill>
                  <w14:solidFill>
                    <w14:schemeClr w14:val="tx1"/>
                  </w14:solidFill>
                </w14:textFill>
              </w:rPr>
              <w:t>采用70</w:t>
            </w:r>
            <w:r>
              <w:rPr>
                <w:rFonts w:cs="Times New Roman"/>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C的热水对羊进行烫毛处理。</w:t>
            </w:r>
            <w:r>
              <w:rPr>
                <w:color w:val="000000" w:themeColor="text1"/>
                <w:highlight w:val="none"/>
                <w:lang w:eastAsia="zh-CN"/>
                <w14:textFill>
                  <w14:solidFill>
                    <w14:schemeClr w14:val="tx1"/>
                  </w14:solidFill>
                </w14:textFill>
              </w:rPr>
              <w:t>此步骤产</w:t>
            </w:r>
            <w:r>
              <w:rPr>
                <w:rFonts w:hint="eastAsia"/>
                <w:color w:val="000000" w:themeColor="text1"/>
                <w:highlight w:val="none"/>
                <w:lang w:eastAsia="zh-CN"/>
                <w14:textFill>
                  <w14:solidFill>
                    <w14:schemeClr w14:val="tx1"/>
                  </w14:solidFill>
                </w14:textFill>
              </w:rPr>
              <w:t>生的污染物主要有：屠宰废水</w:t>
            </w:r>
            <w:r>
              <w:rPr>
                <w:rFonts w:hint="eastAsia"/>
                <w:highlight w:val="none"/>
                <w:lang w:eastAsia="zh-CN"/>
              </w:rPr>
              <w:t>W2及废气G2</w:t>
            </w:r>
            <w:r>
              <w:rPr>
                <w:color w:val="000000" w:themeColor="text1"/>
                <w:highlight w:val="none"/>
                <w:lang w:eastAsia="zh-CN"/>
                <w14:textFill>
                  <w14:solidFill>
                    <w14:schemeClr w14:val="tx1"/>
                  </w14:solidFill>
                </w14:textFill>
              </w:rPr>
              <w:t>。</w:t>
            </w:r>
          </w:p>
          <w:p w14:paraId="2933335D">
            <w:pPr>
              <w:pStyle w:val="34"/>
              <w:ind w:firstLine="486"/>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脱毛：</w:t>
            </w:r>
            <w:r>
              <w:rPr>
                <w:rFonts w:hint="eastAsia"/>
                <w:color w:val="000000" w:themeColor="text1"/>
                <w:highlight w:val="none"/>
                <w:lang w:eastAsia="zh-CN"/>
                <w14:textFill>
                  <w14:solidFill>
                    <w14:schemeClr w14:val="tx1"/>
                  </w14:solidFill>
                </w14:textFill>
              </w:rPr>
              <w:t>使用脱毛机对烫毛后的羊进行脱毛处理。</w:t>
            </w:r>
            <w:r>
              <w:rPr>
                <w:color w:val="000000" w:themeColor="text1"/>
                <w:highlight w:val="none"/>
                <w:lang w:eastAsia="zh-CN"/>
                <w14:textFill>
                  <w14:solidFill>
                    <w14:schemeClr w14:val="tx1"/>
                  </w14:solidFill>
                </w14:textFill>
              </w:rPr>
              <w:t>此步骤产</w:t>
            </w:r>
            <w:r>
              <w:rPr>
                <w:rFonts w:hint="eastAsia"/>
                <w:color w:val="000000" w:themeColor="text1"/>
                <w:highlight w:val="none"/>
                <w:lang w:eastAsia="zh-CN"/>
                <w14:textFill>
                  <w14:solidFill>
                    <w14:schemeClr w14:val="tx1"/>
                  </w14:solidFill>
                </w14:textFill>
              </w:rPr>
              <w:t>生的污染物主要有：固体废物羊毛</w:t>
            </w:r>
            <w:r>
              <w:rPr>
                <w:rFonts w:hint="eastAsia"/>
                <w:highlight w:val="none"/>
                <w:lang w:eastAsia="zh-CN"/>
              </w:rPr>
              <w:t>S2及脱毛机噪声N2</w:t>
            </w:r>
            <w:r>
              <w:rPr>
                <w:color w:val="000000" w:themeColor="text1"/>
                <w:highlight w:val="none"/>
                <w:lang w:eastAsia="zh-CN"/>
                <w14:textFill>
                  <w14:solidFill>
                    <w14:schemeClr w14:val="tx1"/>
                  </w14:solidFill>
                </w14:textFill>
              </w:rPr>
              <w:t>。</w:t>
            </w:r>
          </w:p>
          <w:p w14:paraId="2C464B88">
            <w:pPr>
              <w:pStyle w:val="34"/>
              <w:ind w:firstLine="486"/>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清洗：</w:t>
            </w:r>
            <w:r>
              <w:rPr>
                <w:rFonts w:hint="eastAsia"/>
                <w:color w:val="000000" w:themeColor="text1"/>
                <w:highlight w:val="none"/>
                <w:lang w:eastAsia="zh-CN"/>
                <w14:textFill>
                  <w14:solidFill>
                    <w14:schemeClr w14:val="tx1"/>
                  </w14:solidFill>
                </w14:textFill>
              </w:rPr>
              <w:t>人工清洗羊身的残留物，清洗完成后待下一环节使用。</w:t>
            </w:r>
            <w:r>
              <w:rPr>
                <w:color w:val="000000" w:themeColor="text1"/>
                <w:highlight w:val="none"/>
                <w:lang w:eastAsia="zh-CN"/>
                <w14:textFill>
                  <w14:solidFill>
                    <w14:schemeClr w14:val="tx1"/>
                  </w14:solidFill>
                </w14:textFill>
              </w:rPr>
              <w:t>此步骤产生</w:t>
            </w:r>
            <w:r>
              <w:rPr>
                <w:rFonts w:hint="eastAsia"/>
                <w:color w:val="000000" w:themeColor="text1"/>
                <w:highlight w:val="none"/>
                <w:lang w:eastAsia="zh-CN"/>
                <w14:textFill>
                  <w14:solidFill>
                    <w14:schemeClr w14:val="tx1"/>
                  </w14:solidFill>
                </w14:textFill>
              </w:rPr>
              <w:t>污染物主要有：清洗废水W3</w:t>
            </w:r>
            <w:r>
              <w:rPr>
                <w:color w:val="000000" w:themeColor="text1"/>
                <w:highlight w:val="none"/>
                <w:lang w:eastAsia="zh-CN"/>
                <w14:textFill>
                  <w14:solidFill>
                    <w14:schemeClr w14:val="tx1"/>
                  </w14:solidFill>
                </w14:textFill>
              </w:rPr>
              <w:t>。</w:t>
            </w:r>
          </w:p>
          <w:p w14:paraId="1FCC6498">
            <w:pPr>
              <w:pStyle w:val="34"/>
              <w:ind w:firstLine="486"/>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去红白内脏：</w:t>
            </w:r>
            <w:r>
              <w:rPr>
                <w:rFonts w:hint="eastAsia"/>
                <w:color w:val="000000" w:themeColor="text1"/>
                <w:highlight w:val="none"/>
                <w:lang w:eastAsia="zh-CN"/>
                <w14:textFill>
                  <w14:solidFill>
                    <w14:schemeClr w14:val="tx1"/>
                  </w14:solidFill>
                </w14:textFill>
              </w:rPr>
              <w:t>对清洗后的羊进行处理，去除。</w:t>
            </w:r>
            <w:r>
              <w:rPr>
                <w:color w:val="000000" w:themeColor="text1"/>
                <w:highlight w:val="none"/>
                <w:lang w:eastAsia="zh-CN"/>
                <w14:textFill>
                  <w14:solidFill>
                    <w14:schemeClr w14:val="tx1"/>
                  </w14:solidFill>
                </w14:textFill>
              </w:rPr>
              <w:t>此步骤产生</w:t>
            </w:r>
            <w:r>
              <w:rPr>
                <w:rFonts w:hint="eastAsia"/>
                <w:color w:val="000000" w:themeColor="text1"/>
                <w:highlight w:val="none"/>
                <w:lang w:eastAsia="zh-CN"/>
                <w14:textFill>
                  <w14:solidFill>
                    <w14:schemeClr w14:val="tx1"/>
                  </w14:solidFill>
                </w14:textFill>
              </w:rPr>
              <w:t>污染物主要有：屠宰废水W4、固体废物红白内脏S3及废气G3</w:t>
            </w:r>
            <w:r>
              <w:rPr>
                <w:color w:val="000000" w:themeColor="text1"/>
                <w:highlight w:val="none"/>
                <w:lang w:eastAsia="zh-CN"/>
                <w14:textFill>
                  <w14:solidFill>
                    <w14:schemeClr w14:val="tx1"/>
                  </w14:solidFill>
                </w14:textFill>
              </w:rPr>
              <w:t>。</w:t>
            </w:r>
          </w:p>
          <w:p w14:paraId="7F3BD9EE">
            <w:pPr>
              <w:pStyle w:val="34"/>
              <w:ind w:firstLine="486"/>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胴体修刮：</w:t>
            </w:r>
            <w:r>
              <w:rPr>
                <w:rFonts w:hint="eastAsia"/>
                <w:color w:val="000000" w:themeColor="text1"/>
                <w:highlight w:val="none"/>
                <w:lang w:eastAsia="zh-CN"/>
                <w14:textFill>
                  <w14:solidFill>
                    <w14:schemeClr w14:val="tx1"/>
                  </w14:solidFill>
                </w14:textFill>
              </w:rPr>
              <w:t>对胴体进行检查，修刮残毛、血污、瘀斑及伤痕等，保证胴体整洁卫生，符合商品要求。</w:t>
            </w:r>
            <w:r>
              <w:rPr>
                <w:color w:val="000000" w:themeColor="text1"/>
                <w:highlight w:val="none"/>
                <w:lang w:eastAsia="zh-CN"/>
                <w14:textFill>
                  <w14:solidFill>
                    <w14:schemeClr w14:val="tx1"/>
                  </w14:solidFill>
                </w14:textFill>
              </w:rPr>
              <w:t>此步骤产生</w:t>
            </w:r>
            <w:r>
              <w:rPr>
                <w:rFonts w:hint="eastAsia"/>
                <w:color w:val="000000" w:themeColor="text1"/>
                <w:highlight w:val="none"/>
                <w:lang w:eastAsia="zh-CN"/>
                <w14:textFill>
                  <w14:solidFill>
                    <w14:schemeClr w14:val="tx1"/>
                  </w14:solidFill>
                </w14:textFill>
              </w:rPr>
              <w:t>污染物主要有：清洗废水W5及固体废物S4</w:t>
            </w:r>
            <w:r>
              <w:rPr>
                <w:color w:val="000000" w:themeColor="text1"/>
                <w:highlight w:val="none"/>
                <w:lang w:eastAsia="zh-CN"/>
                <w14:textFill>
                  <w14:solidFill>
                    <w14:schemeClr w14:val="tx1"/>
                  </w14:solidFill>
                </w14:textFill>
              </w:rPr>
              <w:t>。</w:t>
            </w:r>
          </w:p>
          <w:p w14:paraId="362480F0">
            <w:pPr>
              <w:pStyle w:val="34"/>
              <w:ind w:firstLine="486"/>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出货：</w:t>
            </w:r>
            <w:r>
              <w:rPr>
                <w:rFonts w:hint="eastAsia"/>
                <w:color w:val="000000" w:themeColor="text1"/>
                <w:highlight w:val="none"/>
                <w:lang w:eastAsia="zh-CN"/>
                <w14:textFill>
                  <w14:solidFill>
                    <w14:schemeClr w14:val="tx1"/>
                  </w14:solidFill>
                </w14:textFill>
              </w:rPr>
              <w:t>通过冷链物流运输车辆运输至冷库，后续从冷库运输至客户或者待自然冷却后直接装车出货。</w:t>
            </w:r>
          </w:p>
        </w:tc>
      </w:tr>
      <w:tr w14:paraId="7671A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97" w:type="dxa"/>
            <w:vAlign w:val="center"/>
          </w:tcPr>
          <w:p w14:paraId="2F40537E">
            <w:pPr>
              <w:pStyle w:val="16"/>
              <w:adjustRightInd w:val="0"/>
              <w:snapToGrid w:val="0"/>
              <w:spacing w:before="0" w:beforeAutospacing="0" w:after="0" w:afterAutospacing="0"/>
              <w:jc w:val="center"/>
              <w:rPr>
                <w:rFonts w:ascii="Times New Roman" w:hAnsi="Times New Roman" w:cs="宋体"/>
                <w:color w:val="000000" w:themeColor="text1"/>
                <w:szCs w:val="24"/>
                <w:highlight w:val="none"/>
                <w14:textFill>
                  <w14:solidFill>
                    <w14:schemeClr w14:val="tx1"/>
                  </w14:solidFill>
                </w14:textFill>
              </w:rPr>
            </w:pPr>
            <w:r>
              <w:rPr>
                <w:rFonts w:hint="eastAsia" w:ascii="Times New Roman" w:hAnsi="Times New Roman" w:cs="宋体"/>
                <w:bCs/>
                <w:color w:val="000000" w:themeColor="text1"/>
                <w:kern w:val="2"/>
                <w:szCs w:val="24"/>
                <w:highlight w:val="none"/>
                <w14:textFill>
                  <w14:solidFill>
                    <w14:schemeClr w14:val="tx1"/>
                  </w14:solidFill>
                </w14:textFill>
              </w:rPr>
              <w:t>与项目有关的原有环境污染问题</w:t>
            </w:r>
          </w:p>
        </w:tc>
        <w:tc>
          <w:tcPr>
            <w:tcW w:w="8587" w:type="dxa"/>
          </w:tcPr>
          <w:p w14:paraId="51CFDD5E">
            <w:pPr>
              <w:pStyle w:val="34"/>
              <w:ind w:firstLine="0" w:firstLineChars="0"/>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1.原有项目环保手续</w:t>
            </w:r>
          </w:p>
          <w:p w14:paraId="2E6C3BC3">
            <w:pPr>
              <w:pStyle w:val="34"/>
              <w:rPr>
                <w:rFonts w:cs="Times New Roman"/>
                <w:highlight w:val="none"/>
                <w:lang w:val="zh-CN" w:eastAsia="zh-CN"/>
              </w:rPr>
            </w:pPr>
            <w:r>
              <w:rPr>
                <w:rFonts w:hint="eastAsia"/>
                <w:color w:val="000000" w:themeColor="text1"/>
                <w:highlight w:val="none"/>
                <w:lang w:eastAsia="zh-CN"/>
                <w14:textFill>
                  <w14:solidFill>
                    <w14:schemeClr w14:val="tx1"/>
                  </w14:solidFill>
                </w14:textFill>
              </w:rPr>
              <w:t>建设项目</w:t>
            </w:r>
            <w:r>
              <w:rPr>
                <w:rFonts w:hint="eastAsia"/>
                <w:highlight w:val="none"/>
                <w:lang w:eastAsia="zh-CN"/>
              </w:rPr>
              <w:t>位于云南省昆明市寻甸县羊街镇，进行肉牛屠宰和优质牛肉精加工项目</w:t>
            </w:r>
            <w:r>
              <w:rPr>
                <w:rFonts w:hint="eastAsia"/>
                <w:color w:val="000000" w:themeColor="text1"/>
                <w:highlight w:val="none"/>
                <w:lang w:eastAsia="zh-CN"/>
                <w14:textFill>
                  <w14:solidFill>
                    <w14:schemeClr w14:val="tx1"/>
                  </w14:solidFill>
                </w14:textFill>
              </w:rPr>
              <w:t>。</w:t>
            </w:r>
            <w:r>
              <w:rPr>
                <w:rFonts w:hint="eastAsia" w:cs="Times New Roman"/>
                <w:highlight w:val="none"/>
                <w:lang w:eastAsia="zh-CN"/>
              </w:rPr>
              <w:t>原</w:t>
            </w:r>
            <w:r>
              <w:rPr>
                <w:rFonts w:cs="Times New Roman"/>
                <w:highlight w:val="none"/>
                <w:lang w:val="zh-CN" w:eastAsia="zh-CN"/>
              </w:rPr>
              <w:t>有项目环保相关工作情况一览表见表</w:t>
            </w:r>
            <w:r>
              <w:rPr>
                <w:rFonts w:hint="eastAsia" w:cs="Times New Roman"/>
                <w:highlight w:val="none"/>
                <w:lang w:eastAsia="zh-CN"/>
              </w:rPr>
              <w:t>2-</w:t>
            </w:r>
            <w:r>
              <w:rPr>
                <w:rFonts w:hint="eastAsia" w:cs="Times New Roman"/>
                <w:highlight w:val="none"/>
                <w:lang w:val="en-US" w:eastAsia="zh-CN"/>
              </w:rPr>
              <w:t>9</w:t>
            </w:r>
            <w:r>
              <w:rPr>
                <w:rFonts w:cs="Times New Roman"/>
                <w:highlight w:val="none"/>
                <w:lang w:val="zh-CN" w:eastAsia="zh-CN"/>
              </w:rPr>
              <w:t>所示。</w:t>
            </w:r>
          </w:p>
          <w:p w14:paraId="093D6ECD">
            <w:pPr>
              <w:pStyle w:val="30"/>
              <w:rPr>
                <w:rFonts w:hint="default"/>
                <w:highlight w:val="none"/>
                <w:lang w:val="zh-CN"/>
              </w:rPr>
            </w:pPr>
            <w:r>
              <w:rPr>
                <w:rFonts w:hint="default"/>
                <w:highlight w:val="none"/>
                <w:lang w:val="zh-CN"/>
              </w:rPr>
              <w:t>表2-</w:t>
            </w:r>
            <w:r>
              <w:rPr>
                <w:rFonts w:hint="eastAsia"/>
                <w:highlight w:val="none"/>
                <w:lang w:val="en-US" w:eastAsia="zh-CN"/>
              </w:rPr>
              <w:t>9</w:t>
            </w:r>
            <w:r>
              <w:rPr>
                <w:highlight w:val="none"/>
              </w:rPr>
              <w:t>原有</w:t>
            </w:r>
            <w:r>
              <w:rPr>
                <w:rFonts w:hint="default"/>
                <w:highlight w:val="none"/>
                <w:lang w:val="zh-CN"/>
              </w:rPr>
              <w:t>项目环保相关工作情况一览表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1144"/>
              <w:gridCol w:w="1256"/>
              <w:gridCol w:w="1880"/>
              <w:gridCol w:w="885"/>
              <w:gridCol w:w="754"/>
            </w:tblGrid>
            <w:tr w14:paraId="6B2A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pct"/>
                  <w:vAlign w:val="center"/>
                </w:tcPr>
                <w:p w14:paraId="14D0627A">
                  <w:pPr>
                    <w:spacing w:line="300" w:lineRule="auto"/>
                    <w:jc w:val="center"/>
                    <w:rPr>
                      <w:b/>
                      <w:bCs/>
                      <w:szCs w:val="21"/>
                      <w:highlight w:val="none"/>
                    </w:rPr>
                  </w:pPr>
                  <w:r>
                    <w:rPr>
                      <w:rFonts w:hint="eastAsia"/>
                      <w:b/>
                      <w:bCs/>
                      <w:szCs w:val="21"/>
                      <w:highlight w:val="none"/>
                    </w:rPr>
                    <w:t>原有</w:t>
                  </w:r>
                  <w:r>
                    <w:rPr>
                      <w:b/>
                      <w:bCs/>
                      <w:szCs w:val="21"/>
                      <w:highlight w:val="none"/>
                    </w:rPr>
                    <w:t>项目</w:t>
                  </w:r>
                </w:p>
              </w:tc>
              <w:tc>
                <w:tcPr>
                  <w:tcW w:w="1435" w:type="pct"/>
                  <w:gridSpan w:val="2"/>
                  <w:vAlign w:val="center"/>
                </w:tcPr>
                <w:p w14:paraId="195E980C">
                  <w:pPr>
                    <w:spacing w:line="300" w:lineRule="auto"/>
                    <w:jc w:val="center"/>
                    <w:rPr>
                      <w:b/>
                      <w:bCs/>
                      <w:szCs w:val="21"/>
                      <w:highlight w:val="none"/>
                    </w:rPr>
                  </w:pPr>
                  <w:r>
                    <w:rPr>
                      <w:b/>
                      <w:bCs/>
                      <w:szCs w:val="21"/>
                      <w:highlight w:val="none"/>
                      <w:lang w:val="zh-CN"/>
                    </w:rPr>
                    <w:t>审批内容/审批情况</w:t>
                  </w:r>
                </w:p>
              </w:tc>
              <w:tc>
                <w:tcPr>
                  <w:tcW w:w="1124" w:type="pct"/>
                  <w:vAlign w:val="center"/>
                </w:tcPr>
                <w:p w14:paraId="5CFBC0E6">
                  <w:pPr>
                    <w:spacing w:line="300" w:lineRule="auto"/>
                    <w:jc w:val="center"/>
                    <w:rPr>
                      <w:b/>
                      <w:bCs/>
                      <w:szCs w:val="21"/>
                      <w:highlight w:val="none"/>
                    </w:rPr>
                  </w:pPr>
                  <w:r>
                    <w:rPr>
                      <w:b/>
                      <w:bCs/>
                      <w:szCs w:val="21"/>
                      <w:highlight w:val="none"/>
                    </w:rPr>
                    <w:t>审批部门</w:t>
                  </w:r>
                </w:p>
              </w:tc>
              <w:tc>
                <w:tcPr>
                  <w:tcW w:w="529" w:type="pct"/>
                  <w:vAlign w:val="center"/>
                </w:tcPr>
                <w:p w14:paraId="41242EC4">
                  <w:pPr>
                    <w:spacing w:line="300" w:lineRule="auto"/>
                    <w:jc w:val="center"/>
                    <w:rPr>
                      <w:b/>
                      <w:bCs/>
                      <w:szCs w:val="21"/>
                      <w:highlight w:val="none"/>
                    </w:rPr>
                  </w:pPr>
                  <w:r>
                    <w:rPr>
                      <w:b/>
                      <w:bCs/>
                      <w:szCs w:val="21"/>
                      <w:highlight w:val="none"/>
                    </w:rPr>
                    <w:t>通过时间</w:t>
                  </w:r>
                </w:p>
              </w:tc>
              <w:tc>
                <w:tcPr>
                  <w:tcW w:w="451" w:type="pct"/>
                  <w:vAlign w:val="center"/>
                </w:tcPr>
                <w:p w14:paraId="2422EEAB">
                  <w:pPr>
                    <w:spacing w:line="300" w:lineRule="auto"/>
                    <w:jc w:val="center"/>
                    <w:rPr>
                      <w:b/>
                      <w:bCs/>
                      <w:szCs w:val="21"/>
                      <w:highlight w:val="none"/>
                    </w:rPr>
                  </w:pPr>
                  <w:r>
                    <w:rPr>
                      <w:b/>
                      <w:bCs/>
                      <w:szCs w:val="21"/>
                      <w:highlight w:val="none"/>
                    </w:rPr>
                    <w:t>是否审批</w:t>
                  </w:r>
                </w:p>
              </w:tc>
            </w:tr>
            <w:tr w14:paraId="05FD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pct"/>
                  <w:vAlign w:val="center"/>
                </w:tcPr>
                <w:p w14:paraId="68924A0E">
                  <w:pPr>
                    <w:spacing w:line="300" w:lineRule="auto"/>
                    <w:jc w:val="center"/>
                    <w:rPr>
                      <w:szCs w:val="21"/>
                      <w:highlight w:val="none"/>
                    </w:rPr>
                  </w:pPr>
                  <w:r>
                    <w:rPr>
                      <w:szCs w:val="21"/>
                      <w:highlight w:val="none"/>
                    </w:rPr>
                    <w:t>30000头/年肉牛屠宰建设项目</w:t>
                  </w:r>
                </w:p>
              </w:tc>
              <w:tc>
                <w:tcPr>
                  <w:tcW w:w="684" w:type="pct"/>
                  <w:vAlign w:val="center"/>
                </w:tcPr>
                <w:p w14:paraId="4F2FEDCD">
                  <w:pPr>
                    <w:spacing w:line="300" w:lineRule="auto"/>
                    <w:jc w:val="center"/>
                    <w:rPr>
                      <w:szCs w:val="21"/>
                      <w:highlight w:val="yellow"/>
                    </w:rPr>
                  </w:pPr>
                  <w:r>
                    <w:rPr>
                      <w:rFonts w:hint="eastAsia"/>
                      <w:szCs w:val="21"/>
                      <w:highlight w:val="yellow"/>
                    </w:rPr>
                    <w:t>环评批复</w:t>
                  </w:r>
                </w:p>
              </w:tc>
              <w:tc>
                <w:tcPr>
                  <w:tcW w:w="750" w:type="pct"/>
                  <w:vAlign w:val="center"/>
                </w:tcPr>
                <w:p w14:paraId="7CC2AED4">
                  <w:pPr>
                    <w:spacing w:line="300" w:lineRule="auto"/>
                    <w:jc w:val="center"/>
                    <w:rPr>
                      <w:szCs w:val="21"/>
                      <w:highlight w:val="yellow"/>
                    </w:rPr>
                  </w:pPr>
                  <w:r>
                    <w:rPr>
                      <w:rFonts w:hint="eastAsia"/>
                      <w:szCs w:val="21"/>
                      <w:highlight w:val="yellow"/>
                    </w:rPr>
                    <w:t>/</w:t>
                  </w:r>
                </w:p>
              </w:tc>
              <w:tc>
                <w:tcPr>
                  <w:tcW w:w="1124" w:type="pct"/>
                  <w:vAlign w:val="center"/>
                </w:tcPr>
                <w:p w14:paraId="53BA07A8">
                  <w:pPr>
                    <w:spacing w:line="300" w:lineRule="auto"/>
                    <w:jc w:val="center"/>
                    <w:rPr>
                      <w:szCs w:val="21"/>
                      <w:highlight w:val="yellow"/>
                    </w:rPr>
                  </w:pPr>
                  <w:r>
                    <w:rPr>
                      <w:rFonts w:hint="eastAsia"/>
                      <w:szCs w:val="21"/>
                      <w:highlight w:val="yellow"/>
                    </w:rPr>
                    <w:t>/</w:t>
                  </w:r>
                </w:p>
              </w:tc>
              <w:tc>
                <w:tcPr>
                  <w:tcW w:w="529" w:type="pct"/>
                  <w:vAlign w:val="center"/>
                </w:tcPr>
                <w:p w14:paraId="22C48FA0">
                  <w:pPr>
                    <w:spacing w:line="300" w:lineRule="auto"/>
                    <w:jc w:val="center"/>
                    <w:rPr>
                      <w:szCs w:val="21"/>
                      <w:highlight w:val="none"/>
                    </w:rPr>
                  </w:pPr>
                  <w:r>
                    <w:rPr>
                      <w:szCs w:val="21"/>
                      <w:highlight w:val="none"/>
                    </w:rPr>
                    <w:t>2009年12月16日</w:t>
                  </w:r>
                </w:p>
              </w:tc>
              <w:tc>
                <w:tcPr>
                  <w:tcW w:w="451" w:type="pct"/>
                  <w:vAlign w:val="center"/>
                </w:tcPr>
                <w:p w14:paraId="69C6AD90">
                  <w:pPr>
                    <w:spacing w:line="300" w:lineRule="auto"/>
                    <w:jc w:val="center"/>
                    <w:rPr>
                      <w:szCs w:val="21"/>
                      <w:highlight w:val="none"/>
                    </w:rPr>
                  </w:pPr>
                  <w:r>
                    <w:rPr>
                      <w:rFonts w:hint="eastAsia"/>
                      <w:szCs w:val="21"/>
                      <w:highlight w:val="none"/>
                    </w:rPr>
                    <w:t>通过审批</w:t>
                  </w:r>
                </w:p>
              </w:tc>
            </w:tr>
            <w:tr w14:paraId="7DC9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pct"/>
                  <w:vAlign w:val="center"/>
                </w:tcPr>
                <w:p w14:paraId="61D5E6DF">
                  <w:pPr>
                    <w:spacing w:line="300" w:lineRule="auto"/>
                    <w:jc w:val="center"/>
                    <w:rPr>
                      <w:szCs w:val="21"/>
                      <w:highlight w:val="none"/>
                    </w:rPr>
                  </w:pPr>
                  <w:r>
                    <w:rPr>
                      <w:rFonts w:hint="eastAsia"/>
                      <w:color w:val="000000" w:themeColor="text1"/>
                      <w:highlight w:val="none"/>
                      <w14:textFill>
                        <w14:solidFill>
                          <w14:schemeClr w14:val="tx1"/>
                        </w14:solidFill>
                      </w14:textFill>
                    </w:rPr>
                    <w:t>3</w:t>
                  </w:r>
                  <w:r>
                    <w:rPr>
                      <w:rFonts w:hint="eastAsia"/>
                      <w:szCs w:val="21"/>
                      <w:highlight w:val="none"/>
                    </w:rPr>
                    <w:t>0000头/年肉牛屠宰项目竣工环境保护验收</w:t>
                  </w:r>
                </w:p>
              </w:tc>
              <w:tc>
                <w:tcPr>
                  <w:tcW w:w="684" w:type="pct"/>
                  <w:vAlign w:val="center"/>
                </w:tcPr>
                <w:p w14:paraId="6606E1AF">
                  <w:pPr>
                    <w:spacing w:line="300" w:lineRule="auto"/>
                    <w:jc w:val="center"/>
                    <w:rPr>
                      <w:szCs w:val="21"/>
                      <w:highlight w:val="yellow"/>
                    </w:rPr>
                  </w:pPr>
                  <w:r>
                    <w:rPr>
                      <w:rFonts w:hint="eastAsia"/>
                      <w:szCs w:val="21"/>
                      <w:highlight w:val="yellow"/>
                    </w:rPr>
                    <w:t>验收意见</w:t>
                  </w:r>
                </w:p>
              </w:tc>
              <w:tc>
                <w:tcPr>
                  <w:tcW w:w="750" w:type="pct"/>
                  <w:vAlign w:val="center"/>
                </w:tcPr>
                <w:p w14:paraId="310CED43">
                  <w:pPr>
                    <w:spacing w:line="300" w:lineRule="auto"/>
                    <w:jc w:val="center"/>
                    <w:rPr>
                      <w:szCs w:val="21"/>
                      <w:highlight w:val="yellow"/>
                    </w:rPr>
                  </w:pPr>
                  <w:r>
                    <w:rPr>
                      <w:rFonts w:hint="eastAsia"/>
                      <w:szCs w:val="21"/>
                      <w:highlight w:val="yellow"/>
                    </w:rPr>
                    <w:t>/</w:t>
                  </w:r>
                </w:p>
              </w:tc>
              <w:tc>
                <w:tcPr>
                  <w:tcW w:w="1124" w:type="pct"/>
                  <w:vAlign w:val="center"/>
                </w:tcPr>
                <w:p w14:paraId="57F6F263">
                  <w:pPr>
                    <w:spacing w:line="300" w:lineRule="auto"/>
                    <w:jc w:val="center"/>
                    <w:rPr>
                      <w:szCs w:val="21"/>
                      <w:highlight w:val="yellow"/>
                    </w:rPr>
                  </w:pPr>
                  <w:r>
                    <w:rPr>
                      <w:rFonts w:hint="eastAsia"/>
                      <w:szCs w:val="21"/>
                      <w:highlight w:val="yellow"/>
                    </w:rPr>
                    <w:t>/</w:t>
                  </w:r>
                </w:p>
              </w:tc>
              <w:tc>
                <w:tcPr>
                  <w:tcW w:w="529" w:type="pct"/>
                  <w:vAlign w:val="center"/>
                </w:tcPr>
                <w:p w14:paraId="37BDB202">
                  <w:pPr>
                    <w:spacing w:line="300" w:lineRule="auto"/>
                    <w:jc w:val="center"/>
                    <w:rPr>
                      <w:szCs w:val="21"/>
                      <w:highlight w:val="none"/>
                    </w:rPr>
                  </w:pPr>
                  <w:r>
                    <w:rPr>
                      <w:rFonts w:hint="eastAsia"/>
                      <w:szCs w:val="21"/>
                      <w:highlight w:val="none"/>
                    </w:rPr>
                    <w:t>2011年2月28日</w:t>
                  </w:r>
                </w:p>
              </w:tc>
              <w:tc>
                <w:tcPr>
                  <w:tcW w:w="451" w:type="pct"/>
                  <w:vAlign w:val="center"/>
                </w:tcPr>
                <w:p w14:paraId="0362BBBD">
                  <w:pPr>
                    <w:spacing w:line="300" w:lineRule="auto"/>
                    <w:jc w:val="center"/>
                    <w:rPr>
                      <w:szCs w:val="21"/>
                      <w:highlight w:val="none"/>
                    </w:rPr>
                  </w:pPr>
                  <w:r>
                    <w:rPr>
                      <w:rFonts w:hint="eastAsia"/>
                      <w:szCs w:val="21"/>
                      <w:highlight w:val="none"/>
                    </w:rPr>
                    <w:t>通过审批</w:t>
                  </w:r>
                </w:p>
              </w:tc>
            </w:tr>
            <w:tr w14:paraId="5417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pct"/>
                  <w:vAlign w:val="center"/>
                </w:tcPr>
                <w:p w14:paraId="231D5E1F">
                  <w:pPr>
                    <w:spacing w:line="30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云南省昆明市寻甸县1万吨/年优质牛肉精深加工配送系统改扩建项目</w:t>
                  </w:r>
                </w:p>
              </w:tc>
              <w:tc>
                <w:tcPr>
                  <w:tcW w:w="684" w:type="pct"/>
                  <w:vAlign w:val="center"/>
                </w:tcPr>
                <w:p w14:paraId="38B07E24">
                  <w:pPr>
                    <w:spacing w:line="300" w:lineRule="auto"/>
                    <w:jc w:val="center"/>
                    <w:rPr>
                      <w:szCs w:val="21"/>
                      <w:highlight w:val="yellow"/>
                    </w:rPr>
                  </w:pPr>
                  <w:r>
                    <w:rPr>
                      <w:rFonts w:hint="eastAsia"/>
                      <w:szCs w:val="21"/>
                      <w:highlight w:val="yellow"/>
                    </w:rPr>
                    <w:t>环评批复</w:t>
                  </w:r>
                </w:p>
              </w:tc>
              <w:tc>
                <w:tcPr>
                  <w:tcW w:w="750" w:type="pct"/>
                  <w:vAlign w:val="center"/>
                </w:tcPr>
                <w:p w14:paraId="65E3EB5D">
                  <w:pPr>
                    <w:spacing w:line="300" w:lineRule="auto"/>
                    <w:jc w:val="center"/>
                    <w:rPr>
                      <w:szCs w:val="21"/>
                      <w:highlight w:val="yellow"/>
                    </w:rPr>
                  </w:pPr>
                  <w:r>
                    <w:rPr>
                      <w:rFonts w:hint="eastAsia"/>
                      <w:szCs w:val="21"/>
                      <w:highlight w:val="yellow"/>
                    </w:rPr>
                    <w:t>/</w:t>
                  </w:r>
                </w:p>
              </w:tc>
              <w:tc>
                <w:tcPr>
                  <w:tcW w:w="1124" w:type="pct"/>
                  <w:vAlign w:val="center"/>
                </w:tcPr>
                <w:p w14:paraId="73C94924">
                  <w:pPr>
                    <w:spacing w:line="300" w:lineRule="auto"/>
                    <w:jc w:val="center"/>
                    <w:rPr>
                      <w:szCs w:val="21"/>
                      <w:highlight w:val="yellow"/>
                    </w:rPr>
                  </w:pPr>
                  <w:r>
                    <w:rPr>
                      <w:rFonts w:hint="eastAsia"/>
                      <w:szCs w:val="21"/>
                      <w:highlight w:val="yellow"/>
                    </w:rPr>
                    <w:t>/</w:t>
                  </w:r>
                </w:p>
              </w:tc>
              <w:tc>
                <w:tcPr>
                  <w:tcW w:w="529" w:type="pct"/>
                  <w:vAlign w:val="center"/>
                </w:tcPr>
                <w:p w14:paraId="0C07DBAC">
                  <w:pPr>
                    <w:spacing w:line="300" w:lineRule="auto"/>
                    <w:jc w:val="center"/>
                    <w:rPr>
                      <w:szCs w:val="21"/>
                      <w:highlight w:val="none"/>
                    </w:rPr>
                  </w:pPr>
                  <w:r>
                    <w:rPr>
                      <w:rFonts w:hint="eastAsia"/>
                      <w:color w:val="000000" w:themeColor="text1"/>
                      <w:highlight w:val="none"/>
                      <w14:textFill>
                        <w14:solidFill>
                          <w14:schemeClr w14:val="tx1"/>
                        </w14:solidFill>
                      </w14:textFill>
                    </w:rPr>
                    <w:t>2013年8月30日</w:t>
                  </w:r>
                </w:p>
              </w:tc>
              <w:tc>
                <w:tcPr>
                  <w:tcW w:w="451" w:type="pct"/>
                  <w:vAlign w:val="center"/>
                </w:tcPr>
                <w:p w14:paraId="2483170C">
                  <w:pPr>
                    <w:spacing w:line="300" w:lineRule="auto"/>
                    <w:jc w:val="center"/>
                    <w:rPr>
                      <w:szCs w:val="21"/>
                      <w:highlight w:val="none"/>
                    </w:rPr>
                  </w:pPr>
                  <w:r>
                    <w:rPr>
                      <w:rFonts w:hint="eastAsia"/>
                      <w:szCs w:val="21"/>
                      <w:highlight w:val="none"/>
                    </w:rPr>
                    <w:t>通过审批</w:t>
                  </w:r>
                </w:p>
              </w:tc>
            </w:tr>
            <w:tr w14:paraId="3FC1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pct"/>
                  <w:vAlign w:val="center"/>
                </w:tcPr>
                <w:p w14:paraId="3793F778">
                  <w:pPr>
                    <w:spacing w:line="300" w:lineRule="auto"/>
                    <w:jc w:val="center"/>
                    <w:rPr>
                      <w:szCs w:val="21"/>
                      <w:highlight w:val="none"/>
                    </w:rPr>
                  </w:pPr>
                  <w:r>
                    <w:rPr>
                      <w:szCs w:val="21"/>
                      <w:highlight w:val="none"/>
                    </w:rPr>
                    <w:t>2013年云南省昆明市寻甸县10000吨/年优质牛肉精深加工配送系统改扩建项目竣工环境保护验收</w:t>
                  </w:r>
                </w:p>
              </w:tc>
              <w:tc>
                <w:tcPr>
                  <w:tcW w:w="684" w:type="pct"/>
                  <w:vAlign w:val="center"/>
                </w:tcPr>
                <w:p w14:paraId="42897E86">
                  <w:pPr>
                    <w:spacing w:line="300" w:lineRule="auto"/>
                    <w:jc w:val="center"/>
                    <w:rPr>
                      <w:szCs w:val="21"/>
                      <w:highlight w:val="yellow"/>
                    </w:rPr>
                  </w:pPr>
                  <w:r>
                    <w:rPr>
                      <w:rFonts w:hint="eastAsia"/>
                      <w:szCs w:val="21"/>
                      <w:highlight w:val="yellow"/>
                    </w:rPr>
                    <w:t>/</w:t>
                  </w:r>
                </w:p>
              </w:tc>
              <w:tc>
                <w:tcPr>
                  <w:tcW w:w="750" w:type="pct"/>
                  <w:vAlign w:val="center"/>
                </w:tcPr>
                <w:p w14:paraId="2FC7C2E8">
                  <w:pPr>
                    <w:spacing w:line="300" w:lineRule="auto"/>
                    <w:jc w:val="center"/>
                    <w:rPr>
                      <w:szCs w:val="21"/>
                      <w:highlight w:val="yellow"/>
                    </w:rPr>
                  </w:pPr>
                  <w:r>
                    <w:rPr>
                      <w:rFonts w:hint="eastAsia"/>
                      <w:szCs w:val="21"/>
                      <w:highlight w:val="yellow"/>
                    </w:rPr>
                    <w:t>/</w:t>
                  </w:r>
                </w:p>
              </w:tc>
              <w:tc>
                <w:tcPr>
                  <w:tcW w:w="1124" w:type="pct"/>
                  <w:vAlign w:val="center"/>
                </w:tcPr>
                <w:p w14:paraId="1D8D0B29">
                  <w:pPr>
                    <w:spacing w:line="300" w:lineRule="auto"/>
                    <w:jc w:val="center"/>
                    <w:rPr>
                      <w:szCs w:val="21"/>
                      <w:highlight w:val="yellow"/>
                      <w:lang w:val="zh-CN"/>
                    </w:rPr>
                  </w:pPr>
                  <w:r>
                    <w:rPr>
                      <w:rFonts w:hint="eastAsia"/>
                      <w:szCs w:val="21"/>
                      <w:highlight w:val="yellow"/>
                    </w:rPr>
                    <w:t>/</w:t>
                  </w:r>
                </w:p>
              </w:tc>
              <w:tc>
                <w:tcPr>
                  <w:tcW w:w="529" w:type="pct"/>
                  <w:vAlign w:val="center"/>
                </w:tcPr>
                <w:p w14:paraId="46F1E54F">
                  <w:pPr>
                    <w:spacing w:line="300" w:lineRule="auto"/>
                    <w:jc w:val="center"/>
                    <w:rPr>
                      <w:szCs w:val="21"/>
                      <w:highlight w:val="none"/>
                    </w:rPr>
                  </w:pPr>
                  <w:r>
                    <w:rPr>
                      <w:rFonts w:hint="eastAsia"/>
                      <w:szCs w:val="21"/>
                      <w:highlight w:val="none"/>
                    </w:rPr>
                    <w:t>2020年11月</w:t>
                  </w:r>
                </w:p>
              </w:tc>
              <w:tc>
                <w:tcPr>
                  <w:tcW w:w="451" w:type="pct"/>
                  <w:vAlign w:val="center"/>
                </w:tcPr>
                <w:p w14:paraId="48F6D121">
                  <w:pPr>
                    <w:spacing w:line="300" w:lineRule="auto"/>
                    <w:jc w:val="center"/>
                    <w:rPr>
                      <w:szCs w:val="21"/>
                      <w:highlight w:val="none"/>
                    </w:rPr>
                  </w:pPr>
                  <w:r>
                    <w:rPr>
                      <w:rFonts w:hint="eastAsia"/>
                      <w:szCs w:val="21"/>
                      <w:highlight w:val="none"/>
                    </w:rPr>
                    <w:t>已备案</w:t>
                  </w:r>
                </w:p>
              </w:tc>
            </w:tr>
            <w:tr w14:paraId="671C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pct"/>
                  <w:shd w:val="clear" w:color="auto" w:fill="auto"/>
                  <w:vAlign w:val="center"/>
                </w:tcPr>
                <w:p w14:paraId="05E7EE2D">
                  <w:pPr>
                    <w:spacing w:line="300" w:lineRule="auto"/>
                    <w:jc w:val="center"/>
                    <w:rPr>
                      <w:szCs w:val="21"/>
                      <w:highlight w:val="none"/>
                    </w:rPr>
                  </w:pPr>
                  <w:r>
                    <w:rPr>
                      <w:rFonts w:hint="eastAsia"/>
                      <w:szCs w:val="21"/>
                      <w:highlight w:val="none"/>
                    </w:rPr>
                    <w:t>云南海潮集团听牧肉牛产业股份有限公司应急预案</w:t>
                  </w:r>
                </w:p>
              </w:tc>
              <w:tc>
                <w:tcPr>
                  <w:tcW w:w="684" w:type="pct"/>
                  <w:shd w:val="clear" w:color="auto" w:fill="auto"/>
                  <w:vAlign w:val="center"/>
                </w:tcPr>
                <w:p w14:paraId="2DA8D6E4">
                  <w:pPr>
                    <w:spacing w:line="300" w:lineRule="auto"/>
                    <w:jc w:val="center"/>
                    <w:rPr>
                      <w:szCs w:val="21"/>
                      <w:highlight w:val="yellow"/>
                    </w:rPr>
                  </w:pPr>
                  <w:r>
                    <w:rPr>
                      <w:rFonts w:hint="eastAsia"/>
                      <w:szCs w:val="21"/>
                      <w:highlight w:val="yellow"/>
                    </w:rPr>
                    <w:t>应急预案备案</w:t>
                  </w:r>
                </w:p>
              </w:tc>
              <w:tc>
                <w:tcPr>
                  <w:tcW w:w="750" w:type="pct"/>
                  <w:shd w:val="clear" w:color="auto" w:fill="auto"/>
                  <w:vAlign w:val="center"/>
                </w:tcPr>
                <w:p w14:paraId="4148B88D">
                  <w:pPr>
                    <w:spacing w:line="300" w:lineRule="auto"/>
                    <w:jc w:val="center"/>
                    <w:rPr>
                      <w:szCs w:val="21"/>
                      <w:highlight w:val="yellow"/>
                    </w:rPr>
                  </w:pPr>
                  <w:r>
                    <w:rPr>
                      <w:rFonts w:hint="eastAsia"/>
                      <w:szCs w:val="21"/>
                      <w:highlight w:val="yellow"/>
                    </w:rPr>
                    <w:t>/</w:t>
                  </w:r>
                </w:p>
              </w:tc>
              <w:tc>
                <w:tcPr>
                  <w:tcW w:w="1124" w:type="pct"/>
                  <w:shd w:val="clear" w:color="auto" w:fill="auto"/>
                  <w:vAlign w:val="center"/>
                </w:tcPr>
                <w:p w14:paraId="1DDCDD41">
                  <w:pPr>
                    <w:spacing w:line="300" w:lineRule="auto"/>
                    <w:jc w:val="center"/>
                    <w:rPr>
                      <w:szCs w:val="21"/>
                      <w:highlight w:val="yellow"/>
                      <w:lang w:val="zh-CN"/>
                    </w:rPr>
                  </w:pPr>
                  <w:r>
                    <w:rPr>
                      <w:rFonts w:hint="eastAsia"/>
                      <w:szCs w:val="21"/>
                      <w:highlight w:val="yellow"/>
                    </w:rPr>
                    <w:t>/</w:t>
                  </w:r>
                </w:p>
              </w:tc>
              <w:tc>
                <w:tcPr>
                  <w:tcW w:w="529" w:type="pct"/>
                  <w:shd w:val="clear" w:color="auto" w:fill="auto"/>
                  <w:vAlign w:val="center"/>
                </w:tcPr>
                <w:p w14:paraId="3D20CCE6">
                  <w:pPr>
                    <w:spacing w:line="300" w:lineRule="auto"/>
                    <w:jc w:val="center"/>
                    <w:rPr>
                      <w:szCs w:val="21"/>
                      <w:highlight w:val="none"/>
                    </w:rPr>
                  </w:pPr>
                  <w:r>
                    <w:rPr>
                      <w:rFonts w:hint="eastAsia"/>
                      <w:szCs w:val="21"/>
                      <w:highlight w:val="none"/>
                    </w:rPr>
                    <w:t>2024年9月3日</w:t>
                  </w:r>
                </w:p>
              </w:tc>
              <w:tc>
                <w:tcPr>
                  <w:tcW w:w="451" w:type="pct"/>
                  <w:shd w:val="clear" w:color="auto" w:fill="auto"/>
                  <w:vAlign w:val="center"/>
                </w:tcPr>
                <w:p w14:paraId="2E615591">
                  <w:pPr>
                    <w:spacing w:line="300" w:lineRule="auto"/>
                    <w:jc w:val="center"/>
                    <w:rPr>
                      <w:szCs w:val="21"/>
                      <w:highlight w:val="none"/>
                    </w:rPr>
                  </w:pPr>
                  <w:r>
                    <w:rPr>
                      <w:rFonts w:hint="eastAsia"/>
                      <w:szCs w:val="21"/>
                      <w:highlight w:val="none"/>
                    </w:rPr>
                    <w:t>已备案</w:t>
                  </w:r>
                </w:p>
              </w:tc>
            </w:tr>
          </w:tbl>
          <w:p w14:paraId="49FA78F2">
            <w:pPr>
              <w:pStyle w:val="34"/>
              <w:ind w:firstLine="0" w:firstLineChars="0"/>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2.现有项目基本情况</w:t>
            </w:r>
          </w:p>
          <w:p w14:paraId="28FEA61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（1）建设内容及规模</w:t>
            </w:r>
          </w:p>
          <w:p w14:paraId="4C36B9D0">
            <w:pPr>
              <w:pStyle w:val="34"/>
              <w:rPr>
                <w:color w:val="000000" w:themeColor="text1"/>
                <w:highlight w:val="none"/>
                <w:lang w:eastAsia="zh-CN"/>
                <w14:textFill>
                  <w14:solidFill>
                    <w14:schemeClr w14:val="tx1"/>
                  </w14:solidFill>
                </w14:textFill>
              </w:rPr>
            </w:pPr>
            <w:r>
              <w:rPr>
                <w:rFonts w:hint="eastAsia" w:cs="Times New Roman"/>
                <w:highlight w:val="none"/>
                <w:lang w:eastAsia="zh-CN"/>
              </w:rPr>
              <w:t>云南海潮集团听牧肉牛产业股份有限公司</w:t>
            </w:r>
            <w:r>
              <w:rPr>
                <w:rFonts w:hint="eastAsia"/>
                <w:color w:val="000000" w:themeColor="text1"/>
                <w:kern w:val="0"/>
                <w:highlight w:val="none"/>
                <w:lang w:eastAsia="zh-CN" w:bidi="ar"/>
                <w14:textFill>
                  <w14:solidFill>
                    <w14:schemeClr w14:val="tx1"/>
                  </w14:solidFill>
                </w14:textFill>
              </w:rPr>
              <w:t>于2009年投资建设30000头/年肉牛屠宰项目，建成年屠宰3万头肉牛的机械化屠宰生产线1条，污水处理站、生活服务及综合大楼、仓储和保鲜区；2020年建设1万吨优质牛肉精深加工配送系统改建项目，新建一条10000吨/年优质牛肉精深加工生产线，配套建设冷链系统、可追溯系统、信息系统、销售系统及相应的公辅设施，形成年产牛肉10000吨的生产能力；</w:t>
            </w:r>
            <w:r>
              <w:rPr>
                <w:rFonts w:hint="eastAsia"/>
                <w:color w:val="000000" w:themeColor="text1"/>
                <w:highlight w:val="none"/>
                <w:lang w:eastAsia="zh-CN"/>
                <w14:textFill>
                  <w14:solidFill>
                    <w14:schemeClr w14:val="tx1"/>
                  </w14:solidFill>
                </w14:textFill>
              </w:rPr>
              <w:t>项目建设内容详见表2-</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eastAsia="zh-CN"/>
                <w14:textFill>
                  <w14:solidFill>
                    <w14:schemeClr w14:val="tx1"/>
                  </w14:solidFill>
                </w14:textFill>
              </w:rPr>
              <w:t>所示。</w:t>
            </w:r>
          </w:p>
          <w:p w14:paraId="6A834B42">
            <w:pPr>
              <w:pStyle w:val="30"/>
              <w:rPr>
                <w:rFonts w:hint="default"/>
                <w:highlight w:val="none"/>
              </w:rPr>
            </w:pPr>
            <w:r>
              <w:rPr>
                <w:highlight w:val="none"/>
              </w:rPr>
              <w:t>表2-</w:t>
            </w:r>
            <w:r>
              <w:rPr>
                <w:rFonts w:hint="eastAsia"/>
                <w:highlight w:val="none"/>
                <w:lang w:val="en-US" w:eastAsia="zh-CN"/>
              </w:rPr>
              <w:t>10</w:t>
            </w:r>
            <w:r>
              <w:rPr>
                <w:highlight w:val="none"/>
              </w:rPr>
              <w:t>现有项目建设内容一览表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667"/>
              <w:gridCol w:w="1961"/>
              <w:gridCol w:w="1667"/>
              <w:gridCol w:w="2149"/>
            </w:tblGrid>
            <w:tr w14:paraId="529F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tcBorders>
                    <w:top w:val="single" w:color="auto" w:sz="4" w:space="0"/>
                    <w:left w:val="single" w:color="auto" w:sz="4" w:space="0"/>
                    <w:bottom w:val="single" w:color="auto" w:sz="4" w:space="0"/>
                    <w:right w:val="single" w:color="auto" w:sz="4" w:space="0"/>
                  </w:tcBorders>
                  <w:vAlign w:val="center"/>
                </w:tcPr>
                <w:p w14:paraId="49EB15FE">
                  <w:pPr>
                    <w:pStyle w:val="28"/>
                    <w:rPr>
                      <w:b/>
                      <w:bCs/>
                      <w:highlight w:val="none"/>
                    </w:rPr>
                  </w:pPr>
                  <w:r>
                    <w:rPr>
                      <w:rFonts w:hint="eastAsia"/>
                      <w:b/>
                      <w:bCs/>
                      <w:highlight w:val="none"/>
                    </w:rPr>
                    <w:t>工程类别</w:t>
                  </w:r>
                </w:p>
              </w:tc>
              <w:tc>
                <w:tcPr>
                  <w:tcW w:w="997" w:type="pct"/>
                  <w:tcBorders>
                    <w:top w:val="single" w:color="auto" w:sz="4" w:space="0"/>
                    <w:left w:val="single" w:color="auto" w:sz="4" w:space="0"/>
                    <w:bottom w:val="single" w:color="auto" w:sz="4" w:space="0"/>
                    <w:right w:val="single" w:color="auto" w:sz="4" w:space="0"/>
                  </w:tcBorders>
                  <w:vAlign w:val="center"/>
                </w:tcPr>
                <w:p w14:paraId="5AB78425">
                  <w:pPr>
                    <w:pStyle w:val="28"/>
                    <w:rPr>
                      <w:b/>
                      <w:bCs/>
                      <w:highlight w:val="none"/>
                    </w:rPr>
                  </w:pPr>
                  <w:r>
                    <w:rPr>
                      <w:rFonts w:hint="eastAsia"/>
                      <w:b/>
                      <w:bCs/>
                      <w:highlight w:val="none"/>
                    </w:rPr>
                    <w:t>工程名称</w:t>
                  </w:r>
                </w:p>
              </w:tc>
              <w:tc>
                <w:tcPr>
                  <w:tcW w:w="1173" w:type="pct"/>
                  <w:tcBorders>
                    <w:top w:val="single" w:color="auto" w:sz="4" w:space="0"/>
                    <w:left w:val="single" w:color="auto" w:sz="4" w:space="0"/>
                    <w:bottom w:val="single" w:color="auto" w:sz="4" w:space="0"/>
                    <w:right w:val="single" w:color="auto" w:sz="4" w:space="0"/>
                  </w:tcBorders>
                  <w:vAlign w:val="center"/>
                </w:tcPr>
                <w:p w14:paraId="4D55553C">
                  <w:pPr>
                    <w:pStyle w:val="28"/>
                    <w:rPr>
                      <w:b/>
                      <w:bCs/>
                      <w:highlight w:val="none"/>
                    </w:rPr>
                  </w:pPr>
                  <w:r>
                    <w:rPr>
                      <w:rFonts w:hint="eastAsia"/>
                      <w:b/>
                      <w:bCs/>
                      <w:highlight w:val="none"/>
                    </w:rPr>
                    <w:t>建设规模（m</w:t>
                  </w:r>
                  <w:r>
                    <w:rPr>
                      <w:rFonts w:hint="eastAsia"/>
                      <w:b/>
                      <w:bCs/>
                      <w:highlight w:val="none"/>
                      <w:vertAlign w:val="superscript"/>
                    </w:rPr>
                    <w:t>2</w:t>
                  </w:r>
                  <w:r>
                    <w:rPr>
                      <w:rFonts w:hint="eastAsia"/>
                      <w:b/>
                      <w:bCs/>
                      <w:highlight w:val="none"/>
                    </w:rPr>
                    <w:t>）</w:t>
                  </w:r>
                </w:p>
              </w:tc>
              <w:tc>
                <w:tcPr>
                  <w:tcW w:w="2282" w:type="pct"/>
                  <w:gridSpan w:val="2"/>
                  <w:tcBorders>
                    <w:top w:val="single" w:color="auto" w:sz="4" w:space="0"/>
                    <w:left w:val="single" w:color="auto" w:sz="4" w:space="0"/>
                    <w:bottom w:val="single" w:color="auto" w:sz="4" w:space="0"/>
                    <w:right w:val="single" w:color="auto" w:sz="4" w:space="0"/>
                  </w:tcBorders>
                  <w:vAlign w:val="center"/>
                </w:tcPr>
                <w:p w14:paraId="5DB3B7CF">
                  <w:pPr>
                    <w:pStyle w:val="28"/>
                    <w:rPr>
                      <w:b/>
                      <w:bCs/>
                      <w:highlight w:val="none"/>
                    </w:rPr>
                  </w:pPr>
                  <w:r>
                    <w:rPr>
                      <w:rFonts w:hint="eastAsia"/>
                      <w:b/>
                      <w:bCs/>
                      <w:highlight w:val="none"/>
                    </w:rPr>
                    <w:t>备注</w:t>
                  </w:r>
                </w:p>
              </w:tc>
            </w:tr>
            <w:tr w14:paraId="327C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restart"/>
                  <w:tcBorders>
                    <w:top w:val="single" w:color="auto" w:sz="4" w:space="0"/>
                    <w:left w:val="single" w:color="auto" w:sz="4" w:space="0"/>
                    <w:right w:val="single" w:color="auto" w:sz="4" w:space="0"/>
                  </w:tcBorders>
                  <w:vAlign w:val="center"/>
                </w:tcPr>
                <w:p w14:paraId="4AD74F0F">
                  <w:pPr>
                    <w:pStyle w:val="28"/>
                    <w:rPr>
                      <w:highlight w:val="none"/>
                    </w:rPr>
                  </w:pPr>
                  <w:r>
                    <w:rPr>
                      <w:rFonts w:hint="eastAsia"/>
                      <w:highlight w:val="none"/>
                    </w:rPr>
                    <w:t>主体工程</w:t>
                  </w:r>
                </w:p>
              </w:tc>
              <w:tc>
                <w:tcPr>
                  <w:tcW w:w="997" w:type="pct"/>
                  <w:tcBorders>
                    <w:top w:val="single" w:color="auto" w:sz="4" w:space="0"/>
                    <w:left w:val="single" w:color="auto" w:sz="4" w:space="0"/>
                    <w:bottom w:val="single" w:color="auto" w:sz="4" w:space="0"/>
                    <w:right w:val="single" w:color="auto" w:sz="4" w:space="0"/>
                  </w:tcBorders>
                  <w:vAlign w:val="center"/>
                </w:tcPr>
                <w:p w14:paraId="4100BC8E">
                  <w:pPr>
                    <w:pStyle w:val="28"/>
                    <w:rPr>
                      <w:highlight w:val="none"/>
                    </w:rPr>
                  </w:pPr>
                  <w:r>
                    <w:rPr>
                      <w:rFonts w:hint="eastAsia"/>
                      <w:highlight w:val="none"/>
                    </w:rPr>
                    <w:t>临时待宰区</w:t>
                  </w:r>
                </w:p>
              </w:tc>
              <w:tc>
                <w:tcPr>
                  <w:tcW w:w="1173" w:type="pct"/>
                  <w:tcBorders>
                    <w:top w:val="single" w:color="auto" w:sz="4" w:space="0"/>
                    <w:left w:val="single" w:color="auto" w:sz="4" w:space="0"/>
                    <w:bottom w:val="single" w:color="auto" w:sz="4" w:space="0"/>
                    <w:right w:val="single" w:color="auto" w:sz="4" w:space="0"/>
                  </w:tcBorders>
                  <w:vAlign w:val="center"/>
                </w:tcPr>
                <w:p w14:paraId="544E5FB6">
                  <w:pPr>
                    <w:pStyle w:val="28"/>
                    <w:rPr>
                      <w:rFonts w:hint="default" w:eastAsia="宋体"/>
                      <w:highlight w:val="none"/>
                      <w:lang w:val="en-US" w:eastAsia="zh-CN"/>
                    </w:rPr>
                  </w:pPr>
                  <w:r>
                    <w:rPr>
                      <w:rFonts w:hint="eastAsia"/>
                      <w:highlight w:val="none"/>
                      <w:lang w:val="en-US" w:eastAsia="zh-CN"/>
                    </w:rPr>
                    <w:t>2200</w:t>
                  </w:r>
                </w:p>
              </w:tc>
              <w:tc>
                <w:tcPr>
                  <w:tcW w:w="997" w:type="pct"/>
                  <w:tcBorders>
                    <w:top w:val="single" w:color="auto" w:sz="4" w:space="0"/>
                    <w:left w:val="single" w:color="auto" w:sz="4" w:space="0"/>
                    <w:bottom w:val="single" w:color="auto" w:sz="4" w:space="0"/>
                    <w:right w:val="single" w:color="auto" w:sz="4" w:space="0"/>
                  </w:tcBorders>
                  <w:vAlign w:val="center"/>
                </w:tcPr>
                <w:p w14:paraId="5DBAB7EF">
                  <w:pPr>
                    <w:pStyle w:val="28"/>
                    <w:rPr>
                      <w:highlight w:val="none"/>
                    </w:rPr>
                  </w:pPr>
                  <w:r>
                    <w:rPr>
                      <w:rFonts w:hint="eastAsia"/>
                      <w:highlight w:val="none"/>
                    </w:rPr>
                    <w:t>钢结构</w:t>
                  </w:r>
                </w:p>
              </w:tc>
              <w:tc>
                <w:tcPr>
                  <w:tcW w:w="1284" w:type="pct"/>
                  <w:vMerge w:val="restart"/>
                  <w:tcBorders>
                    <w:top w:val="single" w:color="auto" w:sz="4" w:space="0"/>
                    <w:left w:val="single" w:color="auto" w:sz="4" w:space="0"/>
                    <w:right w:val="single" w:color="auto" w:sz="4" w:space="0"/>
                  </w:tcBorders>
                  <w:vAlign w:val="center"/>
                </w:tcPr>
                <w:p w14:paraId="5F2F3E77">
                  <w:pPr>
                    <w:pStyle w:val="28"/>
                    <w:rPr>
                      <w:highlight w:val="none"/>
                    </w:rPr>
                  </w:pPr>
                  <w:r>
                    <w:rPr>
                      <w:highlight w:val="none"/>
                    </w:rPr>
                    <w:t>30000头/年肉牛屠宰建设项目</w:t>
                  </w:r>
                </w:p>
              </w:tc>
            </w:tr>
            <w:tr w14:paraId="51B2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61888B28">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4E4F7B09">
                  <w:pPr>
                    <w:pStyle w:val="28"/>
                    <w:rPr>
                      <w:highlight w:val="none"/>
                    </w:rPr>
                  </w:pPr>
                  <w:r>
                    <w:rPr>
                      <w:rFonts w:hint="eastAsia"/>
                      <w:highlight w:val="none"/>
                    </w:rPr>
                    <w:t>屠宰区</w:t>
                  </w:r>
                </w:p>
              </w:tc>
              <w:tc>
                <w:tcPr>
                  <w:tcW w:w="1173" w:type="pct"/>
                  <w:tcBorders>
                    <w:top w:val="single" w:color="auto" w:sz="4" w:space="0"/>
                    <w:left w:val="single" w:color="auto" w:sz="4" w:space="0"/>
                    <w:bottom w:val="single" w:color="auto" w:sz="4" w:space="0"/>
                    <w:right w:val="single" w:color="auto" w:sz="4" w:space="0"/>
                  </w:tcBorders>
                  <w:vAlign w:val="center"/>
                </w:tcPr>
                <w:p w14:paraId="5A2FEBA0">
                  <w:pPr>
                    <w:pStyle w:val="28"/>
                    <w:rPr>
                      <w:highlight w:val="none"/>
                    </w:rPr>
                  </w:pPr>
                  <w:r>
                    <w:rPr>
                      <w:rFonts w:hint="eastAsia"/>
                      <w:highlight w:val="none"/>
                    </w:rPr>
                    <w:t>2600</w:t>
                  </w:r>
                </w:p>
              </w:tc>
              <w:tc>
                <w:tcPr>
                  <w:tcW w:w="997" w:type="pct"/>
                  <w:tcBorders>
                    <w:top w:val="single" w:color="auto" w:sz="4" w:space="0"/>
                    <w:left w:val="single" w:color="auto" w:sz="4" w:space="0"/>
                    <w:bottom w:val="single" w:color="auto" w:sz="4" w:space="0"/>
                    <w:right w:val="single" w:color="auto" w:sz="4" w:space="0"/>
                  </w:tcBorders>
                  <w:vAlign w:val="center"/>
                </w:tcPr>
                <w:p w14:paraId="7B6F2D6B">
                  <w:pPr>
                    <w:pStyle w:val="28"/>
                    <w:rPr>
                      <w:highlight w:val="none"/>
                    </w:rPr>
                  </w:pPr>
                  <w:r>
                    <w:rPr>
                      <w:rFonts w:hint="eastAsia"/>
                      <w:highlight w:val="none"/>
                    </w:rPr>
                    <w:t>钢结构</w:t>
                  </w:r>
                </w:p>
              </w:tc>
              <w:tc>
                <w:tcPr>
                  <w:tcW w:w="1284" w:type="pct"/>
                  <w:vMerge w:val="continue"/>
                  <w:tcBorders>
                    <w:left w:val="single" w:color="auto" w:sz="4" w:space="0"/>
                    <w:right w:val="single" w:color="auto" w:sz="4" w:space="0"/>
                  </w:tcBorders>
                  <w:vAlign w:val="center"/>
                </w:tcPr>
                <w:p w14:paraId="732E48F8">
                  <w:pPr>
                    <w:pStyle w:val="28"/>
                    <w:rPr>
                      <w:highlight w:val="none"/>
                    </w:rPr>
                  </w:pPr>
                </w:p>
              </w:tc>
            </w:tr>
            <w:tr w14:paraId="4065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40B0037F">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3B82E9EA">
                  <w:pPr>
                    <w:pStyle w:val="28"/>
                    <w:rPr>
                      <w:highlight w:val="none"/>
                    </w:rPr>
                  </w:pPr>
                  <w:r>
                    <w:rPr>
                      <w:rFonts w:hint="eastAsia"/>
                      <w:highlight w:val="none"/>
                    </w:rPr>
                    <w:t>仓储和保鲜区</w:t>
                  </w:r>
                </w:p>
              </w:tc>
              <w:tc>
                <w:tcPr>
                  <w:tcW w:w="1173" w:type="pct"/>
                  <w:tcBorders>
                    <w:top w:val="single" w:color="auto" w:sz="4" w:space="0"/>
                    <w:left w:val="single" w:color="auto" w:sz="4" w:space="0"/>
                    <w:bottom w:val="single" w:color="auto" w:sz="4" w:space="0"/>
                    <w:right w:val="single" w:color="auto" w:sz="4" w:space="0"/>
                  </w:tcBorders>
                  <w:vAlign w:val="center"/>
                </w:tcPr>
                <w:p w14:paraId="28549A7D">
                  <w:pPr>
                    <w:pStyle w:val="28"/>
                    <w:rPr>
                      <w:highlight w:val="none"/>
                    </w:rPr>
                  </w:pPr>
                  <w:r>
                    <w:rPr>
                      <w:rFonts w:hint="eastAsia"/>
                      <w:highlight w:val="none"/>
                    </w:rPr>
                    <w:t>1500</w:t>
                  </w:r>
                </w:p>
              </w:tc>
              <w:tc>
                <w:tcPr>
                  <w:tcW w:w="997" w:type="pct"/>
                  <w:tcBorders>
                    <w:top w:val="single" w:color="auto" w:sz="4" w:space="0"/>
                    <w:left w:val="single" w:color="auto" w:sz="4" w:space="0"/>
                    <w:bottom w:val="single" w:color="auto" w:sz="4" w:space="0"/>
                    <w:right w:val="single" w:color="auto" w:sz="4" w:space="0"/>
                  </w:tcBorders>
                  <w:vAlign w:val="center"/>
                </w:tcPr>
                <w:p w14:paraId="50B77724">
                  <w:pPr>
                    <w:pStyle w:val="28"/>
                    <w:rPr>
                      <w:highlight w:val="none"/>
                    </w:rPr>
                  </w:pPr>
                  <w:r>
                    <w:rPr>
                      <w:rFonts w:hint="eastAsia"/>
                      <w:highlight w:val="none"/>
                    </w:rPr>
                    <w:t>仓库</w:t>
                  </w:r>
                </w:p>
              </w:tc>
              <w:tc>
                <w:tcPr>
                  <w:tcW w:w="1284" w:type="pct"/>
                  <w:vMerge w:val="continue"/>
                  <w:tcBorders>
                    <w:left w:val="single" w:color="auto" w:sz="4" w:space="0"/>
                    <w:right w:val="single" w:color="auto" w:sz="4" w:space="0"/>
                  </w:tcBorders>
                  <w:vAlign w:val="center"/>
                </w:tcPr>
                <w:p w14:paraId="29626FBB">
                  <w:pPr>
                    <w:pStyle w:val="28"/>
                    <w:rPr>
                      <w:highlight w:val="none"/>
                    </w:rPr>
                  </w:pPr>
                </w:p>
              </w:tc>
            </w:tr>
            <w:tr w14:paraId="7AEA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61700EF1">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387CBC3A">
                  <w:pPr>
                    <w:pStyle w:val="28"/>
                    <w:rPr>
                      <w:rFonts w:hint="eastAsia" w:eastAsia="宋体"/>
                      <w:highlight w:val="none"/>
                      <w:lang w:val="en-US" w:eastAsia="zh-CN"/>
                    </w:rPr>
                  </w:pPr>
                  <w:r>
                    <w:rPr>
                      <w:rFonts w:hint="eastAsia"/>
                      <w:highlight w:val="none"/>
                      <w:lang w:val="en-US" w:eastAsia="zh-CN"/>
                    </w:rPr>
                    <w:t>青储料池</w:t>
                  </w:r>
                </w:p>
              </w:tc>
              <w:tc>
                <w:tcPr>
                  <w:tcW w:w="1173" w:type="pct"/>
                  <w:tcBorders>
                    <w:top w:val="single" w:color="auto" w:sz="4" w:space="0"/>
                    <w:left w:val="single" w:color="auto" w:sz="4" w:space="0"/>
                    <w:bottom w:val="single" w:color="auto" w:sz="4" w:space="0"/>
                    <w:right w:val="single" w:color="auto" w:sz="4" w:space="0"/>
                  </w:tcBorders>
                  <w:vAlign w:val="center"/>
                </w:tcPr>
                <w:p w14:paraId="27F34B9E">
                  <w:pPr>
                    <w:pStyle w:val="28"/>
                    <w:rPr>
                      <w:rFonts w:hint="default" w:eastAsia="宋体"/>
                      <w:highlight w:val="none"/>
                      <w:lang w:val="en-US" w:eastAsia="zh-CN"/>
                    </w:rPr>
                  </w:pPr>
                  <w:r>
                    <w:rPr>
                      <w:rFonts w:hint="eastAsia"/>
                      <w:highlight w:val="none"/>
                      <w:lang w:val="en-US" w:eastAsia="zh-CN"/>
                    </w:rPr>
                    <w:t>760</w:t>
                  </w:r>
                </w:p>
              </w:tc>
              <w:tc>
                <w:tcPr>
                  <w:tcW w:w="997" w:type="pct"/>
                  <w:tcBorders>
                    <w:top w:val="single" w:color="auto" w:sz="4" w:space="0"/>
                    <w:left w:val="single" w:color="auto" w:sz="4" w:space="0"/>
                    <w:bottom w:val="single" w:color="auto" w:sz="4" w:space="0"/>
                    <w:right w:val="single" w:color="auto" w:sz="4" w:space="0"/>
                  </w:tcBorders>
                  <w:vAlign w:val="center"/>
                </w:tcPr>
                <w:p w14:paraId="7A27B242">
                  <w:pPr>
                    <w:pStyle w:val="28"/>
                    <w:rPr>
                      <w:rFonts w:hint="eastAsia"/>
                      <w:highlight w:val="none"/>
                    </w:rPr>
                  </w:pPr>
                  <w:r>
                    <w:rPr>
                      <w:rFonts w:hint="eastAsia"/>
                      <w:highlight w:val="none"/>
                    </w:rPr>
                    <w:t>简易大棚</w:t>
                  </w:r>
                </w:p>
              </w:tc>
              <w:tc>
                <w:tcPr>
                  <w:tcW w:w="1284" w:type="pct"/>
                  <w:vMerge w:val="continue"/>
                  <w:tcBorders>
                    <w:left w:val="single" w:color="auto" w:sz="4" w:space="0"/>
                    <w:bottom w:val="single" w:color="auto" w:sz="4" w:space="0"/>
                    <w:right w:val="single" w:color="auto" w:sz="4" w:space="0"/>
                  </w:tcBorders>
                  <w:vAlign w:val="center"/>
                </w:tcPr>
                <w:p w14:paraId="0740562C">
                  <w:pPr>
                    <w:pStyle w:val="28"/>
                    <w:rPr>
                      <w:highlight w:val="none"/>
                    </w:rPr>
                  </w:pPr>
                </w:p>
              </w:tc>
            </w:tr>
            <w:tr w14:paraId="40DF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7C007989">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547F999D">
                  <w:pPr>
                    <w:pStyle w:val="28"/>
                    <w:rPr>
                      <w:highlight w:val="none"/>
                    </w:rPr>
                  </w:pPr>
                  <w:r>
                    <w:rPr>
                      <w:rFonts w:hint="eastAsia"/>
                      <w:highlight w:val="none"/>
                    </w:rPr>
                    <w:t>冷鲜肉加工车间</w:t>
                  </w:r>
                </w:p>
              </w:tc>
              <w:tc>
                <w:tcPr>
                  <w:tcW w:w="1173" w:type="pct"/>
                  <w:tcBorders>
                    <w:top w:val="single" w:color="auto" w:sz="4" w:space="0"/>
                    <w:left w:val="single" w:color="auto" w:sz="4" w:space="0"/>
                    <w:bottom w:val="single" w:color="auto" w:sz="4" w:space="0"/>
                    <w:right w:val="single" w:color="auto" w:sz="4" w:space="0"/>
                  </w:tcBorders>
                  <w:vAlign w:val="center"/>
                </w:tcPr>
                <w:p w14:paraId="3E34FA5F">
                  <w:pPr>
                    <w:pStyle w:val="28"/>
                    <w:rPr>
                      <w:highlight w:val="none"/>
                    </w:rPr>
                  </w:pPr>
                  <w:r>
                    <w:rPr>
                      <w:rFonts w:hint="eastAsia"/>
                      <w:highlight w:val="none"/>
                    </w:rPr>
                    <w:t>1980</w:t>
                  </w:r>
                </w:p>
              </w:tc>
              <w:tc>
                <w:tcPr>
                  <w:tcW w:w="997" w:type="pct"/>
                  <w:tcBorders>
                    <w:top w:val="single" w:color="auto" w:sz="4" w:space="0"/>
                    <w:left w:val="single" w:color="auto" w:sz="4" w:space="0"/>
                    <w:bottom w:val="single" w:color="auto" w:sz="4" w:space="0"/>
                    <w:right w:val="single" w:color="auto" w:sz="4" w:space="0"/>
                  </w:tcBorders>
                  <w:vAlign w:val="center"/>
                </w:tcPr>
                <w:p w14:paraId="1175E9ED">
                  <w:pPr>
                    <w:pStyle w:val="28"/>
                    <w:rPr>
                      <w:highlight w:val="none"/>
                    </w:rPr>
                  </w:pPr>
                  <w:r>
                    <w:rPr>
                      <w:rFonts w:hint="eastAsia"/>
                      <w:highlight w:val="none"/>
                    </w:rPr>
                    <w:t>/</w:t>
                  </w:r>
                </w:p>
              </w:tc>
              <w:tc>
                <w:tcPr>
                  <w:tcW w:w="1284" w:type="pct"/>
                  <w:vMerge w:val="restart"/>
                  <w:tcBorders>
                    <w:top w:val="single" w:color="auto" w:sz="4" w:space="0"/>
                    <w:left w:val="single" w:color="auto" w:sz="4" w:space="0"/>
                    <w:right w:val="single" w:color="auto" w:sz="4" w:space="0"/>
                  </w:tcBorders>
                  <w:vAlign w:val="center"/>
                </w:tcPr>
                <w:p w14:paraId="739BF3A6">
                  <w:pPr>
                    <w:pStyle w:val="28"/>
                    <w:rPr>
                      <w:highlight w:val="none"/>
                    </w:rPr>
                  </w:pPr>
                  <w:r>
                    <w:rPr>
                      <w:kern w:val="2"/>
                      <w:highlight w:val="none"/>
                    </w:rPr>
                    <w:t>10000吨/年优质牛肉精深加工配送系统改扩建项目</w:t>
                  </w:r>
                </w:p>
              </w:tc>
            </w:tr>
            <w:tr w14:paraId="22F3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4A71A9C4">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058AA0AB">
                  <w:pPr>
                    <w:pStyle w:val="28"/>
                    <w:rPr>
                      <w:highlight w:val="none"/>
                    </w:rPr>
                  </w:pPr>
                  <w:r>
                    <w:rPr>
                      <w:rFonts w:hint="eastAsia"/>
                      <w:highlight w:val="none"/>
                    </w:rPr>
                    <w:t>熟肉制品车间</w:t>
                  </w:r>
                </w:p>
              </w:tc>
              <w:tc>
                <w:tcPr>
                  <w:tcW w:w="1173" w:type="pct"/>
                  <w:tcBorders>
                    <w:top w:val="single" w:color="auto" w:sz="4" w:space="0"/>
                    <w:left w:val="single" w:color="auto" w:sz="4" w:space="0"/>
                    <w:bottom w:val="single" w:color="auto" w:sz="4" w:space="0"/>
                    <w:right w:val="single" w:color="auto" w:sz="4" w:space="0"/>
                  </w:tcBorders>
                  <w:vAlign w:val="center"/>
                </w:tcPr>
                <w:p w14:paraId="32427925">
                  <w:pPr>
                    <w:pStyle w:val="28"/>
                    <w:rPr>
                      <w:highlight w:val="none"/>
                    </w:rPr>
                  </w:pPr>
                  <w:r>
                    <w:rPr>
                      <w:rFonts w:hint="eastAsia"/>
                      <w:highlight w:val="none"/>
                    </w:rPr>
                    <w:t>1980</w:t>
                  </w:r>
                </w:p>
              </w:tc>
              <w:tc>
                <w:tcPr>
                  <w:tcW w:w="997" w:type="pct"/>
                  <w:tcBorders>
                    <w:top w:val="single" w:color="auto" w:sz="4" w:space="0"/>
                    <w:left w:val="single" w:color="auto" w:sz="4" w:space="0"/>
                    <w:bottom w:val="single" w:color="auto" w:sz="4" w:space="0"/>
                    <w:right w:val="single" w:color="auto" w:sz="4" w:space="0"/>
                  </w:tcBorders>
                  <w:vAlign w:val="center"/>
                </w:tcPr>
                <w:p w14:paraId="3B2E3CAF">
                  <w:pPr>
                    <w:pStyle w:val="28"/>
                    <w:rPr>
                      <w:highlight w:val="none"/>
                    </w:rPr>
                  </w:pPr>
                  <w:r>
                    <w:rPr>
                      <w:rFonts w:hint="eastAsia"/>
                      <w:highlight w:val="none"/>
                    </w:rPr>
                    <w:t>/</w:t>
                  </w:r>
                </w:p>
              </w:tc>
              <w:tc>
                <w:tcPr>
                  <w:tcW w:w="1284" w:type="pct"/>
                  <w:vMerge w:val="continue"/>
                  <w:tcBorders>
                    <w:left w:val="single" w:color="auto" w:sz="4" w:space="0"/>
                    <w:right w:val="single" w:color="auto" w:sz="4" w:space="0"/>
                  </w:tcBorders>
                  <w:vAlign w:val="center"/>
                </w:tcPr>
                <w:p w14:paraId="77DAE0E9">
                  <w:pPr>
                    <w:pStyle w:val="28"/>
                    <w:rPr>
                      <w:highlight w:val="none"/>
                    </w:rPr>
                  </w:pPr>
                </w:p>
              </w:tc>
            </w:tr>
            <w:tr w14:paraId="56DC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67357F10">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0A586C79">
                  <w:pPr>
                    <w:pStyle w:val="28"/>
                    <w:rPr>
                      <w:highlight w:val="none"/>
                    </w:rPr>
                  </w:pPr>
                  <w:r>
                    <w:rPr>
                      <w:rFonts w:hint="eastAsia"/>
                      <w:highlight w:val="none"/>
                    </w:rPr>
                    <w:t>冷链系统</w:t>
                  </w:r>
                </w:p>
              </w:tc>
              <w:tc>
                <w:tcPr>
                  <w:tcW w:w="1173" w:type="pct"/>
                  <w:tcBorders>
                    <w:top w:val="single" w:color="auto" w:sz="4" w:space="0"/>
                    <w:left w:val="single" w:color="auto" w:sz="4" w:space="0"/>
                    <w:bottom w:val="single" w:color="auto" w:sz="4" w:space="0"/>
                    <w:right w:val="single" w:color="auto" w:sz="4" w:space="0"/>
                  </w:tcBorders>
                  <w:vAlign w:val="center"/>
                </w:tcPr>
                <w:p w14:paraId="7D460165">
                  <w:pPr>
                    <w:pStyle w:val="28"/>
                    <w:rPr>
                      <w:highlight w:val="none"/>
                    </w:rPr>
                  </w:pPr>
                  <w:r>
                    <w:rPr>
                      <w:rFonts w:hint="eastAsia"/>
                      <w:highlight w:val="none"/>
                    </w:rPr>
                    <w:t>200</w:t>
                  </w:r>
                </w:p>
              </w:tc>
              <w:tc>
                <w:tcPr>
                  <w:tcW w:w="997" w:type="pct"/>
                  <w:tcBorders>
                    <w:top w:val="single" w:color="auto" w:sz="4" w:space="0"/>
                    <w:left w:val="single" w:color="auto" w:sz="4" w:space="0"/>
                    <w:bottom w:val="single" w:color="auto" w:sz="4" w:space="0"/>
                    <w:right w:val="single" w:color="auto" w:sz="4" w:space="0"/>
                  </w:tcBorders>
                  <w:vAlign w:val="center"/>
                </w:tcPr>
                <w:p w14:paraId="01B07CAD">
                  <w:pPr>
                    <w:pStyle w:val="28"/>
                    <w:rPr>
                      <w:highlight w:val="none"/>
                    </w:rPr>
                  </w:pPr>
                  <w:r>
                    <w:rPr>
                      <w:rFonts w:hint="eastAsia"/>
                      <w:highlight w:val="none"/>
                    </w:rPr>
                    <w:t>在昆明租用冷库，进行中转</w:t>
                  </w:r>
                </w:p>
              </w:tc>
              <w:tc>
                <w:tcPr>
                  <w:tcW w:w="1284" w:type="pct"/>
                  <w:vMerge w:val="continue"/>
                  <w:tcBorders>
                    <w:left w:val="single" w:color="auto" w:sz="4" w:space="0"/>
                    <w:bottom w:val="single" w:color="auto" w:sz="4" w:space="0"/>
                    <w:right w:val="single" w:color="auto" w:sz="4" w:space="0"/>
                  </w:tcBorders>
                  <w:vAlign w:val="center"/>
                </w:tcPr>
                <w:p w14:paraId="6AABAB6C">
                  <w:pPr>
                    <w:pStyle w:val="28"/>
                    <w:rPr>
                      <w:highlight w:val="none"/>
                    </w:rPr>
                  </w:pPr>
                </w:p>
              </w:tc>
            </w:tr>
            <w:tr w14:paraId="5699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5A78415B">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52702716">
                  <w:pPr>
                    <w:pStyle w:val="28"/>
                    <w:rPr>
                      <w:highlight w:val="none"/>
                    </w:rPr>
                  </w:pPr>
                  <w:r>
                    <w:rPr>
                      <w:rFonts w:hint="eastAsia"/>
                      <w:highlight w:val="none"/>
                    </w:rPr>
                    <w:t>牛待宰区</w:t>
                  </w:r>
                </w:p>
              </w:tc>
              <w:tc>
                <w:tcPr>
                  <w:tcW w:w="1173" w:type="pct"/>
                  <w:tcBorders>
                    <w:top w:val="single" w:color="auto" w:sz="4" w:space="0"/>
                    <w:left w:val="single" w:color="auto" w:sz="4" w:space="0"/>
                    <w:bottom w:val="single" w:color="auto" w:sz="4" w:space="0"/>
                    <w:right w:val="single" w:color="auto" w:sz="4" w:space="0"/>
                  </w:tcBorders>
                  <w:vAlign w:val="center"/>
                </w:tcPr>
                <w:p w14:paraId="33984777">
                  <w:pPr>
                    <w:pStyle w:val="28"/>
                    <w:rPr>
                      <w:highlight w:val="none"/>
                    </w:rPr>
                  </w:pPr>
                  <w:r>
                    <w:rPr>
                      <w:rFonts w:hint="eastAsia"/>
                      <w:highlight w:val="none"/>
                    </w:rPr>
                    <w:t>2000</w:t>
                  </w:r>
                </w:p>
              </w:tc>
              <w:tc>
                <w:tcPr>
                  <w:tcW w:w="997" w:type="pct"/>
                  <w:tcBorders>
                    <w:top w:val="single" w:color="auto" w:sz="4" w:space="0"/>
                    <w:left w:val="single" w:color="auto" w:sz="4" w:space="0"/>
                    <w:bottom w:val="single" w:color="auto" w:sz="4" w:space="0"/>
                    <w:right w:val="single" w:color="auto" w:sz="4" w:space="0"/>
                  </w:tcBorders>
                  <w:vAlign w:val="center"/>
                </w:tcPr>
                <w:p w14:paraId="73FA7D37">
                  <w:pPr>
                    <w:pStyle w:val="28"/>
                    <w:rPr>
                      <w:highlight w:val="none"/>
                    </w:rPr>
                  </w:pPr>
                  <w:r>
                    <w:rPr>
                      <w:rFonts w:hint="eastAsia"/>
                      <w:highlight w:val="none"/>
                    </w:rPr>
                    <w:t>简易大棚</w:t>
                  </w:r>
                </w:p>
              </w:tc>
              <w:tc>
                <w:tcPr>
                  <w:tcW w:w="1284" w:type="pct"/>
                  <w:tcBorders>
                    <w:left w:val="single" w:color="auto" w:sz="4" w:space="0"/>
                    <w:bottom w:val="single" w:color="auto" w:sz="4" w:space="0"/>
                    <w:right w:val="single" w:color="auto" w:sz="4" w:space="0"/>
                  </w:tcBorders>
                  <w:vAlign w:val="center"/>
                </w:tcPr>
                <w:p w14:paraId="6BA290C7">
                  <w:pPr>
                    <w:pStyle w:val="28"/>
                    <w:rPr>
                      <w:highlight w:val="none"/>
                    </w:rPr>
                  </w:pPr>
                  <w:r>
                    <w:rPr>
                      <w:rFonts w:hint="eastAsia"/>
                      <w:highlight w:val="none"/>
                    </w:rPr>
                    <w:t>根据实际生产需求2007年底建成</w:t>
                  </w:r>
                </w:p>
              </w:tc>
            </w:tr>
            <w:tr w14:paraId="1B76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48CAD68B">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28956AC3">
                  <w:pPr>
                    <w:pStyle w:val="28"/>
                    <w:rPr>
                      <w:highlight w:val="none"/>
                    </w:rPr>
                  </w:pPr>
                  <w:r>
                    <w:rPr>
                      <w:rFonts w:hint="eastAsia"/>
                      <w:highlight w:val="none"/>
                    </w:rPr>
                    <w:t>牛待宰区</w:t>
                  </w:r>
                </w:p>
              </w:tc>
              <w:tc>
                <w:tcPr>
                  <w:tcW w:w="1173" w:type="pct"/>
                  <w:tcBorders>
                    <w:top w:val="single" w:color="auto" w:sz="4" w:space="0"/>
                    <w:left w:val="single" w:color="auto" w:sz="4" w:space="0"/>
                    <w:bottom w:val="single" w:color="auto" w:sz="4" w:space="0"/>
                    <w:right w:val="single" w:color="auto" w:sz="4" w:space="0"/>
                  </w:tcBorders>
                  <w:vAlign w:val="center"/>
                </w:tcPr>
                <w:p w14:paraId="072D93A2">
                  <w:pPr>
                    <w:pStyle w:val="28"/>
                    <w:rPr>
                      <w:highlight w:val="none"/>
                    </w:rPr>
                  </w:pPr>
                  <w:r>
                    <w:rPr>
                      <w:rFonts w:hint="eastAsia"/>
                      <w:highlight w:val="none"/>
                    </w:rPr>
                    <w:t>2400</w:t>
                  </w:r>
                </w:p>
              </w:tc>
              <w:tc>
                <w:tcPr>
                  <w:tcW w:w="997" w:type="pct"/>
                  <w:tcBorders>
                    <w:top w:val="single" w:color="auto" w:sz="4" w:space="0"/>
                    <w:left w:val="single" w:color="auto" w:sz="4" w:space="0"/>
                    <w:bottom w:val="single" w:color="auto" w:sz="4" w:space="0"/>
                    <w:right w:val="single" w:color="auto" w:sz="4" w:space="0"/>
                  </w:tcBorders>
                  <w:vAlign w:val="center"/>
                </w:tcPr>
                <w:p w14:paraId="7A856AB1">
                  <w:pPr>
                    <w:pStyle w:val="28"/>
                    <w:rPr>
                      <w:highlight w:val="none"/>
                    </w:rPr>
                  </w:pPr>
                  <w:r>
                    <w:rPr>
                      <w:rFonts w:hint="eastAsia"/>
                      <w:highlight w:val="none"/>
                    </w:rPr>
                    <w:t>简易大棚</w:t>
                  </w:r>
                </w:p>
              </w:tc>
              <w:tc>
                <w:tcPr>
                  <w:tcW w:w="1284" w:type="pct"/>
                  <w:tcBorders>
                    <w:left w:val="single" w:color="auto" w:sz="4" w:space="0"/>
                    <w:bottom w:val="single" w:color="auto" w:sz="4" w:space="0"/>
                    <w:right w:val="single" w:color="auto" w:sz="4" w:space="0"/>
                  </w:tcBorders>
                  <w:vAlign w:val="center"/>
                </w:tcPr>
                <w:p w14:paraId="6B5AF505">
                  <w:pPr>
                    <w:pStyle w:val="28"/>
                    <w:rPr>
                      <w:highlight w:val="none"/>
                    </w:rPr>
                  </w:pPr>
                  <w:r>
                    <w:rPr>
                      <w:rFonts w:hint="eastAsia"/>
                      <w:highlight w:val="none"/>
                    </w:rPr>
                    <w:t>根据实际生产需求2014年7月底建成</w:t>
                  </w:r>
                </w:p>
              </w:tc>
            </w:tr>
            <w:tr w14:paraId="3117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bottom w:val="single" w:color="auto" w:sz="4" w:space="0"/>
                    <w:right w:val="single" w:color="auto" w:sz="4" w:space="0"/>
                  </w:tcBorders>
                  <w:vAlign w:val="center"/>
                </w:tcPr>
                <w:p w14:paraId="3353CB89">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30B4032A">
                  <w:pPr>
                    <w:pStyle w:val="28"/>
                    <w:rPr>
                      <w:highlight w:val="none"/>
                    </w:rPr>
                  </w:pPr>
                  <w:r>
                    <w:rPr>
                      <w:rFonts w:hint="eastAsia"/>
                      <w:highlight w:val="none"/>
                    </w:rPr>
                    <w:t>蔬菜冷库</w:t>
                  </w:r>
                </w:p>
              </w:tc>
              <w:tc>
                <w:tcPr>
                  <w:tcW w:w="1173" w:type="pct"/>
                  <w:tcBorders>
                    <w:top w:val="single" w:color="auto" w:sz="4" w:space="0"/>
                    <w:left w:val="single" w:color="auto" w:sz="4" w:space="0"/>
                    <w:bottom w:val="single" w:color="auto" w:sz="4" w:space="0"/>
                    <w:right w:val="single" w:color="auto" w:sz="4" w:space="0"/>
                  </w:tcBorders>
                  <w:vAlign w:val="center"/>
                </w:tcPr>
                <w:p w14:paraId="04EA252C">
                  <w:pPr>
                    <w:pStyle w:val="28"/>
                    <w:rPr>
                      <w:highlight w:val="none"/>
                    </w:rPr>
                  </w:pPr>
                  <w:r>
                    <w:rPr>
                      <w:rFonts w:hint="eastAsia"/>
                      <w:highlight w:val="none"/>
                    </w:rPr>
                    <w:t>7000</w:t>
                  </w:r>
                </w:p>
              </w:tc>
              <w:tc>
                <w:tcPr>
                  <w:tcW w:w="997" w:type="pct"/>
                  <w:tcBorders>
                    <w:top w:val="single" w:color="auto" w:sz="4" w:space="0"/>
                    <w:left w:val="single" w:color="auto" w:sz="4" w:space="0"/>
                    <w:bottom w:val="single" w:color="auto" w:sz="4" w:space="0"/>
                    <w:right w:val="single" w:color="auto" w:sz="4" w:space="0"/>
                  </w:tcBorders>
                  <w:vAlign w:val="center"/>
                </w:tcPr>
                <w:p w14:paraId="25A0C454">
                  <w:pPr>
                    <w:pStyle w:val="28"/>
                    <w:rPr>
                      <w:highlight w:val="none"/>
                    </w:rPr>
                  </w:pPr>
                  <w:r>
                    <w:rPr>
                      <w:rFonts w:hint="eastAsia"/>
                      <w:highlight w:val="none"/>
                    </w:rPr>
                    <w:t>仓库</w:t>
                  </w:r>
                </w:p>
              </w:tc>
              <w:tc>
                <w:tcPr>
                  <w:tcW w:w="1284" w:type="pct"/>
                  <w:tcBorders>
                    <w:left w:val="single" w:color="auto" w:sz="4" w:space="0"/>
                    <w:bottom w:val="single" w:color="auto" w:sz="4" w:space="0"/>
                    <w:right w:val="single" w:color="auto" w:sz="4" w:space="0"/>
                  </w:tcBorders>
                  <w:vAlign w:val="center"/>
                </w:tcPr>
                <w:p w14:paraId="23989EF6">
                  <w:pPr>
                    <w:pStyle w:val="28"/>
                    <w:rPr>
                      <w:highlight w:val="none"/>
                    </w:rPr>
                  </w:pPr>
                  <w:r>
                    <w:rPr>
                      <w:rFonts w:hint="eastAsia"/>
                      <w:highlight w:val="none"/>
                    </w:rPr>
                    <w:t>根据实际生产需求2016年底建成</w:t>
                  </w:r>
                </w:p>
              </w:tc>
            </w:tr>
            <w:tr w14:paraId="044A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restart"/>
                  <w:tcBorders>
                    <w:left w:val="single" w:color="auto" w:sz="4" w:space="0"/>
                    <w:right w:val="single" w:color="auto" w:sz="4" w:space="0"/>
                  </w:tcBorders>
                  <w:vAlign w:val="center"/>
                </w:tcPr>
                <w:p w14:paraId="5D1BFF32">
                  <w:pPr>
                    <w:pStyle w:val="28"/>
                    <w:rPr>
                      <w:highlight w:val="none"/>
                    </w:rPr>
                  </w:pPr>
                  <w:r>
                    <w:rPr>
                      <w:rFonts w:hint="eastAsia"/>
                      <w:highlight w:val="none"/>
                    </w:rPr>
                    <w:t>辅助工程</w:t>
                  </w:r>
                </w:p>
              </w:tc>
              <w:tc>
                <w:tcPr>
                  <w:tcW w:w="997" w:type="pct"/>
                  <w:tcBorders>
                    <w:top w:val="single" w:color="auto" w:sz="4" w:space="0"/>
                    <w:left w:val="single" w:color="auto" w:sz="4" w:space="0"/>
                    <w:bottom w:val="single" w:color="auto" w:sz="4" w:space="0"/>
                    <w:right w:val="single" w:color="auto" w:sz="4" w:space="0"/>
                  </w:tcBorders>
                  <w:vAlign w:val="center"/>
                </w:tcPr>
                <w:p w14:paraId="1619FAC8">
                  <w:pPr>
                    <w:pStyle w:val="28"/>
                    <w:rPr>
                      <w:highlight w:val="none"/>
                    </w:rPr>
                  </w:pPr>
                  <w:r>
                    <w:rPr>
                      <w:rFonts w:hint="eastAsia"/>
                      <w:highlight w:val="none"/>
                    </w:rPr>
                    <w:t>生活服务及综合大楼</w:t>
                  </w:r>
                </w:p>
              </w:tc>
              <w:tc>
                <w:tcPr>
                  <w:tcW w:w="1173" w:type="pct"/>
                  <w:tcBorders>
                    <w:top w:val="single" w:color="auto" w:sz="4" w:space="0"/>
                    <w:left w:val="single" w:color="auto" w:sz="4" w:space="0"/>
                    <w:bottom w:val="single" w:color="auto" w:sz="4" w:space="0"/>
                    <w:right w:val="single" w:color="auto" w:sz="4" w:space="0"/>
                  </w:tcBorders>
                  <w:vAlign w:val="center"/>
                </w:tcPr>
                <w:p w14:paraId="7DB6876B">
                  <w:pPr>
                    <w:pStyle w:val="28"/>
                    <w:rPr>
                      <w:highlight w:val="none"/>
                    </w:rPr>
                  </w:pPr>
                  <w:r>
                    <w:rPr>
                      <w:rFonts w:hint="eastAsia"/>
                      <w:highlight w:val="none"/>
                    </w:rPr>
                    <w:t>5000</w:t>
                  </w:r>
                </w:p>
              </w:tc>
              <w:tc>
                <w:tcPr>
                  <w:tcW w:w="997" w:type="pct"/>
                  <w:tcBorders>
                    <w:top w:val="single" w:color="auto" w:sz="4" w:space="0"/>
                    <w:left w:val="single" w:color="auto" w:sz="4" w:space="0"/>
                    <w:bottom w:val="single" w:color="auto" w:sz="4" w:space="0"/>
                    <w:right w:val="single" w:color="auto" w:sz="4" w:space="0"/>
                  </w:tcBorders>
                  <w:vAlign w:val="center"/>
                </w:tcPr>
                <w:p w14:paraId="5E761FFC">
                  <w:pPr>
                    <w:pStyle w:val="28"/>
                    <w:rPr>
                      <w:highlight w:val="none"/>
                    </w:rPr>
                  </w:pPr>
                  <w:r>
                    <w:rPr>
                      <w:rFonts w:hint="eastAsia"/>
                      <w:highlight w:val="none"/>
                    </w:rPr>
                    <w:t>/</w:t>
                  </w:r>
                </w:p>
              </w:tc>
              <w:tc>
                <w:tcPr>
                  <w:tcW w:w="1284" w:type="pct"/>
                  <w:vMerge w:val="restart"/>
                  <w:tcBorders>
                    <w:top w:val="single" w:color="auto" w:sz="4" w:space="0"/>
                    <w:left w:val="single" w:color="auto" w:sz="4" w:space="0"/>
                    <w:right w:val="single" w:color="auto" w:sz="4" w:space="0"/>
                  </w:tcBorders>
                  <w:vAlign w:val="center"/>
                </w:tcPr>
                <w:p w14:paraId="74B5FA29">
                  <w:pPr>
                    <w:pStyle w:val="28"/>
                    <w:rPr>
                      <w:highlight w:val="none"/>
                    </w:rPr>
                  </w:pPr>
                  <w:r>
                    <w:rPr>
                      <w:highlight w:val="none"/>
                    </w:rPr>
                    <w:t>30000头/年肉牛屠宰建设项目</w:t>
                  </w:r>
                </w:p>
              </w:tc>
            </w:tr>
            <w:tr w14:paraId="0777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46C61C24">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39327B07">
                  <w:pPr>
                    <w:pStyle w:val="28"/>
                    <w:rPr>
                      <w:highlight w:val="none"/>
                    </w:rPr>
                  </w:pPr>
                  <w:r>
                    <w:rPr>
                      <w:rFonts w:hint="eastAsia"/>
                      <w:highlight w:val="none"/>
                    </w:rPr>
                    <w:t>污水、污物处理区</w:t>
                  </w:r>
                </w:p>
              </w:tc>
              <w:tc>
                <w:tcPr>
                  <w:tcW w:w="1173" w:type="pct"/>
                  <w:tcBorders>
                    <w:top w:val="single" w:color="auto" w:sz="4" w:space="0"/>
                    <w:left w:val="single" w:color="auto" w:sz="4" w:space="0"/>
                    <w:bottom w:val="single" w:color="auto" w:sz="4" w:space="0"/>
                    <w:right w:val="single" w:color="auto" w:sz="4" w:space="0"/>
                  </w:tcBorders>
                  <w:vAlign w:val="center"/>
                </w:tcPr>
                <w:p w14:paraId="60A68F3C">
                  <w:pPr>
                    <w:pStyle w:val="28"/>
                    <w:rPr>
                      <w:highlight w:val="none"/>
                    </w:rPr>
                  </w:pPr>
                  <w:r>
                    <w:rPr>
                      <w:rFonts w:hint="eastAsia"/>
                      <w:highlight w:val="none"/>
                    </w:rPr>
                    <w:t>4000</w:t>
                  </w:r>
                </w:p>
              </w:tc>
              <w:tc>
                <w:tcPr>
                  <w:tcW w:w="997" w:type="pct"/>
                  <w:tcBorders>
                    <w:top w:val="single" w:color="auto" w:sz="4" w:space="0"/>
                    <w:left w:val="single" w:color="auto" w:sz="4" w:space="0"/>
                    <w:bottom w:val="single" w:color="auto" w:sz="4" w:space="0"/>
                    <w:right w:val="single" w:color="auto" w:sz="4" w:space="0"/>
                  </w:tcBorders>
                  <w:vAlign w:val="center"/>
                </w:tcPr>
                <w:p w14:paraId="70D1ECE0">
                  <w:pPr>
                    <w:pStyle w:val="28"/>
                    <w:rPr>
                      <w:highlight w:val="none"/>
                    </w:rPr>
                  </w:pPr>
                  <w:r>
                    <w:rPr>
                      <w:rFonts w:hint="eastAsia"/>
                      <w:highlight w:val="none"/>
                    </w:rPr>
                    <w:t>/</w:t>
                  </w:r>
                </w:p>
              </w:tc>
              <w:tc>
                <w:tcPr>
                  <w:tcW w:w="1284" w:type="pct"/>
                  <w:vMerge w:val="continue"/>
                  <w:tcBorders>
                    <w:left w:val="single" w:color="auto" w:sz="4" w:space="0"/>
                    <w:bottom w:val="single" w:color="auto" w:sz="4" w:space="0"/>
                    <w:right w:val="single" w:color="auto" w:sz="4" w:space="0"/>
                  </w:tcBorders>
                  <w:vAlign w:val="center"/>
                </w:tcPr>
                <w:p w14:paraId="407945C9">
                  <w:pPr>
                    <w:pStyle w:val="28"/>
                    <w:rPr>
                      <w:highlight w:val="none"/>
                    </w:rPr>
                  </w:pPr>
                </w:p>
              </w:tc>
            </w:tr>
            <w:tr w14:paraId="10D7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7C2C9551">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5569344B">
                  <w:pPr>
                    <w:pStyle w:val="28"/>
                    <w:rPr>
                      <w:highlight w:val="none"/>
                    </w:rPr>
                  </w:pPr>
                  <w:r>
                    <w:rPr>
                      <w:rFonts w:hint="eastAsia"/>
                      <w:highlight w:val="none"/>
                    </w:rPr>
                    <w:t>停车场绿化</w:t>
                  </w:r>
                </w:p>
              </w:tc>
              <w:tc>
                <w:tcPr>
                  <w:tcW w:w="1173" w:type="pct"/>
                  <w:tcBorders>
                    <w:top w:val="single" w:color="auto" w:sz="4" w:space="0"/>
                    <w:left w:val="single" w:color="auto" w:sz="4" w:space="0"/>
                    <w:bottom w:val="single" w:color="auto" w:sz="4" w:space="0"/>
                    <w:right w:val="single" w:color="auto" w:sz="4" w:space="0"/>
                  </w:tcBorders>
                  <w:vAlign w:val="center"/>
                </w:tcPr>
                <w:p w14:paraId="4008026E">
                  <w:pPr>
                    <w:pStyle w:val="28"/>
                    <w:rPr>
                      <w:highlight w:val="none"/>
                    </w:rPr>
                  </w:pPr>
                  <w:r>
                    <w:rPr>
                      <w:rFonts w:hint="eastAsia"/>
                      <w:highlight w:val="none"/>
                    </w:rPr>
                    <w:t>5000</w:t>
                  </w:r>
                </w:p>
              </w:tc>
              <w:tc>
                <w:tcPr>
                  <w:tcW w:w="997" w:type="pct"/>
                  <w:tcBorders>
                    <w:top w:val="single" w:color="auto" w:sz="4" w:space="0"/>
                    <w:left w:val="single" w:color="auto" w:sz="4" w:space="0"/>
                    <w:bottom w:val="single" w:color="auto" w:sz="4" w:space="0"/>
                    <w:right w:val="single" w:color="auto" w:sz="4" w:space="0"/>
                  </w:tcBorders>
                  <w:vAlign w:val="center"/>
                </w:tcPr>
                <w:p w14:paraId="0E51FFFE">
                  <w:pPr>
                    <w:pStyle w:val="28"/>
                    <w:rPr>
                      <w:highlight w:val="none"/>
                    </w:rPr>
                  </w:pPr>
                  <w:r>
                    <w:rPr>
                      <w:rFonts w:hint="eastAsia"/>
                      <w:highlight w:val="none"/>
                    </w:rPr>
                    <w:t>/</w:t>
                  </w:r>
                </w:p>
              </w:tc>
              <w:tc>
                <w:tcPr>
                  <w:tcW w:w="1284" w:type="pct"/>
                  <w:tcBorders>
                    <w:top w:val="single" w:color="auto" w:sz="4" w:space="0"/>
                    <w:left w:val="single" w:color="auto" w:sz="4" w:space="0"/>
                    <w:bottom w:val="single" w:color="auto" w:sz="4" w:space="0"/>
                    <w:right w:val="single" w:color="auto" w:sz="4" w:space="0"/>
                  </w:tcBorders>
                  <w:vAlign w:val="center"/>
                </w:tcPr>
                <w:p w14:paraId="7AD6786E">
                  <w:pPr>
                    <w:pStyle w:val="28"/>
                    <w:rPr>
                      <w:highlight w:val="none"/>
                    </w:rPr>
                  </w:pPr>
                  <w:r>
                    <w:rPr>
                      <w:rFonts w:hint="eastAsia"/>
                      <w:highlight w:val="none"/>
                    </w:rPr>
                    <w:t>/</w:t>
                  </w:r>
                </w:p>
              </w:tc>
            </w:tr>
            <w:tr w14:paraId="68C2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243097F9">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7742ECF1">
                  <w:pPr>
                    <w:pStyle w:val="28"/>
                    <w:rPr>
                      <w:highlight w:val="none"/>
                    </w:rPr>
                  </w:pPr>
                  <w:r>
                    <w:rPr>
                      <w:rFonts w:hint="eastAsia"/>
                      <w:highlight w:val="none"/>
                    </w:rPr>
                    <w:t>停车场</w:t>
                  </w:r>
                </w:p>
              </w:tc>
              <w:tc>
                <w:tcPr>
                  <w:tcW w:w="1173" w:type="pct"/>
                  <w:tcBorders>
                    <w:top w:val="single" w:color="auto" w:sz="4" w:space="0"/>
                    <w:left w:val="single" w:color="auto" w:sz="4" w:space="0"/>
                    <w:bottom w:val="single" w:color="auto" w:sz="4" w:space="0"/>
                    <w:right w:val="single" w:color="auto" w:sz="4" w:space="0"/>
                  </w:tcBorders>
                  <w:vAlign w:val="center"/>
                </w:tcPr>
                <w:p w14:paraId="5D88D050">
                  <w:pPr>
                    <w:pStyle w:val="28"/>
                    <w:rPr>
                      <w:highlight w:val="none"/>
                    </w:rPr>
                  </w:pPr>
                  <w:r>
                    <w:rPr>
                      <w:rFonts w:hint="eastAsia"/>
                      <w:highlight w:val="none"/>
                    </w:rPr>
                    <w:t>4200</w:t>
                  </w:r>
                </w:p>
              </w:tc>
              <w:tc>
                <w:tcPr>
                  <w:tcW w:w="997" w:type="pct"/>
                  <w:tcBorders>
                    <w:top w:val="single" w:color="auto" w:sz="4" w:space="0"/>
                    <w:left w:val="single" w:color="auto" w:sz="4" w:space="0"/>
                    <w:bottom w:val="single" w:color="auto" w:sz="4" w:space="0"/>
                    <w:right w:val="single" w:color="auto" w:sz="4" w:space="0"/>
                  </w:tcBorders>
                  <w:vAlign w:val="center"/>
                </w:tcPr>
                <w:p w14:paraId="64AC6327">
                  <w:pPr>
                    <w:pStyle w:val="28"/>
                    <w:rPr>
                      <w:highlight w:val="none"/>
                    </w:rPr>
                  </w:pPr>
                  <w:r>
                    <w:rPr>
                      <w:rFonts w:hint="eastAsia"/>
                      <w:highlight w:val="none"/>
                    </w:rPr>
                    <w:t>/</w:t>
                  </w:r>
                </w:p>
              </w:tc>
              <w:tc>
                <w:tcPr>
                  <w:tcW w:w="1284" w:type="pct"/>
                  <w:tcBorders>
                    <w:top w:val="single" w:color="auto" w:sz="4" w:space="0"/>
                    <w:left w:val="single" w:color="auto" w:sz="4" w:space="0"/>
                    <w:bottom w:val="single" w:color="auto" w:sz="4" w:space="0"/>
                    <w:right w:val="single" w:color="auto" w:sz="4" w:space="0"/>
                  </w:tcBorders>
                  <w:vAlign w:val="center"/>
                </w:tcPr>
                <w:p w14:paraId="4464C40E">
                  <w:pPr>
                    <w:pStyle w:val="28"/>
                    <w:rPr>
                      <w:highlight w:val="none"/>
                    </w:rPr>
                  </w:pPr>
                  <w:r>
                    <w:rPr>
                      <w:rFonts w:hint="eastAsia"/>
                      <w:highlight w:val="none"/>
                    </w:rPr>
                    <w:t>/</w:t>
                  </w:r>
                </w:p>
              </w:tc>
            </w:tr>
            <w:tr w14:paraId="35C0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7D6D0BF8">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5B7131D6">
                  <w:pPr>
                    <w:pStyle w:val="28"/>
                    <w:rPr>
                      <w:highlight w:val="none"/>
                    </w:rPr>
                  </w:pPr>
                  <w:r>
                    <w:rPr>
                      <w:rFonts w:hint="eastAsia"/>
                      <w:highlight w:val="none"/>
                    </w:rPr>
                    <w:t>绿化</w:t>
                  </w:r>
                </w:p>
              </w:tc>
              <w:tc>
                <w:tcPr>
                  <w:tcW w:w="1173" w:type="pct"/>
                  <w:tcBorders>
                    <w:top w:val="single" w:color="auto" w:sz="4" w:space="0"/>
                    <w:left w:val="single" w:color="auto" w:sz="4" w:space="0"/>
                    <w:bottom w:val="single" w:color="auto" w:sz="4" w:space="0"/>
                    <w:right w:val="single" w:color="auto" w:sz="4" w:space="0"/>
                  </w:tcBorders>
                  <w:vAlign w:val="center"/>
                </w:tcPr>
                <w:p w14:paraId="2091CB9E">
                  <w:pPr>
                    <w:pStyle w:val="28"/>
                    <w:rPr>
                      <w:highlight w:val="none"/>
                    </w:rPr>
                  </w:pPr>
                  <w:r>
                    <w:rPr>
                      <w:rFonts w:hint="eastAsia"/>
                      <w:highlight w:val="none"/>
                    </w:rPr>
                    <w:t>12800</w:t>
                  </w:r>
                </w:p>
              </w:tc>
              <w:tc>
                <w:tcPr>
                  <w:tcW w:w="997" w:type="pct"/>
                  <w:tcBorders>
                    <w:top w:val="single" w:color="auto" w:sz="4" w:space="0"/>
                    <w:left w:val="single" w:color="auto" w:sz="4" w:space="0"/>
                    <w:bottom w:val="single" w:color="auto" w:sz="4" w:space="0"/>
                    <w:right w:val="single" w:color="auto" w:sz="4" w:space="0"/>
                  </w:tcBorders>
                  <w:vAlign w:val="center"/>
                </w:tcPr>
                <w:p w14:paraId="143D1CF4">
                  <w:pPr>
                    <w:pStyle w:val="28"/>
                    <w:rPr>
                      <w:highlight w:val="none"/>
                    </w:rPr>
                  </w:pPr>
                  <w:r>
                    <w:rPr>
                      <w:rFonts w:hint="eastAsia"/>
                      <w:highlight w:val="none"/>
                    </w:rPr>
                    <w:t>/</w:t>
                  </w:r>
                </w:p>
              </w:tc>
              <w:tc>
                <w:tcPr>
                  <w:tcW w:w="1284" w:type="pct"/>
                  <w:tcBorders>
                    <w:top w:val="single" w:color="auto" w:sz="4" w:space="0"/>
                    <w:left w:val="single" w:color="auto" w:sz="4" w:space="0"/>
                    <w:bottom w:val="single" w:color="auto" w:sz="4" w:space="0"/>
                    <w:right w:val="single" w:color="auto" w:sz="4" w:space="0"/>
                  </w:tcBorders>
                  <w:vAlign w:val="center"/>
                </w:tcPr>
                <w:p w14:paraId="078C8B18">
                  <w:pPr>
                    <w:pStyle w:val="28"/>
                    <w:rPr>
                      <w:highlight w:val="none"/>
                    </w:rPr>
                  </w:pPr>
                  <w:r>
                    <w:rPr>
                      <w:rFonts w:hint="eastAsia"/>
                      <w:highlight w:val="none"/>
                    </w:rPr>
                    <w:t>/</w:t>
                  </w:r>
                </w:p>
              </w:tc>
            </w:tr>
            <w:tr w14:paraId="3A19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bottom w:val="single" w:color="auto" w:sz="4" w:space="0"/>
                    <w:right w:val="single" w:color="auto" w:sz="4" w:space="0"/>
                  </w:tcBorders>
                  <w:vAlign w:val="center"/>
                </w:tcPr>
                <w:p w14:paraId="4145A311">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278DA52F">
                  <w:pPr>
                    <w:pStyle w:val="28"/>
                    <w:rPr>
                      <w:highlight w:val="none"/>
                    </w:rPr>
                  </w:pPr>
                  <w:r>
                    <w:rPr>
                      <w:rFonts w:hint="eastAsia"/>
                      <w:highlight w:val="none"/>
                    </w:rPr>
                    <w:t>道路</w:t>
                  </w:r>
                </w:p>
              </w:tc>
              <w:tc>
                <w:tcPr>
                  <w:tcW w:w="1173" w:type="pct"/>
                  <w:tcBorders>
                    <w:top w:val="single" w:color="auto" w:sz="4" w:space="0"/>
                    <w:left w:val="single" w:color="auto" w:sz="4" w:space="0"/>
                    <w:bottom w:val="single" w:color="auto" w:sz="4" w:space="0"/>
                    <w:right w:val="single" w:color="auto" w:sz="4" w:space="0"/>
                  </w:tcBorders>
                  <w:vAlign w:val="center"/>
                </w:tcPr>
                <w:p w14:paraId="0006C608">
                  <w:pPr>
                    <w:pStyle w:val="28"/>
                    <w:rPr>
                      <w:highlight w:val="none"/>
                    </w:rPr>
                  </w:pPr>
                  <w:r>
                    <w:rPr>
                      <w:rFonts w:hint="eastAsia"/>
                      <w:highlight w:val="none"/>
                    </w:rPr>
                    <w:t>22100</w:t>
                  </w:r>
                </w:p>
              </w:tc>
              <w:tc>
                <w:tcPr>
                  <w:tcW w:w="997" w:type="pct"/>
                  <w:tcBorders>
                    <w:top w:val="single" w:color="auto" w:sz="4" w:space="0"/>
                    <w:left w:val="single" w:color="auto" w:sz="4" w:space="0"/>
                    <w:bottom w:val="single" w:color="auto" w:sz="4" w:space="0"/>
                    <w:right w:val="single" w:color="auto" w:sz="4" w:space="0"/>
                  </w:tcBorders>
                  <w:vAlign w:val="center"/>
                </w:tcPr>
                <w:p w14:paraId="1EE7DF19">
                  <w:pPr>
                    <w:pStyle w:val="28"/>
                    <w:rPr>
                      <w:highlight w:val="none"/>
                    </w:rPr>
                  </w:pPr>
                  <w:r>
                    <w:rPr>
                      <w:rFonts w:hint="eastAsia"/>
                      <w:highlight w:val="none"/>
                    </w:rPr>
                    <w:t>/</w:t>
                  </w:r>
                </w:p>
              </w:tc>
              <w:tc>
                <w:tcPr>
                  <w:tcW w:w="1284" w:type="pct"/>
                  <w:tcBorders>
                    <w:top w:val="single" w:color="auto" w:sz="4" w:space="0"/>
                    <w:left w:val="single" w:color="auto" w:sz="4" w:space="0"/>
                    <w:bottom w:val="single" w:color="auto" w:sz="4" w:space="0"/>
                    <w:right w:val="single" w:color="auto" w:sz="4" w:space="0"/>
                  </w:tcBorders>
                  <w:vAlign w:val="center"/>
                </w:tcPr>
                <w:p w14:paraId="406692C8">
                  <w:pPr>
                    <w:pStyle w:val="28"/>
                    <w:rPr>
                      <w:highlight w:val="none"/>
                    </w:rPr>
                  </w:pPr>
                  <w:r>
                    <w:rPr>
                      <w:rFonts w:hint="eastAsia"/>
                      <w:highlight w:val="none"/>
                    </w:rPr>
                    <w:t>/</w:t>
                  </w:r>
                </w:p>
              </w:tc>
            </w:tr>
            <w:tr w14:paraId="49C0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547" w:type="pct"/>
                  <w:vMerge w:val="restart"/>
                  <w:tcBorders>
                    <w:top w:val="single" w:color="auto" w:sz="4" w:space="0"/>
                    <w:left w:val="single" w:color="auto" w:sz="4" w:space="0"/>
                    <w:right w:val="single" w:color="auto" w:sz="4" w:space="0"/>
                  </w:tcBorders>
                  <w:vAlign w:val="center"/>
                </w:tcPr>
                <w:p w14:paraId="0D12E6FA">
                  <w:pPr>
                    <w:pStyle w:val="28"/>
                    <w:rPr>
                      <w:highlight w:val="none"/>
                    </w:rPr>
                  </w:pPr>
                  <w:r>
                    <w:rPr>
                      <w:rFonts w:hint="eastAsia"/>
                      <w:highlight w:val="none"/>
                    </w:rPr>
                    <w:t>公用工程</w:t>
                  </w:r>
                </w:p>
              </w:tc>
              <w:tc>
                <w:tcPr>
                  <w:tcW w:w="997" w:type="pct"/>
                  <w:tcBorders>
                    <w:top w:val="single" w:color="auto" w:sz="4" w:space="0"/>
                    <w:left w:val="single" w:color="auto" w:sz="4" w:space="0"/>
                    <w:bottom w:val="single" w:color="auto" w:sz="4" w:space="0"/>
                    <w:right w:val="single" w:color="auto" w:sz="4" w:space="0"/>
                  </w:tcBorders>
                  <w:vAlign w:val="center"/>
                </w:tcPr>
                <w:p w14:paraId="2933B693">
                  <w:pPr>
                    <w:pStyle w:val="28"/>
                    <w:rPr>
                      <w:highlight w:val="none"/>
                    </w:rPr>
                  </w:pPr>
                  <w:r>
                    <w:rPr>
                      <w:highlight w:val="none"/>
                    </w:rPr>
                    <w:t>给水工程</w:t>
                  </w:r>
                </w:p>
              </w:tc>
              <w:tc>
                <w:tcPr>
                  <w:tcW w:w="1173" w:type="pct"/>
                  <w:tcBorders>
                    <w:top w:val="single" w:color="auto" w:sz="4" w:space="0"/>
                    <w:left w:val="single" w:color="auto" w:sz="4" w:space="0"/>
                    <w:bottom w:val="single" w:color="auto" w:sz="4" w:space="0"/>
                    <w:right w:val="single" w:color="auto" w:sz="4" w:space="0"/>
                  </w:tcBorders>
                  <w:vAlign w:val="center"/>
                </w:tcPr>
                <w:p w14:paraId="3FEFF042">
                  <w:pPr>
                    <w:pStyle w:val="28"/>
                    <w:rPr>
                      <w:highlight w:val="none"/>
                    </w:rPr>
                  </w:pPr>
                  <w:r>
                    <w:rPr>
                      <w:rFonts w:hint="eastAsia"/>
                      <w:highlight w:val="none"/>
                    </w:rPr>
                    <w:t>产业园区已通过DN200给水管将十里箐水库的水引至300m</w:t>
                  </w:r>
                  <w:r>
                    <w:rPr>
                      <w:rFonts w:hint="eastAsia"/>
                      <w:highlight w:val="none"/>
                      <w:vertAlign w:val="superscript"/>
                    </w:rPr>
                    <w:t>3</w:t>
                  </w:r>
                  <w:r>
                    <w:rPr>
                      <w:rFonts w:hint="eastAsia"/>
                      <w:highlight w:val="none"/>
                    </w:rPr>
                    <w:t>高位贮水池中。</w:t>
                  </w:r>
                </w:p>
              </w:tc>
              <w:tc>
                <w:tcPr>
                  <w:tcW w:w="997" w:type="pct"/>
                  <w:tcBorders>
                    <w:top w:val="single" w:color="auto" w:sz="4" w:space="0"/>
                    <w:left w:val="single" w:color="auto" w:sz="4" w:space="0"/>
                    <w:bottom w:val="single" w:color="auto" w:sz="4" w:space="0"/>
                    <w:right w:val="single" w:color="auto" w:sz="4" w:space="0"/>
                  </w:tcBorders>
                  <w:vAlign w:val="center"/>
                </w:tcPr>
                <w:p w14:paraId="72E0D90F">
                  <w:pPr>
                    <w:pStyle w:val="28"/>
                    <w:rPr>
                      <w:highlight w:val="none"/>
                    </w:rPr>
                  </w:pPr>
                  <w:r>
                    <w:rPr>
                      <w:rFonts w:hint="eastAsia"/>
                      <w:highlight w:val="none"/>
                    </w:rPr>
                    <w:t>/</w:t>
                  </w:r>
                </w:p>
              </w:tc>
              <w:tc>
                <w:tcPr>
                  <w:tcW w:w="1284" w:type="pct"/>
                  <w:tcBorders>
                    <w:top w:val="single" w:color="auto" w:sz="4" w:space="0"/>
                    <w:left w:val="single" w:color="auto" w:sz="4" w:space="0"/>
                    <w:bottom w:val="single" w:color="auto" w:sz="4" w:space="0"/>
                    <w:right w:val="single" w:color="auto" w:sz="4" w:space="0"/>
                  </w:tcBorders>
                  <w:vAlign w:val="center"/>
                </w:tcPr>
                <w:p w14:paraId="36F4006C">
                  <w:pPr>
                    <w:pStyle w:val="28"/>
                    <w:rPr>
                      <w:highlight w:val="none"/>
                    </w:rPr>
                  </w:pPr>
                  <w:r>
                    <w:rPr>
                      <w:kern w:val="2"/>
                      <w:highlight w:val="none"/>
                    </w:rPr>
                    <w:t>10000吨/年优质牛肉精深加工配送系统改扩建项目</w:t>
                  </w:r>
                </w:p>
              </w:tc>
            </w:tr>
            <w:tr w14:paraId="1161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0C104064">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6682EE01">
                  <w:pPr>
                    <w:pStyle w:val="28"/>
                    <w:rPr>
                      <w:highlight w:val="none"/>
                    </w:rPr>
                  </w:pPr>
                  <w:r>
                    <w:rPr>
                      <w:highlight w:val="none"/>
                    </w:rPr>
                    <w:t>排水工程</w:t>
                  </w:r>
                </w:p>
              </w:tc>
              <w:tc>
                <w:tcPr>
                  <w:tcW w:w="1173" w:type="pct"/>
                  <w:tcBorders>
                    <w:top w:val="single" w:color="auto" w:sz="4" w:space="0"/>
                    <w:left w:val="single" w:color="auto" w:sz="4" w:space="0"/>
                    <w:bottom w:val="single" w:color="auto" w:sz="4" w:space="0"/>
                    <w:right w:val="single" w:color="auto" w:sz="4" w:space="0"/>
                  </w:tcBorders>
                  <w:vAlign w:val="center"/>
                </w:tcPr>
                <w:p w14:paraId="47F1869D">
                  <w:pPr>
                    <w:pStyle w:val="28"/>
                    <w:rPr>
                      <w:highlight w:val="none"/>
                    </w:rPr>
                  </w:pPr>
                  <w:r>
                    <w:rPr>
                      <w:rFonts w:hint="eastAsia"/>
                      <w:highlight w:val="none"/>
                    </w:rPr>
                    <w:t>不外排。</w:t>
                  </w:r>
                </w:p>
              </w:tc>
              <w:tc>
                <w:tcPr>
                  <w:tcW w:w="997" w:type="pct"/>
                  <w:tcBorders>
                    <w:top w:val="single" w:color="auto" w:sz="4" w:space="0"/>
                    <w:left w:val="single" w:color="auto" w:sz="4" w:space="0"/>
                    <w:bottom w:val="single" w:color="auto" w:sz="4" w:space="0"/>
                    <w:right w:val="single" w:color="auto" w:sz="4" w:space="0"/>
                  </w:tcBorders>
                  <w:vAlign w:val="center"/>
                </w:tcPr>
                <w:p w14:paraId="17C5FE3E">
                  <w:pPr>
                    <w:pStyle w:val="28"/>
                    <w:rPr>
                      <w:highlight w:val="none"/>
                    </w:rPr>
                  </w:pPr>
                  <w:r>
                    <w:rPr>
                      <w:rFonts w:hint="eastAsia"/>
                      <w:highlight w:val="none"/>
                    </w:rPr>
                    <w:t>/</w:t>
                  </w:r>
                </w:p>
              </w:tc>
              <w:tc>
                <w:tcPr>
                  <w:tcW w:w="1284" w:type="pct"/>
                  <w:tcBorders>
                    <w:top w:val="single" w:color="auto" w:sz="4" w:space="0"/>
                    <w:left w:val="single" w:color="auto" w:sz="4" w:space="0"/>
                    <w:bottom w:val="single" w:color="auto" w:sz="4" w:space="0"/>
                    <w:right w:val="single" w:color="auto" w:sz="4" w:space="0"/>
                  </w:tcBorders>
                  <w:vAlign w:val="center"/>
                </w:tcPr>
                <w:p w14:paraId="21B755C2">
                  <w:pPr>
                    <w:pStyle w:val="28"/>
                    <w:rPr>
                      <w:highlight w:val="none"/>
                    </w:rPr>
                  </w:pPr>
                  <w:r>
                    <w:rPr>
                      <w:rFonts w:hint="eastAsia"/>
                      <w:highlight w:val="none"/>
                    </w:rPr>
                    <w:t>/</w:t>
                  </w:r>
                </w:p>
              </w:tc>
            </w:tr>
            <w:tr w14:paraId="2CC4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6F1CF8F5">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4587CFA8">
                  <w:pPr>
                    <w:pStyle w:val="28"/>
                    <w:rPr>
                      <w:highlight w:val="none"/>
                    </w:rPr>
                  </w:pPr>
                  <w:r>
                    <w:rPr>
                      <w:highlight w:val="none"/>
                    </w:rPr>
                    <w:t>供电工程</w:t>
                  </w:r>
                </w:p>
              </w:tc>
              <w:tc>
                <w:tcPr>
                  <w:tcW w:w="1173" w:type="pct"/>
                  <w:tcBorders>
                    <w:top w:val="single" w:color="auto" w:sz="4" w:space="0"/>
                    <w:left w:val="single" w:color="auto" w:sz="4" w:space="0"/>
                    <w:bottom w:val="single" w:color="auto" w:sz="4" w:space="0"/>
                    <w:right w:val="single" w:color="auto" w:sz="4" w:space="0"/>
                  </w:tcBorders>
                  <w:vAlign w:val="center"/>
                </w:tcPr>
                <w:p w14:paraId="0636353B">
                  <w:pPr>
                    <w:pStyle w:val="28"/>
                    <w:rPr>
                      <w:highlight w:val="none"/>
                    </w:rPr>
                  </w:pPr>
                  <w:r>
                    <w:rPr>
                      <w:highlight w:val="none"/>
                    </w:rPr>
                    <w:t>由市政供电系统供电</w:t>
                  </w:r>
                </w:p>
              </w:tc>
              <w:tc>
                <w:tcPr>
                  <w:tcW w:w="997" w:type="pct"/>
                  <w:tcBorders>
                    <w:top w:val="single" w:color="auto" w:sz="4" w:space="0"/>
                    <w:left w:val="single" w:color="auto" w:sz="4" w:space="0"/>
                    <w:bottom w:val="single" w:color="auto" w:sz="4" w:space="0"/>
                    <w:right w:val="single" w:color="auto" w:sz="4" w:space="0"/>
                  </w:tcBorders>
                  <w:vAlign w:val="center"/>
                </w:tcPr>
                <w:p w14:paraId="68A4B9B3">
                  <w:pPr>
                    <w:pStyle w:val="28"/>
                    <w:rPr>
                      <w:highlight w:val="none"/>
                    </w:rPr>
                  </w:pPr>
                  <w:r>
                    <w:rPr>
                      <w:rFonts w:hint="eastAsia"/>
                      <w:highlight w:val="none"/>
                    </w:rPr>
                    <w:t>/</w:t>
                  </w:r>
                </w:p>
              </w:tc>
              <w:tc>
                <w:tcPr>
                  <w:tcW w:w="1284" w:type="pct"/>
                  <w:tcBorders>
                    <w:top w:val="single" w:color="auto" w:sz="4" w:space="0"/>
                    <w:left w:val="single" w:color="auto" w:sz="4" w:space="0"/>
                    <w:bottom w:val="single" w:color="auto" w:sz="4" w:space="0"/>
                    <w:right w:val="single" w:color="auto" w:sz="4" w:space="0"/>
                  </w:tcBorders>
                  <w:vAlign w:val="center"/>
                </w:tcPr>
                <w:p w14:paraId="1274FABF">
                  <w:pPr>
                    <w:pStyle w:val="28"/>
                    <w:rPr>
                      <w:highlight w:val="none"/>
                    </w:rPr>
                  </w:pPr>
                  <w:r>
                    <w:rPr>
                      <w:highlight w:val="none"/>
                    </w:rPr>
                    <w:t>30000头/年肉牛屠宰建设项目</w:t>
                  </w:r>
                </w:p>
              </w:tc>
            </w:tr>
            <w:tr w14:paraId="448E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7" w:type="pct"/>
                  <w:vMerge w:val="continue"/>
                  <w:tcBorders>
                    <w:left w:val="single" w:color="auto" w:sz="4" w:space="0"/>
                    <w:right w:val="single" w:color="auto" w:sz="4" w:space="0"/>
                  </w:tcBorders>
                  <w:vAlign w:val="center"/>
                </w:tcPr>
                <w:p w14:paraId="7C4E1DE0">
                  <w:pPr>
                    <w:pStyle w:val="28"/>
                    <w:rPr>
                      <w:highlight w:val="none"/>
                    </w:rPr>
                  </w:pPr>
                </w:p>
              </w:tc>
              <w:tc>
                <w:tcPr>
                  <w:tcW w:w="997" w:type="pct"/>
                  <w:tcBorders>
                    <w:top w:val="single" w:color="auto" w:sz="4" w:space="0"/>
                    <w:left w:val="single" w:color="auto" w:sz="4" w:space="0"/>
                    <w:bottom w:val="single" w:color="auto" w:sz="4" w:space="0"/>
                    <w:right w:val="single" w:color="auto" w:sz="4" w:space="0"/>
                  </w:tcBorders>
                  <w:vAlign w:val="center"/>
                </w:tcPr>
                <w:p w14:paraId="5BDD1841">
                  <w:pPr>
                    <w:pStyle w:val="28"/>
                    <w:rPr>
                      <w:highlight w:val="none"/>
                    </w:rPr>
                  </w:pPr>
                  <w:r>
                    <w:rPr>
                      <w:highlight w:val="none"/>
                    </w:rPr>
                    <w:t>通信工程</w:t>
                  </w:r>
                </w:p>
              </w:tc>
              <w:tc>
                <w:tcPr>
                  <w:tcW w:w="1173" w:type="pct"/>
                  <w:tcBorders>
                    <w:top w:val="single" w:color="auto" w:sz="4" w:space="0"/>
                    <w:left w:val="single" w:color="auto" w:sz="4" w:space="0"/>
                    <w:bottom w:val="single" w:color="auto" w:sz="4" w:space="0"/>
                    <w:right w:val="single" w:color="auto" w:sz="4" w:space="0"/>
                  </w:tcBorders>
                  <w:vAlign w:val="center"/>
                </w:tcPr>
                <w:p w14:paraId="4BF85572">
                  <w:pPr>
                    <w:pStyle w:val="28"/>
                    <w:rPr>
                      <w:highlight w:val="none"/>
                    </w:rPr>
                  </w:pPr>
                  <w:r>
                    <w:rPr>
                      <w:rFonts w:hint="eastAsia"/>
                      <w:highlight w:val="none"/>
                    </w:rPr>
                    <w:t>项目区域内已配套邮电通信光缆、移动电话等市政基础设施。</w:t>
                  </w:r>
                </w:p>
              </w:tc>
              <w:tc>
                <w:tcPr>
                  <w:tcW w:w="997" w:type="pct"/>
                  <w:tcBorders>
                    <w:top w:val="single" w:color="auto" w:sz="4" w:space="0"/>
                    <w:left w:val="single" w:color="auto" w:sz="4" w:space="0"/>
                    <w:bottom w:val="single" w:color="auto" w:sz="4" w:space="0"/>
                    <w:right w:val="single" w:color="auto" w:sz="4" w:space="0"/>
                  </w:tcBorders>
                  <w:vAlign w:val="center"/>
                </w:tcPr>
                <w:p w14:paraId="10F2DC78">
                  <w:pPr>
                    <w:pStyle w:val="28"/>
                    <w:rPr>
                      <w:highlight w:val="none"/>
                    </w:rPr>
                  </w:pPr>
                  <w:r>
                    <w:rPr>
                      <w:rFonts w:hint="eastAsia"/>
                      <w:highlight w:val="none"/>
                    </w:rPr>
                    <w:t>/</w:t>
                  </w:r>
                </w:p>
              </w:tc>
              <w:tc>
                <w:tcPr>
                  <w:tcW w:w="1284" w:type="pct"/>
                  <w:tcBorders>
                    <w:top w:val="single" w:color="auto" w:sz="4" w:space="0"/>
                    <w:left w:val="single" w:color="auto" w:sz="4" w:space="0"/>
                    <w:bottom w:val="single" w:color="auto" w:sz="4" w:space="0"/>
                    <w:right w:val="single" w:color="auto" w:sz="4" w:space="0"/>
                  </w:tcBorders>
                  <w:vAlign w:val="center"/>
                </w:tcPr>
                <w:p w14:paraId="5000AA34">
                  <w:pPr>
                    <w:pStyle w:val="28"/>
                    <w:rPr>
                      <w:highlight w:val="none"/>
                    </w:rPr>
                  </w:pPr>
                  <w:r>
                    <w:rPr>
                      <w:highlight w:val="none"/>
                    </w:rPr>
                    <w:t>30000头/年肉牛屠宰建设项目</w:t>
                  </w:r>
                </w:p>
              </w:tc>
            </w:tr>
          </w:tbl>
          <w:p w14:paraId="28C825EC">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（2）产品方案</w:t>
            </w:r>
          </w:p>
          <w:p w14:paraId="21639BEA">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现有项目年屠宰30000头肉牛及10000吨/年优质牛肉精加工，产品种类牛肉系列产品。</w:t>
            </w:r>
          </w:p>
          <w:p w14:paraId="056116EF">
            <w:pPr>
              <w:pStyle w:val="30"/>
              <w:rPr>
                <w:rFonts w:hint="default"/>
                <w:highlight w:val="none"/>
              </w:rPr>
            </w:pPr>
            <w:r>
              <w:rPr>
                <w:highlight w:val="none"/>
              </w:rPr>
              <w:t>表2-</w:t>
            </w:r>
            <w:r>
              <w:rPr>
                <w:rFonts w:hint="eastAsia"/>
                <w:highlight w:val="none"/>
                <w:lang w:val="en-US" w:eastAsia="zh-CN"/>
              </w:rPr>
              <w:t>11</w:t>
            </w:r>
            <w:r>
              <w:rPr>
                <w:highlight w:val="none"/>
              </w:rPr>
              <w:t>现有项目产品方案</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634"/>
              <w:gridCol w:w="1836"/>
              <w:gridCol w:w="2077"/>
            </w:tblGrid>
            <w:tr w14:paraId="4D78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78B987C4">
                  <w:pPr>
                    <w:pStyle w:val="28"/>
                    <w:rPr>
                      <w:b/>
                      <w:bCs/>
                      <w:highlight w:val="none"/>
                    </w:rPr>
                  </w:pPr>
                  <w:r>
                    <w:rPr>
                      <w:rFonts w:hint="eastAsia"/>
                      <w:b/>
                      <w:bCs/>
                      <w:highlight w:val="none"/>
                    </w:rPr>
                    <w:t>序号</w:t>
                  </w:r>
                </w:p>
              </w:tc>
              <w:tc>
                <w:tcPr>
                  <w:tcW w:w="2174" w:type="pct"/>
                  <w:vAlign w:val="center"/>
                </w:tcPr>
                <w:p w14:paraId="009A6C35">
                  <w:pPr>
                    <w:pStyle w:val="28"/>
                    <w:rPr>
                      <w:b/>
                      <w:bCs/>
                      <w:highlight w:val="none"/>
                    </w:rPr>
                  </w:pPr>
                  <w:r>
                    <w:rPr>
                      <w:rFonts w:hint="eastAsia"/>
                      <w:b/>
                      <w:bCs/>
                      <w:highlight w:val="none"/>
                    </w:rPr>
                    <w:t>名称</w:t>
                  </w:r>
                </w:p>
              </w:tc>
              <w:tc>
                <w:tcPr>
                  <w:tcW w:w="1098" w:type="pct"/>
                  <w:vAlign w:val="center"/>
                </w:tcPr>
                <w:p w14:paraId="3F35E66D">
                  <w:pPr>
                    <w:pStyle w:val="28"/>
                    <w:rPr>
                      <w:b/>
                      <w:bCs/>
                      <w:highlight w:val="none"/>
                    </w:rPr>
                  </w:pPr>
                  <w:r>
                    <w:rPr>
                      <w:rFonts w:hint="eastAsia"/>
                      <w:b/>
                      <w:bCs/>
                      <w:highlight w:val="none"/>
                    </w:rPr>
                    <w:t>年消耗量</w:t>
                  </w:r>
                </w:p>
              </w:tc>
              <w:tc>
                <w:tcPr>
                  <w:tcW w:w="1242" w:type="pct"/>
                  <w:vAlign w:val="center"/>
                </w:tcPr>
                <w:p w14:paraId="11D5ADC8">
                  <w:pPr>
                    <w:pStyle w:val="28"/>
                    <w:rPr>
                      <w:b/>
                      <w:bCs/>
                      <w:highlight w:val="none"/>
                    </w:rPr>
                  </w:pPr>
                  <w:r>
                    <w:rPr>
                      <w:rFonts w:hint="eastAsia"/>
                      <w:b/>
                      <w:bCs/>
                      <w:highlight w:val="none"/>
                    </w:rPr>
                    <w:t>备注</w:t>
                  </w:r>
                </w:p>
              </w:tc>
            </w:tr>
            <w:tr w14:paraId="07FA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244D52E1">
                  <w:pPr>
                    <w:pStyle w:val="28"/>
                    <w:rPr>
                      <w:highlight w:val="none"/>
                    </w:rPr>
                  </w:pPr>
                  <w:r>
                    <w:rPr>
                      <w:rFonts w:hint="eastAsia"/>
                      <w:highlight w:val="none"/>
                    </w:rPr>
                    <w:t>1</w:t>
                  </w:r>
                </w:p>
              </w:tc>
              <w:tc>
                <w:tcPr>
                  <w:tcW w:w="2174" w:type="pct"/>
                  <w:vAlign w:val="center"/>
                </w:tcPr>
                <w:p w14:paraId="45713DAE">
                  <w:pPr>
                    <w:pStyle w:val="28"/>
                    <w:rPr>
                      <w:highlight w:val="none"/>
                    </w:rPr>
                  </w:pPr>
                  <w:r>
                    <w:rPr>
                      <w:rFonts w:hint="eastAsia"/>
                      <w:highlight w:val="none"/>
                    </w:rPr>
                    <w:t>活牛</w:t>
                  </w:r>
                </w:p>
              </w:tc>
              <w:tc>
                <w:tcPr>
                  <w:tcW w:w="1098" w:type="pct"/>
                  <w:vAlign w:val="center"/>
                </w:tcPr>
                <w:p w14:paraId="2458220A">
                  <w:pPr>
                    <w:pStyle w:val="28"/>
                    <w:rPr>
                      <w:highlight w:val="none"/>
                    </w:rPr>
                  </w:pPr>
                  <w:r>
                    <w:rPr>
                      <w:rFonts w:hint="eastAsia"/>
                      <w:highlight w:val="none"/>
                    </w:rPr>
                    <w:t>30000头/年</w:t>
                  </w:r>
                </w:p>
              </w:tc>
              <w:tc>
                <w:tcPr>
                  <w:tcW w:w="1242" w:type="pct"/>
                  <w:vAlign w:val="center"/>
                </w:tcPr>
                <w:p w14:paraId="641EADB3">
                  <w:pPr>
                    <w:pStyle w:val="28"/>
                    <w:rPr>
                      <w:highlight w:val="none"/>
                    </w:rPr>
                  </w:pPr>
                  <w:r>
                    <w:rPr>
                      <w:rFonts w:hint="eastAsia"/>
                      <w:highlight w:val="none"/>
                    </w:rPr>
                    <w:t>/</w:t>
                  </w:r>
                </w:p>
              </w:tc>
            </w:tr>
            <w:tr w14:paraId="0944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3588F24C">
                  <w:pPr>
                    <w:pStyle w:val="28"/>
                    <w:rPr>
                      <w:highlight w:val="none"/>
                    </w:rPr>
                  </w:pPr>
                  <w:r>
                    <w:rPr>
                      <w:rFonts w:hint="eastAsia"/>
                      <w:highlight w:val="none"/>
                    </w:rPr>
                    <w:t>2</w:t>
                  </w:r>
                </w:p>
              </w:tc>
              <w:tc>
                <w:tcPr>
                  <w:tcW w:w="2174" w:type="pct"/>
                  <w:vAlign w:val="center"/>
                </w:tcPr>
                <w:p w14:paraId="61C42559">
                  <w:pPr>
                    <w:pStyle w:val="28"/>
                    <w:rPr>
                      <w:highlight w:val="none"/>
                    </w:rPr>
                  </w:pPr>
                  <w:r>
                    <w:rPr>
                      <w:rFonts w:hint="eastAsia"/>
                      <w:highlight w:val="none"/>
                    </w:rPr>
                    <w:t>真空袋（折算）</w:t>
                  </w:r>
                </w:p>
              </w:tc>
              <w:tc>
                <w:tcPr>
                  <w:tcW w:w="1098" w:type="pct"/>
                  <w:vAlign w:val="center"/>
                </w:tcPr>
                <w:p w14:paraId="3CD9BC12">
                  <w:pPr>
                    <w:pStyle w:val="28"/>
                    <w:rPr>
                      <w:highlight w:val="none"/>
                    </w:rPr>
                  </w:pPr>
                  <w:r>
                    <w:rPr>
                      <w:rFonts w:hint="eastAsia"/>
                      <w:highlight w:val="none"/>
                    </w:rPr>
                    <w:t>30000只/年</w:t>
                  </w:r>
                </w:p>
              </w:tc>
              <w:tc>
                <w:tcPr>
                  <w:tcW w:w="1242" w:type="pct"/>
                  <w:vAlign w:val="center"/>
                </w:tcPr>
                <w:p w14:paraId="0810D83B">
                  <w:pPr>
                    <w:pStyle w:val="28"/>
                    <w:rPr>
                      <w:highlight w:val="none"/>
                    </w:rPr>
                  </w:pPr>
                  <w:r>
                    <w:rPr>
                      <w:rFonts w:hint="eastAsia"/>
                      <w:highlight w:val="none"/>
                    </w:rPr>
                    <w:t>市场购买</w:t>
                  </w:r>
                </w:p>
              </w:tc>
            </w:tr>
            <w:tr w14:paraId="6582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13A03A41">
                  <w:pPr>
                    <w:pStyle w:val="28"/>
                    <w:rPr>
                      <w:highlight w:val="none"/>
                    </w:rPr>
                  </w:pPr>
                  <w:r>
                    <w:rPr>
                      <w:rFonts w:hint="eastAsia"/>
                      <w:highlight w:val="none"/>
                    </w:rPr>
                    <w:t>3</w:t>
                  </w:r>
                </w:p>
              </w:tc>
              <w:tc>
                <w:tcPr>
                  <w:tcW w:w="2174" w:type="pct"/>
                  <w:vAlign w:val="center"/>
                </w:tcPr>
                <w:p w14:paraId="04E79D18">
                  <w:pPr>
                    <w:pStyle w:val="28"/>
                    <w:rPr>
                      <w:highlight w:val="none"/>
                    </w:rPr>
                  </w:pPr>
                  <w:r>
                    <w:rPr>
                      <w:rFonts w:hint="eastAsia"/>
                      <w:highlight w:val="none"/>
                    </w:rPr>
                    <w:t>纸箱</w:t>
                  </w:r>
                </w:p>
              </w:tc>
              <w:tc>
                <w:tcPr>
                  <w:tcW w:w="1098" w:type="pct"/>
                  <w:vAlign w:val="center"/>
                </w:tcPr>
                <w:p w14:paraId="44824E27">
                  <w:pPr>
                    <w:pStyle w:val="28"/>
                    <w:rPr>
                      <w:highlight w:val="none"/>
                    </w:rPr>
                  </w:pPr>
                  <w:r>
                    <w:rPr>
                      <w:rFonts w:hint="eastAsia"/>
                      <w:highlight w:val="none"/>
                    </w:rPr>
                    <w:t>15000只/年</w:t>
                  </w:r>
                </w:p>
              </w:tc>
              <w:tc>
                <w:tcPr>
                  <w:tcW w:w="1242" w:type="pct"/>
                  <w:vAlign w:val="center"/>
                </w:tcPr>
                <w:p w14:paraId="55FCFCFE">
                  <w:pPr>
                    <w:pStyle w:val="28"/>
                    <w:rPr>
                      <w:highlight w:val="none"/>
                    </w:rPr>
                  </w:pPr>
                  <w:r>
                    <w:rPr>
                      <w:rFonts w:hint="eastAsia"/>
                      <w:highlight w:val="none"/>
                    </w:rPr>
                    <w:t>市场购买</w:t>
                  </w:r>
                </w:p>
              </w:tc>
            </w:tr>
            <w:tr w14:paraId="3C2A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shd w:val="clear" w:color="auto" w:fill="auto"/>
                  <w:vAlign w:val="center"/>
                </w:tcPr>
                <w:p w14:paraId="59788284">
                  <w:pPr>
                    <w:pStyle w:val="28"/>
                    <w:rPr>
                      <w:highlight w:val="none"/>
                    </w:rPr>
                  </w:pPr>
                  <w:r>
                    <w:rPr>
                      <w:rFonts w:hint="eastAsia"/>
                      <w:highlight w:val="none"/>
                    </w:rPr>
                    <w:t>4</w:t>
                  </w:r>
                </w:p>
              </w:tc>
              <w:tc>
                <w:tcPr>
                  <w:tcW w:w="2174" w:type="pct"/>
                  <w:vAlign w:val="center"/>
                </w:tcPr>
                <w:p w14:paraId="7F33E5D4">
                  <w:pPr>
                    <w:pStyle w:val="28"/>
                    <w:rPr>
                      <w:highlight w:val="none"/>
                    </w:rPr>
                  </w:pPr>
                  <w:r>
                    <w:rPr>
                      <w:rFonts w:hint="eastAsia"/>
                      <w:highlight w:val="none"/>
                    </w:rPr>
                    <w:t>液氮</w:t>
                  </w:r>
                </w:p>
              </w:tc>
              <w:tc>
                <w:tcPr>
                  <w:tcW w:w="1098" w:type="pct"/>
                  <w:vAlign w:val="center"/>
                </w:tcPr>
                <w:p w14:paraId="0504FB18">
                  <w:pPr>
                    <w:pStyle w:val="28"/>
                    <w:rPr>
                      <w:rFonts w:hint="eastAsia" w:eastAsia="宋体"/>
                      <w:highlight w:val="none"/>
                      <w:lang w:eastAsia="zh-CN"/>
                    </w:rPr>
                  </w:pPr>
                  <w:r>
                    <w:rPr>
                      <w:rFonts w:hint="eastAsia"/>
                      <w:highlight w:val="none"/>
                    </w:rPr>
                    <w:t>3</w:t>
                  </w:r>
                  <w:r>
                    <w:rPr>
                      <w:rFonts w:hint="eastAsia"/>
                      <w:highlight w:val="none"/>
                      <w:lang w:val="en-US" w:eastAsia="zh-CN"/>
                    </w:rPr>
                    <w:t>吨</w:t>
                  </w:r>
                  <w:r>
                    <w:rPr>
                      <w:rFonts w:hint="eastAsia"/>
                      <w:highlight w:val="none"/>
                    </w:rPr>
                    <w:t>/</w:t>
                  </w:r>
                  <w:r>
                    <w:rPr>
                      <w:rFonts w:hint="eastAsia"/>
                      <w:highlight w:val="none"/>
                      <w:lang w:val="en-US" w:eastAsia="zh-CN"/>
                    </w:rPr>
                    <w:t>年</w:t>
                  </w:r>
                </w:p>
              </w:tc>
              <w:tc>
                <w:tcPr>
                  <w:tcW w:w="1242" w:type="pct"/>
                  <w:vAlign w:val="center"/>
                </w:tcPr>
                <w:p w14:paraId="2B216B9C">
                  <w:pPr>
                    <w:pStyle w:val="28"/>
                    <w:rPr>
                      <w:highlight w:val="none"/>
                    </w:rPr>
                  </w:pPr>
                  <w:r>
                    <w:rPr>
                      <w:rFonts w:hint="eastAsia"/>
                      <w:highlight w:val="none"/>
                    </w:rPr>
                    <w:t>市场购买</w:t>
                  </w:r>
                </w:p>
              </w:tc>
            </w:tr>
            <w:tr w14:paraId="6E4E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shd w:val="clear" w:color="auto" w:fill="auto"/>
                  <w:vAlign w:val="center"/>
                </w:tcPr>
                <w:p w14:paraId="362A27E0">
                  <w:pPr>
                    <w:pStyle w:val="28"/>
                    <w:rPr>
                      <w:highlight w:val="none"/>
                    </w:rPr>
                  </w:pPr>
                  <w:r>
                    <w:rPr>
                      <w:rFonts w:hint="eastAsia"/>
                      <w:highlight w:val="none"/>
                    </w:rPr>
                    <w:t>5</w:t>
                  </w:r>
                </w:p>
              </w:tc>
              <w:tc>
                <w:tcPr>
                  <w:tcW w:w="2174" w:type="pct"/>
                  <w:vAlign w:val="center"/>
                </w:tcPr>
                <w:p w14:paraId="0A488968">
                  <w:pPr>
                    <w:pStyle w:val="28"/>
                    <w:rPr>
                      <w:highlight w:val="none"/>
                    </w:rPr>
                  </w:pPr>
                  <w:r>
                    <w:rPr>
                      <w:rFonts w:hint="eastAsia"/>
                      <w:highlight w:val="none"/>
                    </w:rPr>
                    <w:t>易耗品损耗（周转箱/制冷剂）</w:t>
                  </w:r>
                </w:p>
              </w:tc>
              <w:tc>
                <w:tcPr>
                  <w:tcW w:w="1098" w:type="pct"/>
                  <w:vAlign w:val="center"/>
                </w:tcPr>
                <w:p w14:paraId="1BCC03C5">
                  <w:pPr>
                    <w:pStyle w:val="28"/>
                    <w:rPr>
                      <w:highlight w:val="none"/>
                    </w:rPr>
                  </w:pPr>
                  <w:r>
                    <w:rPr>
                      <w:rFonts w:hint="eastAsia"/>
                      <w:highlight w:val="none"/>
                    </w:rPr>
                    <w:t>20000只/年</w:t>
                  </w:r>
                </w:p>
              </w:tc>
              <w:tc>
                <w:tcPr>
                  <w:tcW w:w="1242" w:type="pct"/>
                  <w:vAlign w:val="center"/>
                </w:tcPr>
                <w:p w14:paraId="7CB95DC0">
                  <w:pPr>
                    <w:pStyle w:val="28"/>
                    <w:rPr>
                      <w:highlight w:val="none"/>
                    </w:rPr>
                  </w:pPr>
                  <w:r>
                    <w:rPr>
                      <w:rFonts w:hint="eastAsia"/>
                      <w:highlight w:val="none"/>
                    </w:rPr>
                    <w:t>市场购买</w:t>
                  </w:r>
                </w:p>
              </w:tc>
            </w:tr>
            <w:tr w14:paraId="4A6E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shd w:val="clear" w:color="auto" w:fill="auto"/>
                  <w:vAlign w:val="center"/>
                </w:tcPr>
                <w:p w14:paraId="56F73693">
                  <w:pPr>
                    <w:pStyle w:val="28"/>
                    <w:rPr>
                      <w:highlight w:val="none"/>
                    </w:rPr>
                  </w:pPr>
                  <w:r>
                    <w:rPr>
                      <w:rFonts w:hint="eastAsia"/>
                      <w:highlight w:val="none"/>
                    </w:rPr>
                    <w:t>6</w:t>
                  </w:r>
                </w:p>
              </w:tc>
              <w:tc>
                <w:tcPr>
                  <w:tcW w:w="2174" w:type="pct"/>
                  <w:vAlign w:val="center"/>
                </w:tcPr>
                <w:p w14:paraId="64F598DD">
                  <w:pPr>
                    <w:pStyle w:val="28"/>
                    <w:rPr>
                      <w:highlight w:val="none"/>
                    </w:rPr>
                  </w:pPr>
                  <w:r>
                    <w:rPr>
                      <w:rFonts w:hint="eastAsia"/>
                      <w:highlight w:val="none"/>
                    </w:rPr>
                    <w:t>冷冻原料肉</w:t>
                  </w:r>
                </w:p>
              </w:tc>
              <w:tc>
                <w:tcPr>
                  <w:tcW w:w="1098" w:type="pct"/>
                  <w:vAlign w:val="center"/>
                </w:tcPr>
                <w:p w14:paraId="3CF652F7">
                  <w:pPr>
                    <w:pStyle w:val="28"/>
                    <w:rPr>
                      <w:highlight w:val="none"/>
                    </w:rPr>
                  </w:pPr>
                  <w:r>
                    <w:rPr>
                      <w:rFonts w:hint="eastAsia"/>
                      <w:highlight w:val="none"/>
                    </w:rPr>
                    <w:t>10000吨/年</w:t>
                  </w:r>
                </w:p>
              </w:tc>
              <w:tc>
                <w:tcPr>
                  <w:tcW w:w="1242" w:type="pct"/>
                  <w:vAlign w:val="center"/>
                </w:tcPr>
                <w:p w14:paraId="50D9B129">
                  <w:pPr>
                    <w:pStyle w:val="28"/>
                    <w:rPr>
                      <w:highlight w:val="none"/>
                    </w:rPr>
                  </w:pPr>
                  <w:r>
                    <w:rPr>
                      <w:rFonts w:hint="eastAsia"/>
                      <w:highlight w:val="none"/>
                    </w:rPr>
                    <w:t>原屠宰加工提供</w:t>
                  </w:r>
                </w:p>
              </w:tc>
            </w:tr>
            <w:tr w14:paraId="5A75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0492DA84">
                  <w:pPr>
                    <w:pStyle w:val="28"/>
                    <w:rPr>
                      <w:highlight w:val="none"/>
                    </w:rPr>
                  </w:pPr>
                  <w:r>
                    <w:rPr>
                      <w:rFonts w:hint="eastAsia"/>
                      <w:highlight w:val="none"/>
                    </w:rPr>
                    <w:t>7</w:t>
                  </w:r>
                </w:p>
              </w:tc>
              <w:tc>
                <w:tcPr>
                  <w:tcW w:w="2174" w:type="pct"/>
                  <w:vAlign w:val="center"/>
                </w:tcPr>
                <w:p w14:paraId="10D5AB69">
                  <w:pPr>
                    <w:pStyle w:val="28"/>
                    <w:rPr>
                      <w:highlight w:val="none"/>
                    </w:rPr>
                  </w:pPr>
                  <w:r>
                    <w:rPr>
                      <w:rFonts w:hint="eastAsia"/>
                      <w:highlight w:val="none"/>
                    </w:rPr>
                    <w:t>辅料（袋装佐料）</w:t>
                  </w:r>
                </w:p>
              </w:tc>
              <w:tc>
                <w:tcPr>
                  <w:tcW w:w="1098" w:type="pct"/>
                  <w:vAlign w:val="center"/>
                </w:tcPr>
                <w:p w14:paraId="701D8A1F">
                  <w:pPr>
                    <w:pStyle w:val="28"/>
                    <w:rPr>
                      <w:highlight w:val="none"/>
                    </w:rPr>
                  </w:pPr>
                  <w:r>
                    <w:rPr>
                      <w:rFonts w:hint="eastAsia"/>
                      <w:highlight w:val="none"/>
                    </w:rPr>
                    <w:t>500吨/年</w:t>
                  </w:r>
                </w:p>
              </w:tc>
              <w:tc>
                <w:tcPr>
                  <w:tcW w:w="1242" w:type="pct"/>
                  <w:vAlign w:val="center"/>
                </w:tcPr>
                <w:p w14:paraId="3848C332">
                  <w:pPr>
                    <w:pStyle w:val="28"/>
                    <w:rPr>
                      <w:highlight w:val="none"/>
                    </w:rPr>
                  </w:pPr>
                  <w:r>
                    <w:rPr>
                      <w:rFonts w:hint="eastAsia"/>
                      <w:highlight w:val="none"/>
                    </w:rPr>
                    <w:t>市场购买</w:t>
                  </w:r>
                </w:p>
              </w:tc>
            </w:tr>
            <w:tr w14:paraId="6AFF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595D3048">
                  <w:pPr>
                    <w:pStyle w:val="28"/>
                    <w:rPr>
                      <w:highlight w:val="none"/>
                    </w:rPr>
                  </w:pPr>
                  <w:r>
                    <w:rPr>
                      <w:rFonts w:hint="eastAsia"/>
                      <w:highlight w:val="none"/>
                    </w:rPr>
                    <w:t>8</w:t>
                  </w:r>
                </w:p>
              </w:tc>
              <w:tc>
                <w:tcPr>
                  <w:tcW w:w="2174" w:type="pct"/>
                  <w:vAlign w:val="center"/>
                </w:tcPr>
                <w:p w14:paraId="67121125">
                  <w:pPr>
                    <w:pStyle w:val="28"/>
                    <w:rPr>
                      <w:highlight w:val="none"/>
                    </w:rPr>
                  </w:pPr>
                  <w:r>
                    <w:rPr>
                      <w:rFonts w:hint="eastAsia"/>
                      <w:highlight w:val="none"/>
                    </w:rPr>
                    <w:t>新鲜水</w:t>
                  </w:r>
                </w:p>
              </w:tc>
              <w:tc>
                <w:tcPr>
                  <w:tcW w:w="1098" w:type="pct"/>
                  <w:vAlign w:val="center"/>
                </w:tcPr>
                <w:p w14:paraId="3B28B439">
                  <w:pPr>
                    <w:pStyle w:val="28"/>
                    <w:rPr>
                      <w:highlight w:val="none"/>
                    </w:rPr>
                  </w:pPr>
                  <w:r>
                    <w:rPr>
                      <w:rFonts w:hint="eastAsia"/>
                      <w:highlight w:val="none"/>
                    </w:rPr>
                    <w:t>39万吨</w:t>
                  </w:r>
                </w:p>
              </w:tc>
              <w:tc>
                <w:tcPr>
                  <w:tcW w:w="1242" w:type="pct"/>
                  <w:vAlign w:val="center"/>
                </w:tcPr>
                <w:p w14:paraId="2396CB3F">
                  <w:pPr>
                    <w:pStyle w:val="28"/>
                    <w:rPr>
                      <w:highlight w:val="none"/>
                    </w:rPr>
                  </w:pPr>
                  <w:r>
                    <w:rPr>
                      <w:rFonts w:hint="eastAsia"/>
                      <w:highlight w:val="none"/>
                    </w:rPr>
                    <w:t>十里箐水库</w:t>
                  </w:r>
                </w:p>
              </w:tc>
            </w:tr>
          </w:tbl>
          <w:p w14:paraId="77A242DB">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（3）原辅材料及用量</w:t>
            </w:r>
          </w:p>
          <w:p w14:paraId="26EBCDB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原项目使用原辅材料主要为活牛、冷冻原料肉、辅料等，原辅材料用量及能耗情况详见表2-1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p>
          <w:p w14:paraId="3F3F8639">
            <w:pPr>
              <w:pStyle w:val="30"/>
              <w:rPr>
                <w:rFonts w:hint="default"/>
                <w:highlight w:val="none"/>
              </w:rPr>
            </w:pPr>
            <w:r>
              <w:rPr>
                <w:highlight w:val="none"/>
              </w:rPr>
              <w:t>表2-1</w:t>
            </w:r>
            <w:r>
              <w:rPr>
                <w:rFonts w:hint="eastAsia"/>
                <w:highlight w:val="none"/>
                <w:lang w:val="en-US" w:eastAsia="zh-CN"/>
              </w:rPr>
              <w:t>2</w:t>
            </w:r>
            <w:r>
              <w:rPr>
                <w:highlight w:val="none"/>
              </w:rPr>
              <w:t>现有项目主要原辅材料一览表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634"/>
              <w:gridCol w:w="1836"/>
              <w:gridCol w:w="2077"/>
            </w:tblGrid>
            <w:tr w14:paraId="1AAB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030D2103">
                  <w:pPr>
                    <w:pStyle w:val="28"/>
                    <w:rPr>
                      <w:b/>
                      <w:bCs/>
                      <w:highlight w:val="none"/>
                    </w:rPr>
                  </w:pPr>
                  <w:r>
                    <w:rPr>
                      <w:rFonts w:hint="eastAsia"/>
                      <w:b/>
                      <w:bCs/>
                      <w:highlight w:val="none"/>
                    </w:rPr>
                    <w:t>序号</w:t>
                  </w:r>
                </w:p>
              </w:tc>
              <w:tc>
                <w:tcPr>
                  <w:tcW w:w="2174" w:type="pct"/>
                  <w:vAlign w:val="center"/>
                </w:tcPr>
                <w:p w14:paraId="29B81D93">
                  <w:pPr>
                    <w:pStyle w:val="28"/>
                    <w:rPr>
                      <w:b/>
                      <w:bCs/>
                      <w:highlight w:val="none"/>
                    </w:rPr>
                  </w:pPr>
                  <w:r>
                    <w:rPr>
                      <w:rFonts w:hint="eastAsia"/>
                      <w:b/>
                      <w:bCs/>
                      <w:highlight w:val="none"/>
                    </w:rPr>
                    <w:t>名称</w:t>
                  </w:r>
                </w:p>
              </w:tc>
              <w:tc>
                <w:tcPr>
                  <w:tcW w:w="1098" w:type="pct"/>
                  <w:vAlign w:val="center"/>
                </w:tcPr>
                <w:p w14:paraId="17534DB3">
                  <w:pPr>
                    <w:pStyle w:val="28"/>
                    <w:rPr>
                      <w:b/>
                      <w:bCs/>
                      <w:highlight w:val="none"/>
                    </w:rPr>
                  </w:pPr>
                  <w:r>
                    <w:rPr>
                      <w:rFonts w:hint="eastAsia"/>
                      <w:b/>
                      <w:bCs/>
                      <w:highlight w:val="none"/>
                    </w:rPr>
                    <w:t>年消耗量</w:t>
                  </w:r>
                </w:p>
              </w:tc>
              <w:tc>
                <w:tcPr>
                  <w:tcW w:w="1242" w:type="pct"/>
                  <w:vAlign w:val="center"/>
                </w:tcPr>
                <w:p w14:paraId="71D88678">
                  <w:pPr>
                    <w:pStyle w:val="28"/>
                    <w:rPr>
                      <w:b/>
                      <w:bCs/>
                      <w:highlight w:val="none"/>
                    </w:rPr>
                  </w:pPr>
                  <w:r>
                    <w:rPr>
                      <w:rFonts w:hint="eastAsia"/>
                      <w:b/>
                      <w:bCs/>
                      <w:highlight w:val="none"/>
                    </w:rPr>
                    <w:t>备注</w:t>
                  </w:r>
                </w:p>
              </w:tc>
            </w:tr>
            <w:tr w14:paraId="78BF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44C65E11">
                  <w:pPr>
                    <w:pStyle w:val="28"/>
                    <w:rPr>
                      <w:highlight w:val="none"/>
                    </w:rPr>
                  </w:pPr>
                  <w:r>
                    <w:rPr>
                      <w:rFonts w:hint="eastAsia"/>
                      <w:highlight w:val="none"/>
                    </w:rPr>
                    <w:t>1</w:t>
                  </w:r>
                </w:p>
              </w:tc>
              <w:tc>
                <w:tcPr>
                  <w:tcW w:w="2174" w:type="pct"/>
                  <w:vAlign w:val="center"/>
                </w:tcPr>
                <w:p w14:paraId="091383DA">
                  <w:pPr>
                    <w:pStyle w:val="28"/>
                    <w:rPr>
                      <w:highlight w:val="none"/>
                    </w:rPr>
                  </w:pPr>
                  <w:r>
                    <w:rPr>
                      <w:rFonts w:hint="eastAsia"/>
                      <w:highlight w:val="none"/>
                    </w:rPr>
                    <w:t>活牛</w:t>
                  </w:r>
                </w:p>
              </w:tc>
              <w:tc>
                <w:tcPr>
                  <w:tcW w:w="1098" w:type="pct"/>
                  <w:vAlign w:val="center"/>
                </w:tcPr>
                <w:p w14:paraId="4CB5F539">
                  <w:pPr>
                    <w:pStyle w:val="28"/>
                    <w:rPr>
                      <w:highlight w:val="none"/>
                    </w:rPr>
                  </w:pPr>
                  <w:r>
                    <w:rPr>
                      <w:rFonts w:hint="eastAsia"/>
                      <w:highlight w:val="none"/>
                    </w:rPr>
                    <w:t>30000头/年</w:t>
                  </w:r>
                </w:p>
              </w:tc>
              <w:tc>
                <w:tcPr>
                  <w:tcW w:w="1242" w:type="pct"/>
                  <w:vAlign w:val="center"/>
                </w:tcPr>
                <w:p w14:paraId="7B8D59EE">
                  <w:pPr>
                    <w:pStyle w:val="28"/>
                    <w:rPr>
                      <w:highlight w:val="none"/>
                    </w:rPr>
                  </w:pPr>
                  <w:r>
                    <w:rPr>
                      <w:rFonts w:hint="eastAsia"/>
                      <w:highlight w:val="none"/>
                    </w:rPr>
                    <w:t>/</w:t>
                  </w:r>
                </w:p>
              </w:tc>
            </w:tr>
            <w:tr w14:paraId="6385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76A386D1">
                  <w:pPr>
                    <w:pStyle w:val="28"/>
                    <w:rPr>
                      <w:highlight w:val="none"/>
                    </w:rPr>
                  </w:pPr>
                  <w:r>
                    <w:rPr>
                      <w:rFonts w:hint="eastAsia"/>
                      <w:highlight w:val="none"/>
                    </w:rPr>
                    <w:t>2</w:t>
                  </w:r>
                </w:p>
              </w:tc>
              <w:tc>
                <w:tcPr>
                  <w:tcW w:w="2174" w:type="pct"/>
                  <w:vAlign w:val="center"/>
                </w:tcPr>
                <w:p w14:paraId="7A77E7D9">
                  <w:pPr>
                    <w:pStyle w:val="28"/>
                    <w:rPr>
                      <w:highlight w:val="none"/>
                    </w:rPr>
                  </w:pPr>
                  <w:r>
                    <w:rPr>
                      <w:rFonts w:hint="eastAsia"/>
                      <w:highlight w:val="none"/>
                    </w:rPr>
                    <w:t>真空袋（折算）</w:t>
                  </w:r>
                </w:p>
              </w:tc>
              <w:tc>
                <w:tcPr>
                  <w:tcW w:w="1098" w:type="pct"/>
                  <w:vAlign w:val="center"/>
                </w:tcPr>
                <w:p w14:paraId="65066DA2">
                  <w:pPr>
                    <w:pStyle w:val="28"/>
                    <w:rPr>
                      <w:highlight w:val="none"/>
                    </w:rPr>
                  </w:pPr>
                  <w:r>
                    <w:rPr>
                      <w:rFonts w:hint="eastAsia"/>
                      <w:highlight w:val="none"/>
                    </w:rPr>
                    <w:t>30000只/年</w:t>
                  </w:r>
                </w:p>
              </w:tc>
              <w:tc>
                <w:tcPr>
                  <w:tcW w:w="1242" w:type="pct"/>
                  <w:vAlign w:val="center"/>
                </w:tcPr>
                <w:p w14:paraId="42A8DF28">
                  <w:pPr>
                    <w:pStyle w:val="28"/>
                    <w:rPr>
                      <w:highlight w:val="none"/>
                    </w:rPr>
                  </w:pPr>
                  <w:r>
                    <w:rPr>
                      <w:rFonts w:hint="eastAsia"/>
                      <w:highlight w:val="none"/>
                    </w:rPr>
                    <w:t>市场购买</w:t>
                  </w:r>
                </w:p>
              </w:tc>
            </w:tr>
            <w:tr w14:paraId="2EA9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1EFBD72E">
                  <w:pPr>
                    <w:pStyle w:val="28"/>
                    <w:rPr>
                      <w:highlight w:val="none"/>
                    </w:rPr>
                  </w:pPr>
                  <w:r>
                    <w:rPr>
                      <w:rFonts w:hint="eastAsia"/>
                      <w:highlight w:val="none"/>
                    </w:rPr>
                    <w:t>3</w:t>
                  </w:r>
                </w:p>
              </w:tc>
              <w:tc>
                <w:tcPr>
                  <w:tcW w:w="2174" w:type="pct"/>
                  <w:vAlign w:val="center"/>
                </w:tcPr>
                <w:p w14:paraId="3E7AC971">
                  <w:pPr>
                    <w:pStyle w:val="28"/>
                    <w:rPr>
                      <w:highlight w:val="none"/>
                    </w:rPr>
                  </w:pPr>
                  <w:r>
                    <w:rPr>
                      <w:rFonts w:hint="eastAsia"/>
                      <w:highlight w:val="none"/>
                    </w:rPr>
                    <w:t>纸箱</w:t>
                  </w:r>
                </w:p>
              </w:tc>
              <w:tc>
                <w:tcPr>
                  <w:tcW w:w="1098" w:type="pct"/>
                  <w:vAlign w:val="center"/>
                </w:tcPr>
                <w:p w14:paraId="078EC3B4">
                  <w:pPr>
                    <w:pStyle w:val="28"/>
                    <w:rPr>
                      <w:highlight w:val="none"/>
                    </w:rPr>
                  </w:pPr>
                  <w:r>
                    <w:rPr>
                      <w:rFonts w:hint="eastAsia"/>
                      <w:highlight w:val="none"/>
                    </w:rPr>
                    <w:t>15000只/年</w:t>
                  </w:r>
                </w:p>
              </w:tc>
              <w:tc>
                <w:tcPr>
                  <w:tcW w:w="1242" w:type="pct"/>
                  <w:vAlign w:val="center"/>
                </w:tcPr>
                <w:p w14:paraId="0AF68718">
                  <w:pPr>
                    <w:pStyle w:val="28"/>
                    <w:rPr>
                      <w:highlight w:val="none"/>
                    </w:rPr>
                  </w:pPr>
                  <w:r>
                    <w:rPr>
                      <w:rFonts w:hint="eastAsia"/>
                      <w:highlight w:val="none"/>
                    </w:rPr>
                    <w:t>市场购买</w:t>
                  </w:r>
                </w:p>
              </w:tc>
            </w:tr>
            <w:tr w14:paraId="1FDC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2F32C57A">
                  <w:pPr>
                    <w:pStyle w:val="28"/>
                    <w:rPr>
                      <w:highlight w:val="none"/>
                    </w:rPr>
                  </w:pPr>
                  <w:r>
                    <w:rPr>
                      <w:rFonts w:hint="eastAsia"/>
                      <w:highlight w:val="none"/>
                    </w:rPr>
                    <w:t>4</w:t>
                  </w:r>
                </w:p>
              </w:tc>
              <w:tc>
                <w:tcPr>
                  <w:tcW w:w="2174" w:type="pct"/>
                  <w:vAlign w:val="center"/>
                </w:tcPr>
                <w:p w14:paraId="49CEB7A8">
                  <w:pPr>
                    <w:pStyle w:val="28"/>
                    <w:rPr>
                      <w:highlight w:val="none"/>
                    </w:rPr>
                  </w:pPr>
                  <w:r>
                    <w:rPr>
                      <w:rFonts w:hint="eastAsia"/>
                      <w:highlight w:val="none"/>
                    </w:rPr>
                    <w:t>冷冻原料肉</w:t>
                  </w:r>
                </w:p>
              </w:tc>
              <w:tc>
                <w:tcPr>
                  <w:tcW w:w="1098" w:type="pct"/>
                  <w:vAlign w:val="center"/>
                </w:tcPr>
                <w:p w14:paraId="1A6875CF">
                  <w:pPr>
                    <w:pStyle w:val="28"/>
                    <w:rPr>
                      <w:highlight w:val="none"/>
                    </w:rPr>
                  </w:pPr>
                  <w:r>
                    <w:rPr>
                      <w:rFonts w:hint="eastAsia"/>
                      <w:highlight w:val="none"/>
                    </w:rPr>
                    <w:t>10000吨/年</w:t>
                  </w:r>
                </w:p>
              </w:tc>
              <w:tc>
                <w:tcPr>
                  <w:tcW w:w="1242" w:type="pct"/>
                  <w:vAlign w:val="center"/>
                </w:tcPr>
                <w:p w14:paraId="347C4E82">
                  <w:pPr>
                    <w:pStyle w:val="28"/>
                    <w:rPr>
                      <w:highlight w:val="none"/>
                    </w:rPr>
                  </w:pPr>
                  <w:r>
                    <w:rPr>
                      <w:rFonts w:hint="eastAsia"/>
                      <w:highlight w:val="none"/>
                    </w:rPr>
                    <w:t>原屠宰加工提供</w:t>
                  </w:r>
                </w:p>
              </w:tc>
            </w:tr>
            <w:tr w14:paraId="12C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6B7C8C4F">
                  <w:pPr>
                    <w:pStyle w:val="28"/>
                    <w:rPr>
                      <w:highlight w:val="none"/>
                    </w:rPr>
                  </w:pPr>
                  <w:r>
                    <w:rPr>
                      <w:rFonts w:hint="eastAsia"/>
                      <w:highlight w:val="none"/>
                    </w:rPr>
                    <w:t>5</w:t>
                  </w:r>
                </w:p>
              </w:tc>
              <w:tc>
                <w:tcPr>
                  <w:tcW w:w="2174" w:type="pct"/>
                  <w:vAlign w:val="center"/>
                </w:tcPr>
                <w:p w14:paraId="241F9C5A">
                  <w:pPr>
                    <w:pStyle w:val="28"/>
                    <w:rPr>
                      <w:highlight w:val="none"/>
                    </w:rPr>
                  </w:pPr>
                  <w:r>
                    <w:rPr>
                      <w:rFonts w:hint="eastAsia"/>
                      <w:highlight w:val="none"/>
                    </w:rPr>
                    <w:t>辅料（袋装佐料）</w:t>
                  </w:r>
                </w:p>
              </w:tc>
              <w:tc>
                <w:tcPr>
                  <w:tcW w:w="1098" w:type="pct"/>
                  <w:vAlign w:val="center"/>
                </w:tcPr>
                <w:p w14:paraId="6BBDE0AA">
                  <w:pPr>
                    <w:pStyle w:val="28"/>
                    <w:rPr>
                      <w:highlight w:val="none"/>
                    </w:rPr>
                  </w:pPr>
                  <w:r>
                    <w:rPr>
                      <w:rFonts w:hint="eastAsia"/>
                      <w:highlight w:val="none"/>
                    </w:rPr>
                    <w:t>500吨/年</w:t>
                  </w:r>
                </w:p>
              </w:tc>
              <w:tc>
                <w:tcPr>
                  <w:tcW w:w="1242" w:type="pct"/>
                  <w:vAlign w:val="center"/>
                </w:tcPr>
                <w:p w14:paraId="6E60CDE5">
                  <w:pPr>
                    <w:pStyle w:val="28"/>
                    <w:rPr>
                      <w:highlight w:val="none"/>
                    </w:rPr>
                  </w:pPr>
                  <w:r>
                    <w:rPr>
                      <w:rFonts w:hint="eastAsia"/>
                      <w:highlight w:val="none"/>
                    </w:rPr>
                    <w:t>市场购买</w:t>
                  </w:r>
                </w:p>
              </w:tc>
            </w:tr>
            <w:tr w14:paraId="188E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vAlign w:val="center"/>
                </w:tcPr>
                <w:p w14:paraId="13117472">
                  <w:pPr>
                    <w:pStyle w:val="28"/>
                    <w:rPr>
                      <w:highlight w:val="none"/>
                    </w:rPr>
                  </w:pPr>
                  <w:r>
                    <w:rPr>
                      <w:rFonts w:hint="eastAsia"/>
                      <w:highlight w:val="none"/>
                    </w:rPr>
                    <w:t>6</w:t>
                  </w:r>
                </w:p>
              </w:tc>
              <w:tc>
                <w:tcPr>
                  <w:tcW w:w="2174" w:type="pct"/>
                  <w:vAlign w:val="center"/>
                </w:tcPr>
                <w:p w14:paraId="1FACF06A">
                  <w:pPr>
                    <w:pStyle w:val="28"/>
                    <w:rPr>
                      <w:highlight w:val="none"/>
                    </w:rPr>
                  </w:pPr>
                  <w:r>
                    <w:rPr>
                      <w:rFonts w:hint="eastAsia"/>
                      <w:highlight w:val="none"/>
                    </w:rPr>
                    <w:t>新鲜水</w:t>
                  </w:r>
                </w:p>
              </w:tc>
              <w:tc>
                <w:tcPr>
                  <w:tcW w:w="1098" w:type="pct"/>
                  <w:vAlign w:val="center"/>
                </w:tcPr>
                <w:p w14:paraId="488FD26C">
                  <w:pPr>
                    <w:pStyle w:val="28"/>
                    <w:rPr>
                      <w:highlight w:val="none"/>
                    </w:rPr>
                  </w:pPr>
                  <w:r>
                    <w:rPr>
                      <w:rFonts w:hint="eastAsia"/>
                      <w:highlight w:val="none"/>
                    </w:rPr>
                    <w:t>39万吨</w:t>
                  </w:r>
                </w:p>
              </w:tc>
              <w:tc>
                <w:tcPr>
                  <w:tcW w:w="1242" w:type="pct"/>
                  <w:vAlign w:val="center"/>
                </w:tcPr>
                <w:p w14:paraId="508850C0">
                  <w:pPr>
                    <w:pStyle w:val="28"/>
                    <w:rPr>
                      <w:highlight w:val="none"/>
                    </w:rPr>
                  </w:pPr>
                  <w:r>
                    <w:rPr>
                      <w:rFonts w:hint="eastAsia"/>
                      <w:highlight w:val="none"/>
                    </w:rPr>
                    <w:t>十里箐水库</w:t>
                  </w:r>
                </w:p>
              </w:tc>
            </w:tr>
          </w:tbl>
          <w:p w14:paraId="35D8FB2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（4）主要设备</w:t>
            </w:r>
          </w:p>
          <w:p w14:paraId="6028FCA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原项目主要生产设备如表2-1</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所示。</w:t>
            </w:r>
          </w:p>
          <w:p w14:paraId="1F72B1C6">
            <w:pPr>
              <w:pStyle w:val="30"/>
              <w:rPr>
                <w:rFonts w:hint="default"/>
                <w:highlight w:val="none"/>
              </w:rPr>
            </w:pPr>
            <w:r>
              <w:rPr>
                <w:highlight w:val="none"/>
              </w:rPr>
              <w:t>表2-1</w:t>
            </w:r>
            <w:r>
              <w:rPr>
                <w:rFonts w:hint="eastAsia"/>
                <w:highlight w:val="none"/>
                <w:lang w:val="en-US" w:eastAsia="zh-CN"/>
              </w:rPr>
              <w:t>3</w:t>
            </w:r>
            <w:r>
              <w:rPr>
                <w:highlight w:val="none"/>
              </w:rPr>
              <w:t>现有项目主要设备一览表</w:t>
            </w:r>
          </w:p>
          <w:tbl>
            <w:tblPr>
              <w:tblStyle w:val="2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415"/>
              <w:gridCol w:w="2813"/>
              <w:gridCol w:w="2295"/>
            </w:tblGrid>
            <w:tr w14:paraId="3575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93" w:type="pct"/>
                  <w:vAlign w:val="center"/>
                </w:tcPr>
                <w:p w14:paraId="0E1AB780">
                  <w:pPr>
                    <w:pStyle w:val="28"/>
                    <w:rPr>
                      <w:b/>
                      <w:bCs/>
                      <w:highlight w:val="none"/>
                    </w:rPr>
                  </w:pPr>
                  <w:r>
                    <w:rPr>
                      <w:rFonts w:hint="eastAsia"/>
                      <w:b/>
                      <w:bCs/>
                      <w:highlight w:val="none"/>
                    </w:rPr>
                    <w:t>序号</w:t>
                  </w:r>
                </w:p>
              </w:tc>
              <w:tc>
                <w:tcPr>
                  <w:tcW w:w="1447" w:type="pct"/>
                  <w:vAlign w:val="center"/>
                </w:tcPr>
                <w:p w14:paraId="31FE5050">
                  <w:pPr>
                    <w:pStyle w:val="28"/>
                    <w:rPr>
                      <w:b/>
                      <w:bCs/>
                      <w:highlight w:val="none"/>
                    </w:rPr>
                  </w:pPr>
                  <w:r>
                    <w:rPr>
                      <w:rFonts w:hint="eastAsia"/>
                      <w:b/>
                      <w:bCs/>
                      <w:highlight w:val="none"/>
                    </w:rPr>
                    <w:t>名称</w:t>
                  </w:r>
                </w:p>
              </w:tc>
              <w:tc>
                <w:tcPr>
                  <w:tcW w:w="1685" w:type="pct"/>
                  <w:vAlign w:val="center"/>
                </w:tcPr>
                <w:p w14:paraId="045BEA5A">
                  <w:pPr>
                    <w:pStyle w:val="28"/>
                    <w:rPr>
                      <w:b/>
                      <w:bCs/>
                      <w:highlight w:val="none"/>
                    </w:rPr>
                  </w:pPr>
                  <w:r>
                    <w:rPr>
                      <w:rFonts w:hint="eastAsia"/>
                      <w:b/>
                      <w:bCs/>
                      <w:highlight w:val="none"/>
                    </w:rPr>
                    <w:t>型号规格</w:t>
                  </w:r>
                </w:p>
              </w:tc>
              <w:tc>
                <w:tcPr>
                  <w:tcW w:w="1373" w:type="pct"/>
                  <w:vAlign w:val="center"/>
                </w:tcPr>
                <w:p w14:paraId="553A37A4">
                  <w:pPr>
                    <w:pStyle w:val="28"/>
                    <w:rPr>
                      <w:b/>
                      <w:bCs/>
                      <w:highlight w:val="none"/>
                    </w:rPr>
                  </w:pPr>
                  <w:r>
                    <w:rPr>
                      <w:rFonts w:hint="eastAsia"/>
                      <w:b/>
                      <w:bCs/>
                      <w:highlight w:val="none"/>
                    </w:rPr>
                    <w:t>数量（台、件、套、个）</w:t>
                  </w:r>
                </w:p>
              </w:tc>
            </w:tr>
            <w:tr w14:paraId="5289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000" w:type="pct"/>
                  <w:gridSpan w:val="4"/>
                  <w:vAlign w:val="center"/>
                </w:tcPr>
                <w:p w14:paraId="74789F70">
                  <w:pPr>
                    <w:pStyle w:val="28"/>
                    <w:rPr>
                      <w:highlight w:val="none"/>
                    </w:rPr>
                  </w:pPr>
                  <w:r>
                    <w:rPr>
                      <w:rFonts w:hint="eastAsia"/>
                      <w:b/>
                      <w:bCs/>
                      <w:highlight w:val="none"/>
                    </w:rPr>
                    <w:t>牛屠宰生产线</w:t>
                  </w:r>
                </w:p>
              </w:tc>
            </w:tr>
            <w:tr w14:paraId="6066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E6462A1">
                  <w:pPr>
                    <w:pStyle w:val="28"/>
                    <w:rPr>
                      <w:highlight w:val="none"/>
                    </w:rPr>
                  </w:pPr>
                  <w:r>
                    <w:rPr>
                      <w:rFonts w:hint="eastAsia"/>
                      <w:highlight w:val="none"/>
                    </w:rPr>
                    <w:t>1</w:t>
                  </w:r>
                </w:p>
              </w:tc>
              <w:tc>
                <w:tcPr>
                  <w:tcW w:w="1447" w:type="pct"/>
                  <w:vAlign w:val="center"/>
                </w:tcPr>
                <w:p w14:paraId="6C28ABC7">
                  <w:pPr>
                    <w:pStyle w:val="28"/>
                    <w:rPr>
                      <w:highlight w:val="none"/>
                    </w:rPr>
                  </w:pPr>
                  <w:r>
                    <w:rPr>
                      <w:rFonts w:hint="eastAsia"/>
                      <w:highlight w:val="none"/>
                    </w:rPr>
                    <w:t>屠宰设备</w:t>
                  </w:r>
                </w:p>
              </w:tc>
              <w:tc>
                <w:tcPr>
                  <w:tcW w:w="1685" w:type="pct"/>
                  <w:vAlign w:val="center"/>
                </w:tcPr>
                <w:p w14:paraId="6F52E3B5">
                  <w:pPr>
                    <w:pStyle w:val="28"/>
                    <w:rPr>
                      <w:highlight w:val="none"/>
                    </w:rPr>
                  </w:pPr>
                  <w:r>
                    <w:rPr>
                      <w:rFonts w:hint="eastAsia"/>
                      <w:highlight w:val="none"/>
                    </w:rPr>
                    <w:t>/</w:t>
                  </w:r>
                </w:p>
              </w:tc>
              <w:tc>
                <w:tcPr>
                  <w:tcW w:w="1373" w:type="pct"/>
                  <w:vAlign w:val="center"/>
                </w:tcPr>
                <w:p w14:paraId="59F67EAE">
                  <w:pPr>
                    <w:pStyle w:val="28"/>
                    <w:rPr>
                      <w:highlight w:val="none"/>
                    </w:rPr>
                  </w:pPr>
                  <w:r>
                    <w:rPr>
                      <w:rFonts w:hint="eastAsia"/>
                      <w:highlight w:val="none"/>
                    </w:rPr>
                    <w:t>1</w:t>
                  </w:r>
                </w:p>
              </w:tc>
            </w:tr>
            <w:tr w14:paraId="7AFA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E93CF88">
                  <w:pPr>
                    <w:pStyle w:val="28"/>
                    <w:rPr>
                      <w:highlight w:val="none"/>
                    </w:rPr>
                  </w:pPr>
                  <w:r>
                    <w:rPr>
                      <w:rFonts w:hint="eastAsia"/>
                      <w:highlight w:val="none"/>
                    </w:rPr>
                    <w:t>2</w:t>
                  </w:r>
                </w:p>
              </w:tc>
              <w:tc>
                <w:tcPr>
                  <w:tcW w:w="1447" w:type="pct"/>
                  <w:vAlign w:val="center"/>
                </w:tcPr>
                <w:p w14:paraId="678D7E94">
                  <w:pPr>
                    <w:pStyle w:val="28"/>
                    <w:rPr>
                      <w:highlight w:val="none"/>
                    </w:rPr>
                  </w:pPr>
                  <w:r>
                    <w:rPr>
                      <w:rFonts w:hint="eastAsia"/>
                      <w:highlight w:val="none"/>
                    </w:rPr>
                    <w:t>搅拌机</w:t>
                  </w:r>
                </w:p>
              </w:tc>
              <w:tc>
                <w:tcPr>
                  <w:tcW w:w="1685" w:type="pct"/>
                  <w:vAlign w:val="center"/>
                </w:tcPr>
                <w:p w14:paraId="3A3DDC5E">
                  <w:pPr>
                    <w:jc w:val="center"/>
                    <w:rPr>
                      <w:highlight w:val="none"/>
                    </w:rPr>
                  </w:pPr>
                  <w:r>
                    <w:rPr>
                      <w:rFonts w:hint="eastAsia"/>
                      <w:highlight w:val="none"/>
                    </w:rPr>
                    <w:t>/</w:t>
                  </w:r>
                </w:p>
              </w:tc>
              <w:tc>
                <w:tcPr>
                  <w:tcW w:w="1373" w:type="pct"/>
                  <w:vAlign w:val="center"/>
                </w:tcPr>
                <w:p w14:paraId="723BCB80">
                  <w:pPr>
                    <w:pStyle w:val="28"/>
                    <w:rPr>
                      <w:highlight w:val="none"/>
                    </w:rPr>
                  </w:pPr>
                  <w:r>
                    <w:rPr>
                      <w:rFonts w:hint="eastAsia"/>
                      <w:highlight w:val="none"/>
                    </w:rPr>
                    <w:t>2</w:t>
                  </w:r>
                </w:p>
              </w:tc>
            </w:tr>
            <w:tr w14:paraId="2792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067E0FBA">
                  <w:pPr>
                    <w:pStyle w:val="28"/>
                    <w:rPr>
                      <w:highlight w:val="none"/>
                    </w:rPr>
                  </w:pPr>
                  <w:r>
                    <w:rPr>
                      <w:rFonts w:hint="eastAsia"/>
                      <w:highlight w:val="none"/>
                    </w:rPr>
                    <w:t>3</w:t>
                  </w:r>
                </w:p>
              </w:tc>
              <w:tc>
                <w:tcPr>
                  <w:tcW w:w="1447" w:type="pct"/>
                  <w:vAlign w:val="center"/>
                </w:tcPr>
                <w:p w14:paraId="2D2E02C0">
                  <w:pPr>
                    <w:pStyle w:val="28"/>
                    <w:rPr>
                      <w:highlight w:val="none"/>
                    </w:rPr>
                  </w:pPr>
                  <w:r>
                    <w:rPr>
                      <w:rFonts w:hint="eastAsia"/>
                      <w:highlight w:val="none"/>
                    </w:rPr>
                    <w:t>粉碎机</w:t>
                  </w:r>
                </w:p>
              </w:tc>
              <w:tc>
                <w:tcPr>
                  <w:tcW w:w="1685" w:type="pct"/>
                  <w:vAlign w:val="center"/>
                </w:tcPr>
                <w:p w14:paraId="592C51B8">
                  <w:pPr>
                    <w:jc w:val="center"/>
                    <w:rPr>
                      <w:highlight w:val="none"/>
                    </w:rPr>
                  </w:pPr>
                  <w:r>
                    <w:rPr>
                      <w:rFonts w:hint="eastAsia"/>
                      <w:highlight w:val="none"/>
                    </w:rPr>
                    <w:t>/</w:t>
                  </w:r>
                </w:p>
              </w:tc>
              <w:tc>
                <w:tcPr>
                  <w:tcW w:w="1373" w:type="pct"/>
                  <w:vAlign w:val="center"/>
                </w:tcPr>
                <w:p w14:paraId="1447F51C">
                  <w:pPr>
                    <w:pStyle w:val="28"/>
                    <w:rPr>
                      <w:highlight w:val="none"/>
                    </w:rPr>
                  </w:pPr>
                  <w:r>
                    <w:rPr>
                      <w:rFonts w:hint="eastAsia"/>
                      <w:highlight w:val="none"/>
                    </w:rPr>
                    <w:t>2</w:t>
                  </w:r>
                </w:p>
              </w:tc>
            </w:tr>
            <w:tr w14:paraId="0B4B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4B310E42">
                  <w:pPr>
                    <w:pStyle w:val="28"/>
                    <w:rPr>
                      <w:highlight w:val="none"/>
                    </w:rPr>
                  </w:pPr>
                  <w:r>
                    <w:rPr>
                      <w:rFonts w:hint="eastAsia"/>
                      <w:highlight w:val="none"/>
                    </w:rPr>
                    <w:t>4</w:t>
                  </w:r>
                </w:p>
              </w:tc>
              <w:tc>
                <w:tcPr>
                  <w:tcW w:w="1447" w:type="pct"/>
                  <w:vAlign w:val="center"/>
                </w:tcPr>
                <w:p w14:paraId="33FCDE3B">
                  <w:pPr>
                    <w:pStyle w:val="28"/>
                    <w:rPr>
                      <w:highlight w:val="none"/>
                    </w:rPr>
                  </w:pPr>
                  <w:r>
                    <w:rPr>
                      <w:rFonts w:hint="eastAsia"/>
                      <w:highlight w:val="none"/>
                    </w:rPr>
                    <w:t>铡草机</w:t>
                  </w:r>
                </w:p>
              </w:tc>
              <w:tc>
                <w:tcPr>
                  <w:tcW w:w="1685" w:type="pct"/>
                  <w:vAlign w:val="center"/>
                </w:tcPr>
                <w:p w14:paraId="06E658A0">
                  <w:pPr>
                    <w:jc w:val="center"/>
                    <w:rPr>
                      <w:highlight w:val="none"/>
                    </w:rPr>
                  </w:pPr>
                  <w:r>
                    <w:rPr>
                      <w:rFonts w:hint="eastAsia"/>
                      <w:highlight w:val="none"/>
                    </w:rPr>
                    <w:t>/</w:t>
                  </w:r>
                </w:p>
              </w:tc>
              <w:tc>
                <w:tcPr>
                  <w:tcW w:w="1373" w:type="pct"/>
                  <w:vAlign w:val="center"/>
                </w:tcPr>
                <w:p w14:paraId="4DE2A7C6">
                  <w:pPr>
                    <w:pStyle w:val="28"/>
                    <w:rPr>
                      <w:highlight w:val="none"/>
                    </w:rPr>
                  </w:pPr>
                  <w:r>
                    <w:rPr>
                      <w:rFonts w:hint="eastAsia"/>
                      <w:highlight w:val="none"/>
                    </w:rPr>
                    <w:t>1</w:t>
                  </w:r>
                </w:p>
              </w:tc>
            </w:tr>
            <w:tr w14:paraId="1FDE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EEB439E">
                  <w:pPr>
                    <w:pStyle w:val="28"/>
                    <w:rPr>
                      <w:highlight w:val="none"/>
                    </w:rPr>
                  </w:pPr>
                  <w:r>
                    <w:rPr>
                      <w:rFonts w:hint="eastAsia"/>
                      <w:highlight w:val="none"/>
                    </w:rPr>
                    <w:t>5</w:t>
                  </w:r>
                </w:p>
              </w:tc>
              <w:tc>
                <w:tcPr>
                  <w:tcW w:w="1447" w:type="pct"/>
                  <w:vAlign w:val="center"/>
                </w:tcPr>
                <w:p w14:paraId="028DDD7E">
                  <w:pPr>
                    <w:pStyle w:val="28"/>
                    <w:rPr>
                      <w:highlight w:val="none"/>
                    </w:rPr>
                  </w:pPr>
                  <w:r>
                    <w:rPr>
                      <w:rFonts w:hint="eastAsia"/>
                      <w:highlight w:val="none"/>
                    </w:rPr>
                    <w:t>潜水泵</w:t>
                  </w:r>
                </w:p>
              </w:tc>
              <w:tc>
                <w:tcPr>
                  <w:tcW w:w="1685" w:type="pct"/>
                  <w:vAlign w:val="center"/>
                </w:tcPr>
                <w:p w14:paraId="1776DD21">
                  <w:pPr>
                    <w:jc w:val="center"/>
                    <w:rPr>
                      <w:highlight w:val="none"/>
                    </w:rPr>
                  </w:pPr>
                  <w:r>
                    <w:rPr>
                      <w:rFonts w:hint="eastAsia"/>
                      <w:highlight w:val="none"/>
                    </w:rPr>
                    <w:t>/</w:t>
                  </w:r>
                </w:p>
              </w:tc>
              <w:tc>
                <w:tcPr>
                  <w:tcW w:w="1373" w:type="pct"/>
                  <w:vAlign w:val="center"/>
                </w:tcPr>
                <w:p w14:paraId="460DF0DD">
                  <w:pPr>
                    <w:pStyle w:val="28"/>
                    <w:rPr>
                      <w:highlight w:val="none"/>
                    </w:rPr>
                  </w:pPr>
                  <w:r>
                    <w:rPr>
                      <w:rFonts w:hint="eastAsia"/>
                      <w:highlight w:val="none"/>
                    </w:rPr>
                    <w:t>1</w:t>
                  </w:r>
                </w:p>
              </w:tc>
            </w:tr>
            <w:tr w14:paraId="41FD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9DB581B">
                  <w:pPr>
                    <w:pStyle w:val="28"/>
                    <w:rPr>
                      <w:highlight w:val="none"/>
                    </w:rPr>
                  </w:pPr>
                  <w:r>
                    <w:rPr>
                      <w:rFonts w:hint="eastAsia"/>
                      <w:highlight w:val="none"/>
                    </w:rPr>
                    <w:t>6</w:t>
                  </w:r>
                </w:p>
              </w:tc>
              <w:tc>
                <w:tcPr>
                  <w:tcW w:w="1447" w:type="pct"/>
                  <w:vAlign w:val="center"/>
                </w:tcPr>
                <w:p w14:paraId="5ECFDED8">
                  <w:pPr>
                    <w:pStyle w:val="28"/>
                    <w:rPr>
                      <w:highlight w:val="none"/>
                    </w:rPr>
                  </w:pPr>
                  <w:r>
                    <w:rPr>
                      <w:rFonts w:hint="eastAsia"/>
                      <w:highlight w:val="none"/>
                    </w:rPr>
                    <w:t>压缩机</w:t>
                  </w:r>
                </w:p>
              </w:tc>
              <w:tc>
                <w:tcPr>
                  <w:tcW w:w="1685" w:type="pct"/>
                  <w:vAlign w:val="center"/>
                </w:tcPr>
                <w:p w14:paraId="67A4F8E8">
                  <w:pPr>
                    <w:jc w:val="center"/>
                    <w:rPr>
                      <w:highlight w:val="none"/>
                    </w:rPr>
                  </w:pPr>
                  <w:r>
                    <w:rPr>
                      <w:rFonts w:hint="eastAsia"/>
                      <w:highlight w:val="none"/>
                    </w:rPr>
                    <w:t>/</w:t>
                  </w:r>
                </w:p>
              </w:tc>
              <w:tc>
                <w:tcPr>
                  <w:tcW w:w="1373" w:type="pct"/>
                  <w:vAlign w:val="center"/>
                </w:tcPr>
                <w:p w14:paraId="3EEDC076">
                  <w:pPr>
                    <w:pStyle w:val="28"/>
                    <w:rPr>
                      <w:highlight w:val="none"/>
                    </w:rPr>
                  </w:pPr>
                  <w:r>
                    <w:rPr>
                      <w:rFonts w:hint="eastAsia"/>
                      <w:highlight w:val="none"/>
                    </w:rPr>
                    <w:t>1</w:t>
                  </w:r>
                </w:p>
              </w:tc>
            </w:tr>
            <w:tr w14:paraId="204D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C038320">
                  <w:pPr>
                    <w:pStyle w:val="28"/>
                    <w:rPr>
                      <w:highlight w:val="none"/>
                    </w:rPr>
                  </w:pPr>
                  <w:r>
                    <w:rPr>
                      <w:rFonts w:hint="eastAsia"/>
                      <w:highlight w:val="none"/>
                    </w:rPr>
                    <w:t>7</w:t>
                  </w:r>
                </w:p>
              </w:tc>
              <w:tc>
                <w:tcPr>
                  <w:tcW w:w="1447" w:type="pct"/>
                  <w:vAlign w:val="center"/>
                </w:tcPr>
                <w:p w14:paraId="1DCA3E31">
                  <w:pPr>
                    <w:pStyle w:val="28"/>
                    <w:rPr>
                      <w:highlight w:val="none"/>
                    </w:rPr>
                  </w:pPr>
                  <w:r>
                    <w:rPr>
                      <w:rFonts w:hint="eastAsia"/>
                      <w:highlight w:val="none"/>
                    </w:rPr>
                    <w:t>真空包装机</w:t>
                  </w:r>
                </w:p>
              </w:tc>
              <w:tc>
                <w:tcPr>
                  <w:tcW w:w="1685" w:type="pct"/>
                  <w:vAlign w:val="center"/>
                </w:tcPr>
                <w:p w14:paraId="72C08FED">
                  <w:pPr>
                    <w:jc w:val="center"/>
                    <w:rPr>
                      <w:highlight w:val="none"/>
                    </w:rPr>
                  </w:pPr>
                  <w:r>
                    <w:rPr>
                      <w:rFonts w:hint="eastAsia"/>
                      <w:highlight w:val="none"/>
                    </w:rPr>
                    <w:t>/</w:t>
                  </w:r>
                </w:p>
              </w:tc>
              <w:tc>
                <w:tcPr>
                  <w:tcW w:w="1373" w:type="pct"/>
                  <w:vAlign w:val="center"/>
                </w:tcPr>
                <w:p w14:paraId="605E64CB">
                  <w:pPr>
                    <w:pStyle w:val="28"/>
                    <w:rPr>
                      <w:highlight w:val="none"/>
                    </w:rPr>
                  </w:pPr>
                  <w:r>
                    <w:rPr>
                      <w:rFonts w:hint="eastAsia"/>
                      <w:highlight w:val="none"/>
                    </w:rPr>
                    <w:t>1</w:t>
                  </w:r>
                </w:p>
              </w:tc>
            </w:tr>
            <w:tr w14:paraId="6BF6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B96E656">
                  <w:pPr>
                    <w:pStyle w:val="28"/>
                    <w:rPr>
                      <w:highlight w:val="none"/>
                    </w:rPr>
                  </w:pPr>
                  <w:r>
                    <w:rPr>
                      <w:rFonts w:hint="eastAsia"/>
                      <w:highlight w:val="none"/>
                    </w:rPr>
                    <w:t>8</w:t>
                  </w:r>
                </w:p>
              </w:tc>
              <w:tc>
                <w:tcPr>
                  <w:tcW w:w="1447" w:type="pct"/>
                  <w:vAlign w:val="center"/>
                </w:tcPr>
                <w:p w14:paraId="470F5605">
                  <w:pPr>
                    <w:pStyle w:val="28"/>
                    <w:rPr>
                      <w:highlight w:val="none"/>
                    </w:rPr>
                  </w:pPr>
                  <w:r>
                    <w:rPr>
                      <w:rFonts w:hint="eastAsia"/>
                      <w:highlight w:val="none"/>
                    </w:rPr>
                    <w:t>宰牛刀</w:t>
                  </w:r>
                </w:p>
              </w:tc>
              <w:tc>
                <w:tcPr>
                  <w:tcW w:w="1685" w:type="pct"/>
                  <w:vAlign w:val="center"/>
                </w:tcPr>
                <w:p w14:paraId="3263E36C">
                  <w:pPr>
                    <w:jc w:val="center"/>
                    <w:rPr>
                      <w:highlight w:val="none"/>
                    </w:rPr>
                  </w:pPr>
                  <w:r>
                    <w:rPr>
                      <w:rFonts w:hint="eastAsia"/>
                      <w:highlight w:val="none"/>
                    </w:rPr>
                    <w:t>/</w:t>
                  </w:r>
                </w:p>
              </w:tc>
              <w:tc>
                <w:tcPr>
                  <w:tcW w:w="1373" w:type="pct"/>
                  <w:vAlign w:val="center"/>
                </w:tcPr>
                <w:p w14:paraId="3D186566">
                  <w:pPr>
                    <w:pStyle w:val="28"/>
                    <w:rPr>
                      <w:highlight w:val="none"/>
                    </w:rPr>
                  </w:pPr>
                  <w:r>
                    <w:rPr>
                      <w:rFonts w:hint="eastAsia"/>
                      <w:highlight w:val="none"/>
                    </w:rPr>
                    <w:t>1</w:t>
                  </w:r>
                </w:p>
              </w:tc>
            </w:tr>
            <w:tr w14:paraId="01DD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7E0E1B6">
                  <w:pPr>
                    <w:pStyle w:val="28"/>
                    <w:rPr>
                      <w:highlight w:val="none"/>
                    </w:rPr>
                  </w:pPr>
                  <w:r>
                    <w:rPr>
                      <w:rFonts w:hint="eastAsia"/>
                      <w:highlight w:val="none"/>
                    </w:rPr>
                    <w:t>9</w:t>
                  </w:r>
                </w:p>
              </w:tc>
              <w:tc>
                <w:tcPr>
                  <w:tcW w:w="1447" w:type="pct"/>
                  <w:vAlign w:val="center"/>
                </w:tcPr>
                <w:p w14:paraId="09400BDD">
                  <w:pPr>
                    <w:pStyle w:val="28"/>
                    <w:rPr>
                      <w:highlight w:val="none"/>
                    </w:rPr>
                  </w:pPr>
                  <w:r>
                    <w:rPr>
                      <w:rFonts w:hint="eastAsia"/>
                      <w:highlight w:val="none"/>
                    </w:rPr>
                    <w:t>劈半锯</w:t>
                  </w:r>
                </w:p>
              </w:tc>
              <w:tc>
                <w:tcPr>
                  <w:tcW w:w="1685" w:type="pct"/>
                  <w:vAlign w:val="center"/>
                </w:tcPr>
                <w:p w14:paraId="7913E3CA">
                  <w:pPr>
                    <w:jc w:val="center"/>
                    <w:rPr>
                      <w:highlight w:val="none"/>
                    </w:rPr>
                  </w:pPr>
                  <w:r>
                    <w:rPr>
                      <w:rFonts w:hint="eastAsia"/>
                      <w:highlight w:val="none"/>
                    </w:rPr>
                    <w:t>/</w:t>
                  </w:r>
                </w:p>
              </w:tc>
              <w:tc>
                <w:tcPr>
                  <w:tcW w:w="1373" w:type="pct"/>
                  <w:vAlign w:val="center"/>
                </w:tcPr>
                <w:p w14:paraId="0B16B9AB">
                  <w:pPr>
                    <w:pStyle w:val="28"/>
                    <w:rPr>
                      <w:highlight w:val="none"/>
                    </w:rPr>
                  </w:pPr>
                  <w:r>
                    <w:rPr>
                      <w:rFonts w:hint="eastAsia"/>
                      <w:highlight w:val="none"/>
                    </w:rPr>
                    <w:t>1</w:t>
                  </w:r>
                </w:p>
              </w:tc>
            </w:tr>
            <w:tr w14:paraId="3A7B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9193AEA">
                  <w:pPr>
                    <w:pStyle w:val="28"/>
                    <w:rPr>
                      <w:highlight w:val="none"/>
                    </w:rPr>
                  </w:pPr>
                  <w:r>
                    <w:rPr>
                      <w:rFonts w:hint="eastAsia"/>
                      <w:highlight w:val="none"/>
                    </w:rPr>
                    <w:t>10</w:t>
                  </w:r>
                </w:p>
              </w:tc>
              <w:tc>
                <w:tcPr>
                  <w:tcW w:w="1447" w:type="pct"/>
                  <w:vAlign w:val="center"/>
                </w:tcPr>
                <w:p w14:paraId="47F5E2A0">
                  <w:pPr>
                    <w:pStyle w:val="28"/>
                    <w:rPr>
                      <w:highlight w:val="none"/>
                    </w:rPr>
                  </w:pPr>
                  <w:r>
                    <w:rPr>
                      <w:rFonts w:hint="eastAsia"/>
                      <w:highlight w:val="none"/>
                    </w:rPr>
                    <w:t>锯骨机</w:t>
                  </w:r>
                </w:p>
              </w:tc>
              <w:tc>
                <w:tcPr>
                  <w:tcW w:w="1685" w:type="pct"/>
                  <w:vAlign w:val="center"/>
                </w:tcPr>
                <w:p w14:paraId="3F03E6C5">
                  <w:pPr>
                    <w:jc w:val="center"/>
                    <w:rPr>
                      <w:highlight w:val="none"/>
                    </w:rPr>
                  </w:pPr>
                  <w:r>
                    <w:rPr>
                      <w:rFonts w:hint="eastAsia"/>
                      <w:highlight w:val="none"/>
                    </w:rPr>
                    <w:t>/</w:t>
                  </w:r>
                </w:p>
              </w:tc>
              <w:tc>
                <w:tcPr>
                  <w:tcW w:w="1373" w:type="pct"/>
                  <w:vAlign w:val="center"/>
                </w:tcPr>
                <w:p w14:paraId="13B8FAD2">
                  <w:pPr>
                    <w:pStyle w:val="28"/>
                    <w:rPr>
                      <w:highlight w:val="none"/>
                    </w:rPr>
                  </w:pPr>
                  <w:r>
                    <w:rPr>
                      <w:rFonts w:hint="eastAsia"/>
                      <w:highlight w:val="none"/>
                    </w:rPr>
                    <w:t>1</w:t>
                  </w:r>
                </w:p>
              </w:tc>
            </w:tr>
            <w:tr w14:paraId="2051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1D20C5F6">
                  <w:pPr>
                    <w:pStyle w:val="28"/>
                    <w:rPr>
                      <w:highlight w:val="none"/>
                    </w:rPr>
                  </w:pPr>
                  <w:r>
                    <w:rPr>
                      <w:rFonts w:hint="eastAsia"/>
                      <w:highlight w:val="none"/>
                    </w:rPr>
                    <w:t>11</w:t>
                  </w:r>
                </w:p>
              </w:tc>
              <w:tc>
                <w:tcPr>
                  <w:tcW w:w="1447" w:type="pct"/>
                  <w:vAlign w:val="center"/>
                </w:tcPr>
                <w:p w14:paraId="0D5732EE">
                  <w:pPr>
                    <w:pStyle w:val="28"/>
                    <w:rPr>
                      <w:highlight w:val="none"/>
                    </w:rPr>
                  </w:pPr>
                  <w:r>
                    <w:rPr>
                      <w:rFonts w:hint="eastAsia"/>
                      <w:highlight w:val="none"/>
                    </w:rPr>
                    <w:t>切片机</w:t>
                  </w:r>
                </w:p>
              </w:tc>
              <w:tc>
                <w:tcPr>
                  <w:tcW w:w="1685" w:type="pct"/>
                  <w:vAlign w:val="center"/>
                </w:tcPr>
                <w:p w14:paraId="65498FA7">
                  <w:pPr>
                    <w:jc w:val="center"/>
                    <w:rPr>
                      <w:highlight w:val="none"/>
                    </w:rPr>
                  </w:pPr>
                  <w:r>
                    <w:rPr>
                      <w:rFonts w:hint="eastAsia"/>
                      <w:highlight w:val="none"/>
                    </w:rPr>
                    <w:t>/</w:t>
                  </w:r>
                </w:p>
              </w:tc>
              <w:tc>
                <w:tcPr>
                  <w:tcW w:w="1373" w:type="pct"/>
                  <w:vAlign w:val="center"/>
                </w:tcPr>
                <w:p w14:paraId="5218E68A">
                  <w:pPr>
                    <w:pStyle w:val="28"/>
                    <w:rPr>
                      <w:highlight w:val="none"/>
                    </w:rPr>
                  </w:pPr>
                  <w:r>
                    <w:rPr>
                      <w:rFonts w:hint="eastAsia"/>
                      <w:highlight w:val="none"/>
                    </w:rPr>
                    <w:t>1</w:t>
                  </w:r>
                </w:p>
              </w:tc>
            </w:tr>
            <w:tr w14:paraId="7539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6154A82C">
                  <w:pPr>
                    <w:pStyle w:val="28"/>
                    <w:rPr>
                      <w:highlight w:val="none"/>
                    </w:rPr>
                  </w:pPr>
                  <w:r>
                    <w:rPr>
                      <w:rFonts w:hint="eastAsia"/>
                      <w:highlight w:val="none"/>
                    </w:rPr>
                    <w:t>12</w:t>
                  </w:r>
                </w:p>
              </w:tc>
              <w:tc>
                <w:tcPr>
                  <w:tcW w:w="1447" w:type="pct"/>
                  <w:vAlign w:val="center"/>
                </w:tcPr>
                <w:p w14:paraId="07C480A5">
                  <w:pPr>
                    <w:pStyle w:val="28"/>
                    <w:rPr>
                      <w:highlight w:val="none"/>
                    </w:rPr>
                  </w:pPr>
                  <w:r>
                    <w:rPr>
                      <w:rFonts w:hint="eastAsia"/>
                      <w:highlight w:val="none"/>
                    </w:rPr>
                    <w:t>绞肉机</w:t>
                  </w:r>
                </w:p>
              </w:tc>
              <w:tc>
                <w:tcPr>
                  <w:tcW w:w="1685" w:type="pct"/>
                  <w:vAlign w:val="center"/>
                </w:tcPr>
                <w:p w14:paraId="1887F98F">
                  <w:pPr>
                    <w:jc w:val="center"/>
                    <w:rPr>
                      <w:highlight w:val="none"/>
                    </w:rPr>
                  </w:pPr>
                  <w:r>
                    <w:rPr>
                      <w:rFonts w:hint="eastAsia"/>
                      <w:highlight w:val="none"/>
                    </w:rPr>
                    <w:t>/</w:t>
                  </w:r>
                </w:p>
              </w:tc>
              <w:tc>
                <w:tcPr>
                  <w:tcW w:w="1373" w:type="pct"/>
                  <w:vAlign w:val="center"/>
                </w:tcPr>
                <w:p w14:paraId="337D9E98">
                  <w:pPr>
                    <w:pStyle w:val="28"/>
                    <w:rPr>
                      <w:highlight w:val="none"/>
                    </w:rPr>
                  </w:pPr>
                  <w:r>
                    <w:rPr>
                      <w:rFonts w:hint="eastAsia"/>
                      <w:highlight w:val="none"/>
                    </w:rPr>
                    <w:t>1</w:t>
                  </w:r>
                </w:p>
              </w:tc>
            </w:tr>
            <w:tr w14:paraId="2E64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4BCC378A">
                  <w:pPr>
                    <w:pStyle w:val="28"/>
                    <w:rPr>
                      <w:highlight w:val="none"/>
                    </w:rPr>
                  </w:pPr>
                  <w:r>
                    <w:rPr>
                      <w:rFonts w:hint="eastAsia"/>
                      <w:highlight w:val="none"/>
                    </w:rPr>
                    <w:t>13</w:t>
                  </w:r>
                </w:p>
              </w:tc>
              <w:tc>
                <w:tcPr>
                  <w:tcW w:w="1447" w:type="pct"/>
                  <w:vAlign w:val="center"/>
                </w:tcPr>
                <w:p w14:paraId="747B79FA">
                  <w:pPr>
                    <w:pStyle w:val="28"/>
                    <w:rPr>
                      <w:highlight w:val="none"/>
                    </w:rPr>
                  </w:pPr>
                  <w:r>
                    <w:rPr>
                      <w:rFonts w:hint="eastAsia"/>
                      <w:highlight w:val="none"/>
                    </w:rPr>
                    <w:t>生产用切片机</w:t>
                  </w:r>
                </w:p>
              </w:tc>
              <w:tc>
                <w:tcPr>
                  <w:tcW w:w="1685" w:type="pct"/>
                  <w:vAlign w:val="center"/>
                </w:tcPr>
                <w:p w14:paraId="40036BA6">
                  <w:pPr>
                    <w:jc w:val="center"/>
                    <w:rPr>
                      <w:highlight w:val="none"/>
                    </w:rPr>
                  </w:pPr>
                  <w:r>
                    <w:rPr>
                      <w:rFonts w:hint="eastAsia"/>
                      <w:highlight w:val="none"/>
                    </w:rPr>
                    <w:t>/</w:t>
                  </w:r>
                </w:p>
              </w:tc>
              <w:tc>
                <w:tcPr>
                  <w:tcW w:w="1373" w:type="pct"/>
                  <w:vAlign w:val="center"/>
                </w:tcPr>
                <w:p w14:paraId="5E4594A6">
                  <w:pPr>
                    <w:pStyle w:val="28"/>
                    <w:rPr>
                      <w:highlight w:val="none"/>
                    </w:rPr>
                  </w:pPr>
                  <w:r>
                    <w:rPr>
                      <w:rFonts w:hint="eastAsia"/>
                      <w:highlight w:val="none"/>
                    </w:rPr>
                    <w:t>1</w:t>
                  </w:r>
                </w:p>
              </w:tc>
            </w:tr>
            <w:tr w14:paraId="2069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FA44A7C">
                  <w:pPr>
                    <w:pStyle w:val="28"/>
                    <w:rPr>
                      <w:highlight w:val="none"/>
                    </w:rPr>
                  </w:pPr>
                  <w:r>
                    <w:rPr>
                      <w:rFonts w:hint="eastAsia"/>
                      <w:highlight w:val="none"/>
                    </w:rPr>
                    <w:t>14</w:t>
                  </w:r>
                </w:p>
              </w:tc>
              <w:tc>
                <w:tcPr>
                  <w:tcW w:w="1447" w:type="pct"/>
                  <w:vAlign w:val="center"/>
                </w:tcPr>
                <w:p w14:paraId="3CCA5528">
                  <w:pPr>
                    <w:pStyle w:val="28"/>
                    <w:rPr>
                      <w:highlight w:val="none"/>
                    </w:rPr>
                  </w:pPr>
                  <w:r>
                    <w:rPr>
                      <w:rFonts w:hint="eastAsia"/>
                      <w:highlight w:val="none"/>
                    </w:rPr>
                    <w:t>15吨地磅秤</w:t>
                  </w:r>
                </w:p>
              </w:tc>
              <w:tc>
                <w:tcPr>
                  <w:tcW w:w="1685" w:type="pct"/>
                  <w:vAlign w:val="center"/>
                </w:tcPr>
                <w:p w14:paraId="3931BEC4">
                  <w:pPr>
                    <w:jc w:val="center"/>
                    <w:rPr>
                      <w:highlight w:val="none"/>
                    </w:rPr>
                  </w:pPr>
                  <w:r>
                    <w:rPr>
                      <w:rFonts w:hint="eastAsia"/>
                      <w:highlight w:val="none"/>
                    </w:rPr>
                    <w:t>/</w:t>
                  </w:r>
                </w:p>
              </w:tc>
              <w:tc>
                <w:tcPr>
                  <w:tcW w:w="1373" w:type="pct"/>
                  <w:vAlign w:val="center"/>
                </w:tcPr>
                <w:p w14:paraId="447039DF">
                  <w:pPr>
                    <w:pStyle w:val="28"/>
                    <w:rPr>
                      <w:highlight w:val="none"/>
                    </w:rPr>
                  </w:pPr>
                  <w:r>
                    <w:rPr>
                      <w:rFonts w:hint="eastAsia"/>
                      <w:highlight w:val="none"/>
                    </w:rPr>
                    <w:t>1</w:t>
                  </w:r>
                </w:p>
              </w:tc>
            </w:tr>
            <w:tr w14:paraId="546A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7BBA10D">
                  <w:pPr>
                    <w:pStyle w:val="28"/>
                    <w:rPr>
                      <w:highlight w:val="none"/>
                    </w:rPr>
                  </w:pPr>
                  <w:r>
                    <w:rPr>
                      <w:rFonts w:hint="eastAsia"/>
                      <w:highlight w:val="none"/>
                    </w:rPr>
                    <w:t>15</w:t>
                  </w:r>
                </w:p>
              </w:tc>
              <w:tc>
                <w:tcPr>
                  <w:tcW w:w="1447" w:type="pct"/>
                  <w:vAlign w:val="center"/>
                </w:tcPr>
                <w:p w14:paraId="741E70D2">
                  <w:pPr>
                    <w:pStyle w:val="28"/>
                    <w:rPr>
                      <w:highlight w:val="none"/>
                    </w:rPr>
                  </w:pPr>
                  <w:r>
                    <w:rPr>
                      <w:rFonts w:hint="eastAsia"/>
                      <w:highlight w:val="none"/>
                    </w:rPr>
                    <w:t>牲口称</w:t>
                  </w:r>
                </w:p>
              </w:tc>
              <w:tc>
                <w:tcPr>
                  <w:tcW w:w="1685" w:type="pct"/>
                  <w:vAlign w:val="center"/>
                </w:tcPr>
                <w:p w14:paraId="4EDB274B">
                  <w:pPr>
                    <w:jc w:val="center"/>
                    <w:rPr>
                      <w:highlight w:val="none"/>
                    </w:rPr>
                  </w:pPr>
                  <w:r>
                    <w:rPr>
                      <w:rFonts w:hint="eastAsia"/>
                      <w:highlight w:val="none"/>
                    </w:rPr>
                    <w:t>/</w:t>
                  </w:r>
                </w:p>
              </w:tc>
              <w:tc>
                <w:tcPr>
                  <w:tcW w:w="1373" w:type="pct"/>
                  <w:vAlign w:val="center"/>
                </w:tcPr>
                <w:p w14:paraId="487F3D97">
                  <w:pPr>
                    <w:pStyle w:val="28"/>
                    <w:rPr>
                      <w:highlight w:val="none"/>
                    </w:rPr>
                  </w:pPr>
                  <w:r>
                    <w:rPr>
                      <w:rFonts w:hint="eastAsia"/>
                      <w:highlight w:val="none"/>
                    </w:rPr>
                    <w:t>1</w:t>
                  </w:r>
                </w:p>
              </w:tc>
            </w:tr>
            <w:tr w14:paraId="2A83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1972DCB6">
                  <w:pPr>
                    <w:pStyle w:val="28"/>
                    <w:rPr>
                      <w:highlight w:val="none"/>
                    </w:rPr>
                  </w:pPr>
                  <w:r>
                    <w:rPr>
                      <w:rFonts w:hint="eastAsia"/>
                      <w:highlight w:val="none"/>
                    </w:rPr>
                    <w:t>16</w:t>
                  </w:r>
                </w:p>
              </w:tc>
              <w:tc>
                <w:tcPr>
                  <w:tcW w:w="1447" w:type="pct"/>
                  <w:vAlign w:val="center"/>
                </w:tcPr>
                <w:p w14:paraId="6689E9DD">
                  <w:pPr>
                    <w:pStyle w:val="28"/>
                    <w:rPr>
                      <w:highlight w:val="none"/>
                    </w:rPr>
                  </w:pPr>
                  <w:r>
                    <w:rPr>
                      <w:rFonts w:hint="eastAsia"/>
                      <w:highlight w:val="none"/>
                    </w:rPr>
                    <w:t>防疫设备</w:t>
                  </w:r>
                </w:p>
              </w:tc>
              <w:tc>
                <w:tcPr>
                  <w:tcW w:w="1685" w:type="pct"/>
                  <w:vAlign w:val="center"/>
                </w:tcPr>
                <w:p w14:paraId="53DDA285">
                  <w:pPr>
                    <w:jc w:val="center"/>
                    <w:rPr>
                      <w:highlight w:val="none"/>
                    </w:rPr>
                  </w:pPr>
                  <w:r>
                    <w:rPr>
                      <w:rFonts w:hint="eastAsia"/>
                      <w:highlight w:val="none"/>
                    </w:rPr>
                    <w:t>/</w:t>
                  </w:r>
                </w:p>
              </w:tc>
              <w:tc>
                <w:tcPr>
                  <w:tcW w:w="1373" w:type="pct"/>
                  <w:vAlign w:val="center"/>
                </w:tcPr>
                <w:p w14:paraId="78B09CFB">
                  <w:pPr>
                    <w:pStyle w:val="28"/>
                    <w:rPr>
                      <w:highlight w:val="none"/>
                    </w:rPr>
                  </w:pPr>
                  <w:r>
                    <w:rPr>
                      <w:rFonts w:hint="eastAsia"/>
                      <w:highlight w:val="none"/>
                    </w:rPr>
                    <w:t>1</w:t>
                  </w:r>
                </w:p>
              </w:tc>
            </w:tr>
            <w:tr w14:paraId="71A4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0B18DBE7">
                  <w:pPr>
                    <w:pStyle w:val="28"/>
                    <w:rPr>
                      <w:highlight w:val="none"/>
                    </w:rPr>
                  </w:pPr>
                  <w:r>
                    <w:rPr>
                      <w:rFonts w:hint="eastAsia"/>
                      <w:highlight w:val="none"/>
                    </w:rPr>
                    <w:t>17</w:t>
                  </w:r>
                </w:p>
              </w:tc>
              <w:tc>
                <w:tcPr>
                  <w:tcW w:w="1447" w:type="pct"/>
                  <w:vAlign w:val="center"/>
                </w:tcPr>
                <w:p w14:paraId="53B8E843">
                  <w:pPr>
                    <w:pStyle w:val="28"/>
                    <w:rPr>
                      <w:highlight w:val="none"/>
                    </w:rPr>
                  </w:pPr>
                  <w:r>
                    <w:rPr>
                      <w:rFonts w:hint="eastAsia"/>
                      <w:highlight w:val="none"/>
                    </w:rPr>
                    <w:t>冻改设备</w:t>
                  </w:r>
                </w:p>
              </w:tc>
              <w:tc>
                <w:tcPr>
                  <w:tcW w:w="1685" w:type="pct"/>
                  <w:vAlign w:val="center"/>
                </w:tcPr>
                <w:p w14:paraId="77B326C8">
                  <w:pPr>
                    <w:jc w:val="center"/>
                    <w:rPr>
                      <w:highlight w:val="none"/>
                    </w:rPr>
                  </w:pPr>
                  <w:r>
                    <w:rPr>
                      <w:rFonts w:hint="eastAsia"/>
                      <w:highlight w:val="none"/>
                    </w:rPr>
                    <w:t>/</w:t>
                  </w:r>
                </w:p>
              </w:tc>
              <w:tc>
                <w:tcPr>
                  <w:tcW w:w="1373" w:type="pct"/>
                  <w:vAlign w:val="center"/>
                </w:tcPr>
                <w:p w14:paraId="2EE3BBB2">
                  <w:pPr>
                    <w:pStyle w:val="28"/>
                    <w:rPr>
                      <w:highlight w:val="none"/>
                    </w:rPr>
                  </w:pPr>
                  <w:r>
                    <w:rPr>
                      <w:rFonts w:hint="eastAsia"/>
                      <w:highlight w:val="none"/>
                    </w:rPr>
                    <w:t>1</w:t>
                  </w:r>
                </w:p>
              </w:tc>
            </w:tr>
            <w:tr w14:paraId="6641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4BAA39A4">
                  <w:pPr>
                    <w:pStyle w:val="28"/>
                    <w:rPr>
                      <w:highlight w:val="none"/>
                    </w:rPr>
                  </w:pPr>
                  <w:r>
                    <w:rPr>
                      <w:rFonts w:hint="eastAsia"/>
                      <w:highlight w:val="none"/>
                    </w:rPr>
                    <w:t>18</w:t>
                  </w:r>
                </w:p>
              </w:tc>
              <w:tc>
                <w:tcPr>
                  <w:tcW w:w="1447" w:type="pct"/>
                  <w:vAlign w:val="center"/>
                </w:tcPr>
                <w:p w14:paraId="5C72239D">
                  <w:pPr>
                    <w:pStyle w:val="28"/>
                    <w:rPr>
                      <w:highlight w:val="none"/>
                    </w:rPr>
                  </w:pPr>
                  <w:r>
                    <w:rPr>
                      <w:rFonts w:hint="eastAsia"/>
                      <w:highlight w:val="none"/>
                    </w:rPr>
                    <w:t>发电机</w:t>
                  </w:r>
                </w:p>
              </w:tc>
              <w:tc>
                <w:tcPr>
                  <w:tcW w:w="1685" w:type="pct"/>
                  <w:vAlign w:val="center"/>
                </w:tcPr>
                <w:p w14:paraId="21CD327A">
                  <w:pPr>
                    <w:jc w:val="center"/>
                    <w:rPr>
                      <w:highlight w:val="none"/>
                    </w:rPr>
                  </w:pPr>
                  <w:r>
                    <w:rPr>
                      <w:rFonts w:hint="eastAsia"/>
                      <w:highlight w:val="none"/>
                    </w:rPr>
                    <w:t>/</w:t>
                  </w:r>
                </w:p>
              </w:tc>
              <w:tc>
                <w:tcPr>
                  <w:tcW w:w="1373" w:type="pct"/>
                  <w:vAlign w:val="center"/>
                </w:tcPr>
                <w:p w14:paraId="58163023">
                  <w:pPr>
                    <w:pStyle w:val="28"/>
                    <w:rPr>
                      <w:highlight w:val="none"/>
                    </w:rPr>
                  </w:pPr>
                  <w:r>
                    <w:rPr>
                      <w:rFonts w:hint="eastAsia"/>
                      <w:highlight w:val="none"/>
                    </w:rPr>
                    <w:t>1</w:t>
                  </w:r>
                </w:p>
              </w:tc>
            </w:tr>
            <w:tr w14:paraId="2D6A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A48EAF4">
                  <w:pPr>
                    <w:pStyle w:val="28"/>
                    <w:rPr>
                      <w:highlight w:val="none"/>
                    </w:rPr>
                  </w:pPr>
                  <w:r>
                    <w:rPr>
                      <w:rFonts w:hint="eastAsia"/>
                      <w:highlight w:val="none"/>
                    </w:rPr>
                    <w:t>19</w:t>
                  </w:r>
                </w:p>
              </w:tc>
              <w:tc>
                <w:tcPr>
                  <w:tcW w:w="1447" w:type="pct"/>
                  <w:vAlign w:val="center"/>
                </w:tcPr>
                <w:p w14:paraId="5A6A9491">
                  <w:pPr>
                    <w:pStyle w:val="28"/>
                    <w:rPr>
                      <w:highlight w:val="none"/>
                    </w:rPr>
                  </w:pPr>
                  <w:r>
                    <w:rPr>
                      <w:rFonts w:hint="eastAsia"/>
                      <w:highlight w:val="none"/>
                    </w:rPr>
                    <w:t>500千伏安变压器</w:t>
                  </w:r>
                </w:p>
              </w:tc>
              <w:tc>
                <w:tcPr>
                  <w:tcW w:w="1685" w:type="pct"/>
                  <w:vAlign w:val="center"/>
                </w:tcPr>
                <w:p w14:paraId="45D25751">
                  <w:pPr>
                    <w:jc w:val="center"/>
                    <w:rPr>
                      <w:highlight w:val="none"/>
                    </w:rPr>
                  </w:pPr>
                  <w:r>
                    <w:rPr>
                      <w:rFonts w:hint="eastAsia"/>
                      <w:highlight w:val="none"/>
                    </w:rPr>
                    <w:t>/</w:t>
                  </w:r>
                </w:p>
              </w:tc>
              <w:tc>
                <w:tcPr>
                  <w:tcW w:w="1373" w:type="pct"/>
                  <w:vAlign w:val="center"/>
                </w:tcPr>
                <w:p w14:paraId="316C93B2">
                  <w:pPr>
                    <w:pStyle w:val="28"/>
                    <w:rPr>
                      <w:highlight w:val="none"/>
                    </w:rPr>
                  </w:pPr>
                  <w:r>
                    <w:rPr>
                      <w:rFonts w:hint="eastAsia"/>
                      <w:highlight w:val="none"/>
                    </w:rPr>
                    <w:t>1</w:t>
                  </w:r>
                </w:p>
              </w:tc>
            </w:tr>
            <w:tr w14:paraId="20CD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87712EE">
                  <w:pPr>
                    <w:pStyle w:val="28"/>
                    <w:rPr>
                      <w:highlight w:val="none"/>
                    </w:rPr>
                  </w:pPr>
                  <w:r>
                    <w:rPr>
                      <w:rFonts w:hint="eastAsia"/>
                      <w:highlight w:val="none"/>
                    </w:rPr>
                    <w:t>20</w:t>
                  </w:r>
                </w:p>
              </w:tc>
              <w:tc>
                <w:tcPr>
                  <w:tcW w:w="1447" w:type="pct"/>
                  <w:vAlign w:val="center"/>
                </w:tcPr>
                <w:p w14:paraId="0B1E3890">
                  <w:pPr>
                    <w:pStyle w:val="28"/>
                    <w:rPr>
                      <w:highlight w:val="none"/>
                    </w:rPr>
                  </w:pPr>
                  <w:r>
                    <w:rPr>
                      <w:rFonts w:hint="eastAsia"/>
                      <w:highlight w:val="none"/>
                    </w:rPr>
                    <w:t>3型铡草机</w:t>
                  </w:r>
                </w:p>
              </w:tc>
              <w:tc>
                <w:tcPr>
                  <w:tcW w:w="1685" w:type="pct"/>
                  <w:vAlign w:val="center"/>
                </w:tcPr>
                <w:p w14:paraId="216CA8C8">
                  <w:pPr>
                    <w:jc w:val="center"/>
                    <w:rPr>
                      <w:highlight w:val="none"/>
                    </w:rPr>
                  </w:pPr>
                  <w:r>
                    <w:rPr>
                      <w:rFonts w:hint="eastAsia"/>
                      <w:highlight w:val="none"/>
                    </w:rPr>
                    <w:t>/</w:t>
                  </w:r>
                </w:p>
              </w:tc>
              <w:tc>
                <w:tcPr>
                  <w:tcW w:w="1373" w:type="pct"/>
                  <w:vAlign w:val="center"/>
                </w:tcPr>
                <w:p w14:paraId="6093CA89">
                  <w:pPr>
                    <w:pStyle w:val="28"/>
                    <w:rPr>
                      <w:highlight w:val="none"/>
                    </w:rPr>
                  </w:pPr>
                  <w:r>
                    <w:rPr>
                      <w:rFonts w:hint="eastAsia"/>
                      <w:highlight w:val="none"/>
                    </w:rPr>
                    <w:t>1</w:t>
                  </w:r>
                </w:p>
              </w:tc>
            </w:tr>
            <w:tr w14:paraId="0B81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1165C2E1">
                  <w:pPr>
                    <w:pStyle w:val="28"/>
                    <w:rPr>
                      <w:highlight w:val="none"/>
                    </w:rPr>
                  </w:pPr>
                  <w:r>
                    <w:rPr>
                      <w:rFonts w:hint="eastAsia"/>
                      <w:highlight w:val="none"/>
                    </w:rPr>
                    <w:t>21</w:t>
                  </w:r>
                </w:p>
              </w:tc>
              <w:tc>
                <w:tcPr>
                  <w:tcW w:w="1447" w:type="pct"/>
                  <w:vAlign w:val="center"/>
                </w:tcPr>
                <w:p w14:paraId="07F1FCE5">
                  <w:pPr>
                    <w:pStyle w:val="28"/>
                    <w:rPr>
                      <w:highlight w:val="none"/>
                    </w:rPr>
                  </w:pPr>
                  <w:r>
                    <w:rPr>
                      <w:rFonts w:hint="eastAsia"/>
                      <w:highlight w:val="none"/>
                    </w:rPr>
                    <w:t>6-1型铡草机</w:t>
                  </w:r>
                </w:p>
              </w:tc>
              <w:tc>
                <w:tcPr>
                  <w:tcW w:w="1685" w:type="pct"/>
                  <w:vAlign w:val="center"/>
                </w:tcPr>
                <w:p w14:paraId="697F97C8">
                  <w:pPr>
                    <w:jc w:val="center"/>
                    <w:rPr>
                      <w:highlight w:val="none"/>
                    </w:rPr>
                  </w:pPr>
                  <w:r>
                    <w:rPr>
                      <w:rFonts w:hint="eastAsia"/>
                      <w:highlight w:val="none"/>
                    </w:rPr>
                    <w:t>/</w:t>
                  </w:r>
                </w:p>
              </w:tc>
              <w:tc>
                <w:tcPr>
                  <w:tcW w:w="1373" w:type="pct"/>
                  <w:vAlign w:val="center"/>
                </w:tcPr>
                <w:p w14:paraId="5EEED581">
                  <w:pPr>
                    <w:pStyle w:val="28"/>
                    <w:rPr>
                      <w:highlight w:val="none"/>
                    </w:rPr>
                  </w:pPr>
                  <w:r>
                    <w:rPr>
                      <w:rFonts w:hint="eastAsia"/>
                      <w:highlight w:val="none"/>
                    </w:rPr>
                    <w:t>1</w:t>
                  </w:r>
                </w:p>
              </w:tc>
            </w:tr>
            <w:tr w14:paraId="725F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08F36A35">
                  <w:pPr>
                    <w:pStyle w:val="28"/>
                    <w:rPr>
                      <w:highlight w:val="none"/>
                    </w:rPr>
                  </w:pPr>
                  <w:r>
                    <w:rPr>
                      <w:rFonts w:hint="eastAsia"/>
                      <w:highlight w:val="none"/>
                    </w:rPr>
                    <w:t>22</w:t>
                  </w:r>
                </w:p>
              </w:tc>
              <w:tc>
                <w:tcPr>
                  <w:tcW w:w="1447" w:type="pct"/>
                  <w:vAlign w:val="center"/>
                </w:tcPr>
                <w:p w14:paraId="7D3E235B">
                  <w:pPr>
                    <w:pStyle w:val="28"/>
                    <w:rPr>
                      <w:highlight w:val="none"/>
                    </w:rPr>
                  </w:pPr>
                  <w:r>
                    <w:rPr>
                      <w:rFonts w:hint="eastAsia"/>
                      <w:highlight w:val="none"/>
                    </w:rPr>
                    <w:t>电子秤</w:t>
                  </w:r>
                </w:p>
              </w:tc>
              <w:tc>
                <w:tcPr>
                  <w:tcW w:w="1685" w:type="pct"/>
                  <w:vAlign w:val="center"/>
                </w:tcPr>
                <w:p w14:paraId="53DF4B6D">
                  <w:pPr>
                    <w:jc w:val="center"/>
                    <w:rPr>
                      <w:highlight w:val="none"/>
                    </w:rPr>
                  </w:pPr>
                  <w:r>
                    <w:rPr>
                      <w:rFonts w:hint="eastAsia"/>
                      <w:highlight w:val="none"/>
                    </w:rPr>
                    <w:t>/</w:t>
                  </w:r>
                </w:p>
              </w:tc>
              <w:tc>
                <w:tcPr>
                  <w:tcW w:w="1373" w:type="pct"/>
                  <w:vAlign w:val="center"/>
                </w:tcPr>
                <w:p w14:paraId="385D67B2">
                  <w:pPr>
                    <w:pStyle w:val="28"/>
                    <w:rPr>
                      <w:highlight w:val="none"/>
                    </w:rPr>
                  </w:pPr>
                  <w:r>
                    <w:rPr>
                      <w:rFonts w:hint="eastAsia"/>
                      <w:highlight w:val="none"/>
                    </w:rPr>
                    <w:t>1</w:t>
                  </w:r>
                </w:p>
              </w:tc>
            </w:tr>
            <w:tr w14:paraId="74DE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vAlign w:val="center"/>
                </w:tcPr>
                <w:p w14:paraId="6287B8A6">
                  <w:pPr>
                    <w:pStyle w:val="28"/>
                    <w:rPr>
                      <w:highlight w:val="none"/>
                    </w:rPr>
                  </w:pPr>
                  <w:r>
                    <w:rPr>
                      <w:rFonts w:hint="eastAsia"/>
                      <w:highlight w:val="none"/>
                    </w:rPr>
                    <w:t>23</w:t>
                  </w:r>
                </w:p>
              </w:tc>
              <w:tc>
                <w:tcPr>
                  <w:tcW w:w="1447" w:type="pct"/>
                  <w:vAlign w:val="center"/>
                </w:tcPr>
                <w:p w14:paraId="0BC3B19E">
                  <w:pPr>
                    <w:pStyle w:val="28"/>
                    <w:rPr>
                      <w:highlight w:val="none"/>
                    </w:rPr>
                  </w:pPr>
                  <w:r>
                    <w:rPr>
                      <w:rFonts w:hint="eastAsia"/>
                      <w:highlight w:val="none"/>
                    </w:rPr>
                    <w:t>断筋机</w:t>
                  </w:r>
                </w:p>
              </w:tc>
              <w:tc>
                <w:tcPr>
                  <w:tcW w:w="1685" w:type="pct"/>
                  <w:vAlign w:val="center"/>
                </w:tcPr>
                <w:p w14:paraId="6D81B0CB">
                  <w:pPr>
                    <w:jc w:val="center"/>
                    <w:rPr>
                      <w:highlight w:val="none"/>
                    </w:rPr>
                  </w:pPr>
                  <w:r>
                    <w:rPr>
                      <w:rFonts w:hint="eastAsia"/>
                      <w:highlight w:val="none"/>
                    </w:rPr>
                    <w:t>/</w:t>
                  </w:r>
                </w:p>
              </w:tc>
              <w:tc>
                <w:tcPr>
                  <w:tcW w:w="1373" w:type="pct"/>
                  <w:vAlign w:val="center"/>
                </w:tcPr>
                <w:p w14:paraId="23685701">
                  <w:pPr>
                    <w:pStyle w:val="28"/>
                    <w:rPr>
                      <w:highlight w:val="none"/>
                    </w:rPr>
                  </w:pPr>
                  <w:r>
                    <w:rPr>
                      <w:rFonts w:hint="eastAsia"/>
                      <w:highlight w:val="none"/>
                    </w:rPr>
                    <w:t>1</w:t>
                  </w:r>
                </w:p>
              </w:tc>
            </w:tr>
            <w:tr w14:paraId="6205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vAlign w:val="center"/>
                </w:tcPr>
                <w:p w14:paraId="19CFB8C2">
                  <w:pPr>
                    <w:pStyle w:val="28"/>
                    <w:rPr>
                      <w:highlight w:val="none"/>
                    </w:rPr>
                  </w:pPr>
                  <w:r>
                    <w:rPr>
                      <w:rFonts w:hint="eastAsia"/>
                      <w:highlight w:val="none"/>
                    </w:rPr>
                    <w:t>24</w:t>
                  </w:r>
                </w:p>
              </w:tc>
              <w:tc>
                <w:tcPr>
                  <w:tcW w:w="1447" w:type="pct"/>
                  <w:vAlign w:val="center"/>
                </w:tcPr>
                <w:p w14:paraId="50EF9BDB">
                  <w:pPr>
                    <w:pStyle w:val="28"/>
                    <w:rPr>
                      <w:highlight w:val="none"/>
                    </w:rPr>
                  </w:pPr>
                  <w:r>
                    <w:rPr>
                      <w:rFonts w:hint="eastAsia"/>
                      <w:highlight w:val="none"/>
                    </w:rPr>
                    <w:t>包装机</w:t>
                  </w:r>
                </w:p>
              </w:tc>
              <w:tc>
                <w:tcPr>
                  <w:tcW w:w="1685" w:type="pct"/>
                  <w:vAlign w:val="center"/>
                </w:tcPr>
                <w:p w14:paraId="133AEEF0">
                  <w:pPr>
                    <w:jc w:val="center"/>
                    <w:rPr>
                      <w:highlight w:val="none"/>
                    </w:rPr>
                  </w:pPr>
                  <w:r>
                    <w:rPr>
                      <w:rFonts w:hint="eastAsia"/>
                      <w:highlight w:val="none"/>
                    </w:rPr>
                    <w:t>/</w:t>
                  </w:r>
                </w:p>
              </w:tc>
              <w:tc>
                <w:tcPr>
                  <w:tcW w:w="1373" w:type="pct"/>
                  <w:vAlign w:val="center"/>
                </w:tcPr>
                <w:p w14:paraId="56ED2083">
                  <w:pPr>
                    <w:pStyle w:val="28"/>
                    <w:rPr>
                      <w:highlight w:val="none"/>
                    </w:rPr>
                  </w:pPr>
                  <w:r>
                    <w:rPr>
                      <w:rFonts w:hint="eastAsia"/>
                      <w:highlight w:val="none"/>
                    </w:rPr>
                    <w:t>1</w:t>
                  </w:r>
                </w:p>
              </w:tc>
            </w:tr>
            <w:tr w14:paraId="2A3A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vAlign w:val="center"/>
                </w:tcPr>
                <w:p w14:paraId="7B69E091">
                  <w:pPr>
                    <w:pStyle w:val="28"/>
                    <w:rPr>
                      <w:highlight w:val="none"/>
                    </w:rPr>
                  </w:pPr>
                  <w:r>
                    <w:rPr>
                      <w:rFonts w:hint="eastAsia"/>
                      <w:highlight w:val="none"/>
                    </w:rPr>
                    <w:t>25</w:t>
                  </w:r>
                </w:p>
              </w:tc>
              <w:tc>
                <w:tcPr>
                  <w:tcW w:w="1447" w:type="pct"/>
                  <w:vAlign w:val="center"/>
                </w:tcPr>
                <w:p w14:paraId="27D90E84">
                  <w:pPr>
                    <w:pStyle w:val="28"/>
                    <w:rPr>
                      <w:highlight w:val="none"/>
                    </w:rPr>
                  </w:pPr>
                  <w:r>
                    <w:rPr>
                      <w:rFonts w:hint="eastAsia"/>
                      <w:highlight w:val="none"/>
                    </w:rPr>
                    <w:t>数控冻肉切片机</w:t>
                  </w:r>
                </w:p>
              </w:tc>
              <w:tc>
                <w:tcPr>
                  <w:tcW w:w="1685" w:type="pct"/>
                  <w:vAlign w:val="center"/>
                </w:tcPr>
                <w:p w14:paraId="4D0EB0E6">
                  <w:pPr>
                    <w:jc w:val="center"/>
                    <w:rPr>
                      <w:highlight w:val="none"/>
                    </w:rPr>
                  </w:pPr>
                  <w:r>
                    <w:rPr>
                      <w:rFonts w:hint="eastAsia"/>
                      <w:highlight w:val="none"/>
                    </w:rPr>
                    <w:t>/</w:t>
                  </w:r>
                </w:p>
              </w:tc>
              <w:tc>
                <w:tcPr>
                  <w:tcW w:w="1373" w:type="pct"/>
                  <w:vAlign w:val="center"/>
                </w:tcPr>
                <w:p w14:paraId="47A54451">
                  <w:pPr>
                    <w:pStyle w:val="28"/>
                    <w:rPr>
                      <w:highlight w:val="none"/>
                    </w:rPr>
                  </w:pPr>
                  <w:r>
                    <w:rPr>
                      <w:rFonts w:hint="eastAsia"/>
                      <w:highlight w:val="none"/>
                    </w:rPr>
                    <w:t>1</w:t>
                  </w:r>
                </w:p>
              </w:tc>
            </w:tr>
            <w:tr w14:paraId="25C0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vAlign w:val="center"/>
                </w:tcPr>
                <w:p w14:paraId="27F197EA">
                  <w:pPr>
                    <w:pStyle w:val="28"/>
                    <w:rPr>
                      <w:highlight w:val="none"/>
                    </w:rPr>
                  </w:pPr>
                  <w:r>
                    <w:rPr>
                      <w:rFonts w:hint="eastAsia"/>
                      <w:highlight w:val="none"/>
                    </w:rPr>
                    <w:t>26</w:t>
                  </w:r>
                </w:p>
              </w:tc>
              <w:tc>
                <w:tcPr>
                  <w:tcW w:w="1447" w:type="pct"/>
                  <w:vAlign w:val="center"/>
                </w:tcPr>
                <w:p w14:paraId="7A5DA27A">
                  <w:pPr>
                    <w:pStyle w:val="28"/>
                    <w:rPr>
                      <w:highlight w:val="none"/>
                    </w:rPr>
                  </w:pPr>
                  <w:r>
                    <w:rPr>
                      <w:rFonts w:hint="eastAsia"/>
                      <w:highlight w:val="none"/>
                    </w:rPr>
                    <w:t>拖拉机</w:t>
                  </w:r>
                </w:p>
              </w:tc>
              <w:tc>
                <w:tcPr>
                  <w:tcW w:w="1685" w:type="pct"/>
                  <w:vAlign w:val="center"/>
                </w:tcPr>
                <w:p w14:paraId="752F248B">
                  <w:pPr>
                    <w:jc w:val="center"/>
                    <w:rPr>
                      <w:highlight w:val="none"/>
                    </w:rPr>
                  </w:pPr>
                  <w:r>
                    <w:rPr>
                      <w:rFonts w:hint="eastAsia"/>
                      <w:highlight w:val="none"/>
                    </w:rPr>
                    <w:t>/</w:t>
                  </w:r>
                </w:p>
              </w:tc>
              <w:tc>
                <w:tcPr>
                  <w:tcW w:w="1373" w:type="pct"/>
                  <w:vAlign w:val="center"/>
                </w:tcPr>
                <w:p w14:paraId="2C99DD03">
                  <w:pPr>
                    <w:pStyle w:val="28"/>
                    <w:rPr>
                      <w:highlight w:val="none"/>
                    </w:rPr>
                  </w:pPr>
                  <w:r>
                    <w:rPr>
                      <w:rFonts w:hint="eastAsia"/>
                      <w:highlight w:val="none"/>
                    </w:rPr>
                    <w:t>1</w:t>
                  </w:r>
                </w:p>
              </w:tc>
            </w:tr>
            <w:tr w14:paraId="0E49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14:paraId="651FC158">
                  <w:pPr>
                    <w:pStyle w:val="28"/>
                    <w:rPr>
                      <w:highlight w:val="none"/>
                    </w:rPr>
                  </w:pPr>
                  <w:r>
                    <w:rPr>
                      <w:rFonts w:hint="eastAsia"/>
                      <w:b/>
                      <w:bCs/>
                      <w:highlight w:val="none"/>
                    </w:rPr>
                    <w:t>冷鲜肉加工设备</w:t>
                  </w:r>
                </w:p>
              </w:tc>
            </w:tr>
            <w:tr w14:paraId="5CDB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93" w:type="pct"/>
                  <w:shd w:val="clear" w:color="auto" w:fill="auto"/>
                  <w:vAlign w:val="center"/>
                </w:tcPr>
                <w:p w14:paraId="27C4607A">
                  <w:pPr>
                    <w:pStyle w:val="28"/>
                    <w:rPr>
                      <w:highlight w:val="none"/>
                    </w:rPr>
                  </w:pPr>
                  <w:r>
                    <w:rPr>
                      <w:rFonts w:hint="eastAsia"/>
                      <w:highlight w:val="none"/>
                    </w:rPr>
                    <w:t>27</w:t>
                  </w:r>
                </w:p>
              </w:tc>
              <w:tc>
                <w:tcPr>
                  <w:tcW w:w="1447" w:type="pct"/>
                  <w:vAlign w:val="center"/>
                </w:tcPr>
                <w:p w14:paraId="33B5E8AF">
                  <w:pPr>
                    <w:pStyle w:val="28"/>
                    <w:rPr>
                      <w:highlight w:val="none"/>
                    </w:rPr>
                  </w:pPr>
                  <w:r>
                    <w:rPr>
                      <w:rFonts w:hint="eastAsia"/>
                      <w:highlight w:val="none"/>
                    </w:rPr>
                    <w:t>不锈钢工作台</w:t>
                  </w:r>
                </w:p>
              </w:tc>
              <w:tc>
                <w:tcPr>
                  <w:tcW w:w="1685" w:type="pct"/>
                  <w:vAlign w:val="center"/>
                </w:tcPr>
                <w:p w14:paraId="64AC5C89">
                  <w:pPr>
                    <w:pStyle w:val="28"/>
                    <w:rPr>
                      <w:highlight w:val="none"/>
                    </w:rPr>
                  </w:pPr>
                  <w:r>
                    <w:rPr>
                      <w:highlight w:val="none"/>
                    </w:rPr>
                    <w:t>2×1×0.8m</w:t>
                  </w:r>
                </w:p>
              </w:tc>
              <w:tc>
                <w:tcPr>
                  <w:tcW w:w="1373" w:type="pct"/>
                  <w:vAlign w:val="center"/>
                </w:tcPr>
                <w:p w14:paraId="4366E13D">
                  <w:pPr>
                    <w:pStyle w:val="28"/>
                    <w:rPr>
                      <w:highlight w:val="none"/>
                    </w:rPr>
                  </w:pPr>
                  <w:r>
                    <w:rPr>
                      <w:rFonts w:hint="eastAsia"/>
                      <w:highlight w:val="none"/>
                    </w:rPr>
                    <w:t>30</w:t>
                  </w:r>
                </w:p>
              </w:tc>
            </w:tr>
            <w:tr w14:paraId="3DC1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6CC87B5">
                  <w:pPr>
                    <w:pStyle w:val="28"/>
                    <w:rPr>
                      <w:highlight w:val="none"/>
                    </w:rPr>
                  </w:pPr>
                  <w:r>
                    <w:rPr>
                      <w:rFonts w:hint="eastAsia"/>
                      <w:highlight w:val="none"/>
                    </w:rPr>
                    <w:t>28</w:t>
                  </w:r>
                </w:p>
              </w:tc>
              <w:tc>
                <w:tcPr>
                  <w:tcW w:w="1447" w:type="pct"/>
                  <w:vAlign w:val="center"/>
                </w:tcPr>
                <w:p w14:paraId="1F7F34C6">
                  <w:pPr>
                    <w:pStyle w:val="28"/>
                    <w:rPr>
                      <w:highlight w:val="none"/>
                    </w:rPr>
                  </w:pPr>
                  <w:r>
                    <w:rPr>
                      <w:rFonts w:hint="eastAsia"/>
                      <w:highlight w:val="none"/>
                    </w:rPr>
                    <w:t>解冻槽</w:t>
                  </w:r>
                </w:p>
              </w:tc>
              <w:tc>
                <w:tcPr>
                  <w:tcW w:w="1685" w:type="pct"/>
                  <w:shd w:val="clear" w:color="auto" w:fill="auto"/>
                  <w:vAlign w:val="center"/>
                </w:tcPr>
                <w:p w14:paraId="6E1859E2">
                  <w:pPr>
                    <w:pStyle w:val="28"/>
                    <w:rPr>
                      <w:highlight w:val="none"/>
                    </w:rPr>
                  </w:pPr>
                  <w:r>
                    <w:rPr>
                      <w:highlight w:val="none"/>
                    </w:rPr>
                    <w:t>2x1x1m</w:t>
                  </w:r>
                </w:p>
              </w:tc>
              <w:tc>
                <w:tcPr>
                  <w:tcW w:w="1373" w:type="pct"/>
                  <w:shd w:val="clear" w:color="auto" w:fill="auto"/>
                  <w:vAlign w:val="center"/>
                </w:tcPr>
                <w:p w14:paraId="373D17A8">
                  <w:pPr>
                    <w:pStyle w:val="28"/>
                    <w:rPr>
                      <w:highlight w:val="none"/>
                    </w:rPr>
                  </w:pPr>
                  <w:r>
                    <w:rPr>
                      <w:rFonts w:hint="eastAsia"/>
                      <w:highlight w:val="none"/>
                    </w:rPr>
                    <w:t>5</w:t>
                  </w:r>
                </w:p>
              </w:tc>
            </w:tr>
            <w:tr w14:paraId="41E5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3D7B8934">
                  <w:pPr>
                    <w:pStyle w:val="28"/>
                    <w:rPr>
                      <w:highlight w:val="none"/>
                    </w:rPr>
                  </w:pPr>
                  <w:r>
                    <w:rPr>
                      <w:rFonts w:hint="eastAsia"/>
                      <w:highlight w:val="none"/>
                    </w:rPr>
                    <w:t>29</w:t>
                  </w:r>
                </w:p>
              </w:tc>
              <w:tc>
                <w:tcPr>
                  <w:tcW w:w="1447" w:type="pct"/>
                  <w:vAlign w:val="center"/>
                </w:tcPr>
                <w:p w14:paraId="474B6515">
                  <w:pPr>
                    <w:pStyle w:val="28"/>
                    <w:rPr>
                      <w:highlight w:val="none"/>
                    </w:rPr>
                  </w:pPr>
                  <w:r>
                    <w:rPr>
                      <w:rFonts w:hint="eastAsia"/>
                      <w:highlight w:val="none"/>
                    </w:rPr>
                    <w:t>清洗槽</w:t>
                  </w:r>
                </w:p>
              </w:tc>
              <w:tc>
                <w:tcPr>
                  <w:tcW w:w="1685" w:type="pct"/>
                  <w:shd w:val="clear" w:color="auto" w:fill="auto"/>
                  <w:vAlign w:val="center"/>
                </w:tcPr>
                <w:p w14:paraId="3271C4A0">
                  <w:pPr>
                    <w:pStyle w:val="28"/>
                    <w:rPr>
                      <w:highlight w:val="none"/>
                    </w:rPr>
                  </w:pPr>
                  <w:r>
                    <w:rPr>
                      <w:highlight w:val="none"/>
                    </w:rPr>
                    <w:t>1x1x0.5m</w:t>
                  </w:r>
                </w:p>
              </w:tc>
              <w:tc>
                <w:tcPr>
                  <w:tcW w:w="1373" w:type="pct"/>
                  <w:shd w:val="clear" w:color="auto" w:fill="auto"/>
                  <w:vAlign w:val="center"/>
                </w:tcPr>
                <w:p w14:paraId="5190FA7A">
                  <w:pPr>
                    <w:pStyle w:val="28"/>
                    <w:rPr>
                      <w:highlight w:val="none"/>
                    </w:rPr>
                  </w:pPr>
                  <w:r>
                    <w:rPr>
                      <w:rFonts w:hint="eastAsia"/>
                      <w:highlight w:val="none"/>
                    </w:rPr>
                    <w:t>5</w:t>
                  </w:r>
                </w:p>
              </w:tc>
            </w:tr>
            <w:tr w14:paraId="6631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E5BB47D">
                  <w:pPr>
                    <w:pStyle w:val="28"/>
                    <w:rPr>
                      <w:highlight w:val="none"/>
                    </w:rPr>
                  </w:pPr>
                  <w:r>
                    <w:rPr>
                      <w:rFonts w:hint="eastAsia"/>
                      <w:highlight w:val="none"/>
                    </w:rPr>
                    <w:t>30</w:t>
                  </w:r>
                </w:p>
              </w:tc>
              <w:tc>
                <w:tcPr>
                  <w:tcW w:w="1447" w:type="pct"/>
                  <w:vAlign w:val="center"/>
                </w:tcPr>
                <w:p w14:paraId="0F27F6EE">
                  <w:pPr>
                    <w:pStyle w:val="28"/>
                    <w:rPr>
                      <w:highlight w:val="none"/>
                    </w:rPr>
                  </w:pPr>
                  <w:r>
                    <w:rPr>
                      <w:rFonts w:hint="eastAsia"/>
                      <w:highlight w:val="none"/>
                    </w:rPr>
                    <w:t>穿串机</w:t>
                  </w:r>
                </w:p>
              </w:tc>
              <w:tc>
                <w:tcPr>
                  <w:tcW w:w="1685" w:type="pct"/>
                  <w:shd w:val="clear" w:color="auto" w:fill="auto"/>
                  <w:vAlign w:val="center"/>
                </w:tcPr>
                <w:p w14:paraId="0B38C1EF">
                  <w:pPr>
                    <w:pStyle w:val="28"/>
                    <w:rPr>
                      <w:highlight w:val="none"/>
                    </w:rPr>
                  </w:pPr>
                  <w:r>
                    <w:rPr>
                      <w:highlight w:val="none"/>
                    </w:rPr>
                    <w:t>35串/分</w:t>
                  </w:r>
                </w:p>
              </w:tc>
              <w:tc>
                <w:tcPr>
                  <w:tcW w:w="1373" w:type="pct"/>
                  <w:shd w:val="clear" w:color="auto" w:fill="auto"/>
                  <w:vAlign w:val="center"/>
                </w:tcPr>
                <w:p w14:paraId="1B74AD84">
                  <w:pPr>
                    <w:pStyle w:val="28"/>
                    <w:rPr>
                      <w:highlight w:val="none"/>
                    </w:rPr>
                  </w:pPr>
                  <w:r>
                    <w:rPr>
                      <w:rFonts w:hint="eastAsia"/>
                      <w:highlight w:val="none"/>
                    </w:rPr>
                    <w:t>1</w:t>
                  </w:r>
                </w:p>
              </w:tc>
            </w:tr>
            <w:tr w14:paraId="247C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0FC57783">
                  <w:pPr>
                    <w:pStyle w:val="28"/>
                    <w:rPr>
                      <w:highlight w:val="none"/>
                    </w:rPr>
                  </w:pPr>
                  <w:r>
                    <w:rPr>
                      <w:rFonts w:hint="eastAsia"/>
                      <w:highlight w:val="none"/>
                    </w:rPr>
                    <w:t>31</w:t>
                  </w:r>
                </w:p>
              </w:tc>
              <w:tc>
                <w:tcPr>
                  <w:tcW w:w="1447" w:type="pct"/>
                  <w:shd w:val="clear" w:color="auto" w:fill="auto"/>
                  <w:vAlign w:val="center"/>
                </w:tcPr>
                <w:p w14:paraId="25869B28">
                  <w:pPr>
                    <w:pStyle w:val="28"/>
                    <w:rPr>
                      <w:highlight w:val="none"/>
                    </w:rPr>
                  </w:pPr>
                  <w:r>
                    <w:rPr>
                      <w:rFonts w:hint="eastAsia"/>
                      <w:highlight w:val="none"/>
                    </w:rPr>
                    <w:t>液压真空滚揉机</w:t>
                  </w:r>
                </w:p>
              </w:tc>
              <w:tc>
                <w:tcPr>
                  <w:tcW w:w="1685" w:type="pct"/>
                  <w:shd w:val="clear" w:color="auto" w:fill="auto"/>
                  <w:vAlign w:val="center"/>
                </w:tcPr>
                <w:p w14:paraId="37FB1AB5">
                  <w:pPr>
                    <w:pStyle w:val="28"/>
                    <w:rPr>
                      <w:highlight w:val="none"/>
                    </w:rPr>
                  </w:pPr>
                  <w:r>
                    <w:rPr>
                      <w:highlight w:val="none"/>
                    </w:rPr>
                    <w:t>YGR-1700</w:t>
                  </w:r>
                </w:p>
              </w:tc>
              <w:tc>
                <w:tcPr>
                  <w:tcW w:w="1373" w:type="pct"/>
                  <w:shd w:val="clear" w:color="auto" w:fill="auto"/>
                  <w:vAlign w:val="center"/>
                </w:tcPr>
                <w:p w14:paraId="373C6F0A">
                  <w:pPr>
                    <w:pStyle w:val="28"/>
                    <w:rPr>
                      <w:highlight w:val="none"/>
                    </w:rPr>
                  </w:pPr>
                  <w:r>
                    <w:rPr>
                      <w:rFonts w:hint="eastAsia"/>
                      <w:highlight w:val="none"/>
                    </w:rPr>
                    <w:t>2</w:t>
                  </w:r>
                </w:p>
              </w:tc>
            </w:tr>
            <w:tr w14:paraId="4BD7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EC34630">
                  <w:pPr>
                    <w:pStyle w:val="28"/>
                    <w:rPr>
                      <w:highlight w:val="none"/>
                    </w:rPr>
                  </w:pPr>
                  <w:r>
                    <w:rPr>
                      <w:rFonts w:hint="eastAsia"/>
                      <w:highlight w:val="none"/>
                    </w:rPr>
                    <w:t>32</w:t>
                  </w:r>
                </w:p>
              </w:tc>
              <w:tc>
                <w:tcPr>
                  <w:tcW w:w="1447" w:type="pct"/>
                  <w:shd w:val="clear" w:color="auto" w:fill="auto"/>
                  <w:vAlign w:val="center"/>
                </w:tcPr>
                <w:p w14:paraId="04687EE6">
                  <w:pPr>
                    <w:pStyle w:val="28"/>
                    <w:rPr>
                      <w:highlight w:val="none"/>
                    </w:rPr>
                  </w:pPr>
                  <w:r>
                    <w:rPr>
                      <w:rFonts w:hint="eastAsia"/>
                      <w:highlight w:val="none"/>
                    </w:rPr>
                    <w:t>（冻肉）绞肉机</w:t>
                  </w:r>
                </w:p>
              </w:tc>
              <w:tc>
                <w:tcPr>
                  <w:tcW w:w="1685" w:type="pct"/>
                  <w:shd w:val="clear" w:color="auto" w:fill="auto"/>
                  <w:vAlign w:val="center"/>
                </w:tcPr>
                <w:p w14:paraId="37D900C4">
                  <w:pPr>
                    <w:pStyle w:val="28"/>
                    <w:rPr>
                      <w:highlight w:val="none"/>
                    </w:rPr>
                  </w:pPr>
                  <w:r>
                    <w:rPr>
                      <w:highlight w:val="none"/>
                    </w:rPr>
                    <w:t>JR-D120</w:t>
                  </w:r>
                </w:p>
              </w:tc>
              <w:tc>
                <w:tcPr>
                  <w:tcW w:w="1373" w:type="pct"/>
                  <w:shd w:val="clear" w:color="auto" w:fill="auto"/>
                  <w:vAlign w:val="center"/>
                </w:tcPr>
                <w:p w14:paraId="1AFF366C">
                  <w:pPr>
                    <w:pStyle w:val="28"/>
                    <w:rPr>
                      <w:highlight w:val="none"/>
                    </w:rPr>
                  </w:pPr>
                  <w:r>
                    <w:rPr>
                      <w:rFonts w:hint="eastAsia"/>
                      <w:highlight w:val="none"/>
                    </w:rPr>
                    <w:t>1</w:t>
                  </w:r>
                </w:p>
              </w:tc>
            </w:tr>
            <w:tr w14:paraId="3FF9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27E9FB57">
                  <w:pPr>
                    <w:pStyle w:val="28"/>
                    <w:rPr>
                      <w:highlight w:val="none"/>
                    </w:rPr>
                  </w:pPr>
                  <w:r>
                    <w:rPr>
                      <w:rFonts w:hint="eastAsia"/>
                      <w:highlight w:val="none"/>
                    </w:rPr>
                    <w:t>33</w:t>
                  </w:r>
                </w:p>
              </w:tc>
              <w:tc>
                <w:tcPr>
                  <w:tcW w:w="1447" w:type="pct"/>
                  <w:shd w:val="clear" w:color="auto" w:fill="auto"/>
                  <w:vAlign w:val="center"/>
                </w:tcPr>
                <w:p w14:paraId="565BF9B8">
                  <w:pPr>
                    <w:pStyle w:val="28"/>
                    <w:rPr>
                      <w:highlight w:val="none"/>
                    </w:rPr>
                  </w:pPr>
                  <w:r>
                    <w:rPr>
                      <w:rFonts w:hint="eastAsia"/>
                      <w:highlight w:val="none"/>
                    </w:rPr>
                    <w:t>冻肉刨片机</w:t>
                  </w:r>
                </w:p>
              </w:tc>
              <w:tc>
                <w:tcPr>
                  <w:tcW w:w="1685" w:type="pct"/>
                  <w:shd w:val="clear" w:color="auto" w:fill="auto"/>
                  <w:vAlign w:val="center"/>
                </w:tcPr>
                <w:p w14:paraId="2187DBC4">
                  <w:pPr>
                    <w:pStyle w:val="28"/>
                    <w:rPr>
                      <w:highlight w:val="none"/>
                    </w:rPr>
                  </w:pPr>
                  <w:r>
                    <w:rPr>
                      <w:highlight w:val="none"/>
                    </w:rPr>
                    <w:t>ZC980</w:t>
                  </w:r>
                </w:p>
              </w:tc>
              <w:tc>
                <w:tcPr>
                  <w:tcW w:w="1373" w:type="pct"/>
                  <w:shd w:val="clear" w:color="auto" w:fill="auto"/>
                  <w:vAlign w:val="center"/>
                </w:tcPr>
                <w:p w14:paraId="7406B276">
                  <w:pPr>
                    <w:pStyle w:val="28"/>
                    <w:rPr>
                      <w:highlight w:val="none"/>
                    </w:rPr>
                  </w:pPr>
                  <w:r>
                    <w:rPr>
                      <w:rFonts w:hint="eastAsia"/>
                      <w:highlight w:val="none"/>
                    </w:rPr>
                    <w:t>1</w:t>
                  </w:r>
                </w:p>
              </w:tc>
            </w:tr>
            <w:tr w14:paraId="4AA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8D59C26">
                  <w:pPr>
                    <w:pStyle w:val="28"/>
                    <w:rPr>
                      <w:highlight w:val="none"/>
                    </w:rPr>
                  </w:pPr>
                  <w:r>
                    <w:rPr>
                      <w:rFonts w:hint="eastAsia"/>
                      <w:highlight w:val="none"/>
                    </w:rPr>
                    <w:t>34</w:t>
                  </w:r>
                </w:p>
              </w:tc>
              <w:tc>
                <w:tcPr>
                  <w:tcW w:w="1447" w:type="pct"/>
                  <w:shd w:val="clear" w:color="auto" w:fill="auto"/>
                  <w:vAlign w:val="center"/>
                </w:tcPr>
                <w:p w14:paraId="15D4412A">
                  <w:pPr>
                    <w:pStyle w:val="28"/>
                    <w:rPr>
                      <w:highlight w:val="none"/>
                    </w:rPr>
                  </w:pPr>
                  <w:r>
                    <w:rPr>
                      <w:rFonts w:hint="eastAsia"/>
                      <w:highlight w:val="none"/>
                    </w:rPr>
                    <w:t>真空封口机</w:t>
                  </w:r>
                </w:p>
              </w:tc>
              <w:tc>
                <w:tcPr>
                  <w:tcW w:w="1685" w:type="pct"/>
                  <w:shd w:val="clear" w:color="auto" w:fill="auto"/>
                  <w:vAlign w:val="center"/>
                </w:tcPr>
                <w:p w14:paraId="0AD49631">
                  <w:pPr>
                    <w:pStyle w:val="28"/>
                    <w:rPr>
                      <w:highlight w:val="none"/>
                    </w:rPr>
                  </w:pPr>
                  <w:r>
                    <w:rPr>
                      <w:highlight w:val="none"/>
                    </w:rPr>
                    <w:t>DZ-500/2SP</w:t>
                  </w:r>
                </w:p>
              </w:tc>
              <w:tc>
                <w:tcPr>
                  <w:tcW w:w="1373" w:type="pct"/>
                  <w:shd w:val="clear" w:color="auto" w:fill="auto"/>
                  <w:vAlign w:val="center"/>
                </w:tcPr>
                <w:p w14:paraId="1892968B">
                  <w:pPr>
                    <w:pStyle w:val="28"/>
                    <w:rPr>
                      <w:highlight w:val="none"/>
                    </w:rPr>
                  </w:pPr>
                  <w:r>
                    <w:rPr>
                      <w:rFonts w:hint="eastAsia"/>
                      <w:highlight w:val="none"/>
                    </w:rPr>
                    <w:t>10</w:t>
                  </w:r>
                </w:p>
              </w:tc>
            </w:tr>
            <w:tr w14:paraId="20E7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5DE3F744">
                  <w:pPr>
                    <w:pStyle w:val="28"/>
                    <w:rPr>
                      <w:highlight w:val="none"/>
                    </w:rPr>
                  </w:pPr>
                  <w:r>
                    <w:rPr>
                      <w:rFonts w:hint="eastAsia"/>
                      <w:highlight w:val="none"/>
                    </w:rPr>
                    <w:t>35</w:t>
                  </w:r>
                </w:p>
              </w:tc>
              <w:tc>
                <w:tcPr>
                  <w:tcW w:w="1447" w:type="pct"/>
                  <w:shd w:val="clear" w:color="auto" w:fill="auto"/>
                  <w:vAlign w:val="center"/>
                </w:tcPr>
                <w:p w14:paraId="0D91D5E1">
                  <w:pPr>
                    <w:pStyle w:val="28"/>
                    <w:rPr>
                      <w:highlight w:val="none"/>
                    </w:rPr>
                  </w:pPr>
                  <w:r>
                    <w:rPr>
                      <w:rFonts w:hint="eastAsia"/>
                      <w:highlight w:val="none"/>
                    </w:rPr>
                    <w:t>速冻库</w:t>
                  </w:r>
                </w:p>
              </w:tc>
              <w:tc>
                <w:tcPr>
                  <w:tcW w:w="1685" w:type="pct"/>
                  <w:shd w:val="clear" w:color="auto" w:fill="auto"/>
                  <w:vAlign w:val="center"/>
                </w:tcPr>
                <w:p w14:paraId="2EC6DAFA">
                  <w:pPr>
                    <w:pStyle w:val="28"/>
                    <w:rPr>
                      <w:highlight w:val="none"/>
                    </w:rPr>
                  </w:pPr>
                  <w:r>
                    <w:rPr>
                      <w:highlight w:val="none"/>
                    </w:rPr>
                    <w:t>3吨</w:t>
                  </w:r>
                </w:p>
              </w:tc>
              <w:tc>
                <w:tcPr>
                  <w:tcW w:w="1373" w:type="pct"/>
                  <w:shd w:val="clear" w:color="auto" w:fill="auto"/>
                  <w:vAlign w:val="center"/>
                </w:tcPr>
                <w:p w14:paraId="1DCB722D">
                  <w:pPr>
                    <w:pStyle w:val="28"/>
                    <w:rPr>
                      <w:highlight w:val="none"/>
                    </w:rPr>
                  </w:pPr>
                  <w:r>
                    <w:rPr>
                      <w:rFonts w:hint="eastAsia"/>
                      <w:highlight w:val="none"/>
                    </w:rPr>
                    <w:t>1</w:t>
                  </w:r>
                </w:p>
              </w:tc>
            </w:tr>
            <w:tr w14:paraId="36D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EA8E89E">
                  <w:pPr>
                    <w:pStyle w:val="28"/>
                    <w:rPr>
                      <w:highlight w:val="none"/>
                    </w:rPr>
                  </w:pPr>
                  <w:r>
                    <w:rPr>
                      <w:rFonts w:hint="eastAsia"/>
                      <w:highlight w:val="none"/>
                    </w:rPr>
                    <w:t>36</w:t>
                  </w:r>
                </w:p>
              </w:tc>
              <w:tc>
                <w:tcPr>
                  <w:tcW w:w="1447" w:type="pct"/>
                  <w:shd w:val="clear" w:color="auto" w:fill="auto"/>
                  <w:vAlign w:val="center"/>
                </w:tcPr>
                <w:p w14:paraId="30F0E44B">
                  <w:pPr>
                    <w:pStyle w:val="28"/>
                    <w:rPr>
                      <w:highlight w:val="none"/>
                    </w:rPr>
                  </w:pPr>
                  <w:r>
                    <w:rPr>
                      <w:rFonts w:hint="eastAsia"/>
                      <w:highlight w:val="none"/>
                    </w:rPr>
                    <w:t>高温冷库</w:t>
                  </w:r>
                </w:p>
              </w:tc>
              <w:tc>
                <w:tcPr>
                  <w:tcW w:w="1685" w:type="pct"/>
                  <w:shd w:val="clear" w:color="auto" w:fill="auto"/>
                  <w:vAlign w:val="center"/>
                </w:tcPr>
                <w:p w14:paraId="2472E47E">
                  <w:pPr>
                    <w:pStyle w:val="28"/>
                    <w:rPr>
                      <w:highlight w:val="none"/>
                    </w:rPr>
                  </w:pPr>
                  <w:r>
                    <w:rPr>
                      <w:rFonts w:hint="eastAsia"/>
                      <w:highlight w:val="none"/>
                    </w:rPr>
                    <w:t>180m</w:t>
                  </w:r>
                  <w:r>
                    <w:rPr>
                      <w:highlight w:val="none"/>
                    </w:rPr>
                    <w:t>²</w:t>
                  </w:r>
                </w:p>
              </w:tc>
              <w:tc>
                <w:tcPr>
                  <w:tcW w:w="1373" w:type="pct"/>
                  <w:shd w:val="clear" w:color="auto" w:fill="auto"/>
                  <w:vAlign w:val="center"/>
                </w:tcPr>
                <w:p w14:paraId="66B4880B">
                  <w:pPr>
                    <w:pStyle w:val="28"/>
                    <w:rPr>
                      <w:highlight w:val="none"/>
                    </w:rPr>
                  </w:pPr>
                  <w:r>
                    <w:rPr>
                      <w:rFonts w:hint="eastAsia"/>
                      <w:highlight w:val="none"/>
                    </w:rPr>
                    <w:t>1</w:t>
                  </w:r>
                </w:p>
              </w:tc>
            </w:tr>
            <w:tr w14:paraId="7FCC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3" w:type="pct"/>
                  <w:shd w:val="clear" w:color="auto" w:fill="auto"/>
                  <w:vAlign w:val="center"/>
                </w:tcPr>
                <w:p w14:paraId="7CFB712F">
                  <w:pPr>
                    <w:pStyle w:val="28"/>
                    <w:rPr>
                      <w:highlight w:val="none"/>
                    </w:rPr>
                  </w:pPr>
                  <w:r>
                    <w:rPr>
                      <w:rFonts w:hint="eastAsia"/>
                      <w:highlight w:val="none"/>
                    </w:rPr>
                    <w:t>37</w:t>
                  </w:r>
                </w:p>
              </w:tc>
              <w:tc>
                <w:tcPr>
                  <w:tcW w:w="1447" w:type="pct"/>
                  <w:shd w:val="clear" w:color="auto" w:fill="auto"/>
                  <w:vAlign w:val="center"/>
                </w:tcPr>
                <w:p w14:paraId="55320D30">
                  <w:pPr>
                    <w:pStyle w:val="28"/>
                    <w:rPr>
                      <w:highlight w:val="none"/>
                    </w:rPr>
                  </w:pPr>
                  <w:r>
                    <w:rPr>
                      <w:rFonts w:hint="eastAsia"/>
                      <w:highlight w:val="none"/>
                    </w:rPr>
                    <w:t>牛排定型模具</w:t>
                  </w:r>
                </w:p>
              </w:tc>
              <w:tc>
                <w:tcPr>
                  <w:tcW w:w="1685" w:type="pct"/>
                  <w:shd w:val="clear" w:color="auto" w:fill="auto"/>
                  <w:vAlign w:val="center"/>
                </w:tcPr>
                <w:p w14:paraId="7C30C0AD">
                  <w:pPr>
                    <w:pStyle w:val="28"/>
                    <w:rPr>
                      <w:highlight w:val="none"/>
                    </w:rPr>
                  </w:pPr>
                  <w:r>
                    <w:rPr>
                      <w:rFonts w:hint="eastAsia"/>
                      <w:highlight w:val="none"/>
                    </w:rPr>
                    <w:t>8kg/只</w:t>
                  </w:r>
                </w:p>
              </w:tc>
              <w:tc>
                <w:tcPr>
                  <w:tcW w:w="1373" w:type="pct"/>
                  <w:shd w:val="clear" w:color="auto" w:fill="auto"/>
                  <w:vAlign w:val="center"/>
                </w:tcPr>
                <w:p w14:paraId="755CAFAB">
                  <w:pPr>
                    <w:pStyle w:val="28"/>
                    <w:rPr>
                      <w:highlight w:val="none"/>
                    </w:rPr>
                  </w:pPr>
                  <w:r>
                    <w:rPr>
                      <w:rFonts w:hint="eastAsia"/>
                      <w:highlight w:val="none"/>
                    </w:rPr>
                    <w:t>500</w:t>
                  </w:r>
                </w:p>
              </w:tc>
            </w:tr>
            <w:tr w14:paraId="15E4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14:paraId="58B43F12">
                  <w:pPr>
                    <w:pStyle w:val="28"/>
                    <w:rPr>
                      <w:highlight w:val="none"/>
                    </w:rPr>
                  </w:pPr>
                  <w:r>
                    <w:rPr>
                      <w:rFonts w:hint="eastAsia"/>
                      <w:b/>
                      <w:bCs/>
                      <w:highlight w:val="none"/>
                    </w:rPr>
                    <w:t>熟制品加工车间设备</w:t>
                  </w:r>
                </w:p>
              </w:tc>
            </w:tr>
            <w:tr w14:paraId="486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93" w:type="pct"/>
                  <w:shd w:val="clear" w:color="auto" w:fill="auto"/>
                  <w:vAlign w:val="center"/>
                </w:tcPr>
                <w:p w14:paraId="779D2D64">
                  <w:pPr>
                    <w:pStyle w:val="28"/>
                    <w:rPr>
                      <w:highlight w:val="none"/>
                    </w:rPr>
                  </w:pPr>
                  <w:r>
                    <w:rPr>
                      <w:rFonts w:hint="eastAsia"/>
                      <w:highlight w:val="none"/>
                    </w:rPr>
                    <w:t>38</w:t>
                  </w:r>
                </w:p>
              </w:tc>
              <w:tc>
                <w:tcPr>
                  <w:tcW w:w="1447" w:type="pct"/>
                  <w:shd w:val="clear" w:color="auto" w:fill="auto"/>
                  <w:vAlign w:val="center"/>
                </w:tcPr>
                <w:p w14:paraId="63E34498">
                  <w:pPr>
                    <w:pStyle w:val="28"/>
                    <w:rPr>
                      <w:highlight w:val="none"/>
                    </w:rPr>
                  </w:pPr>
                  <w:r>
                    <w:rPr>
                      <w:rFonts w:hint="eastAsia"/>
                      <w:highlight w:val="none"/>
                    </w:rPr>
                    <w:t>可倾斜真空封口机</w:t>
                  </w:r>
                </w:p>
              </w:tc>
              <w:tc>
                <w:tcPr>
                  <w:tcW w:w="1685" w:type="pct"/>
                  <w:shd w:val="clear" w:color="auto" w:fill="auto"/>
                  <w:vAlign w:val="center"/>
                </w:tcPr>
                <w:p w14:paraId="20CB7162">
                  <w:pPr>
                    <w:pStyle w:val="28"/>
                    <w:rPr>
                      <w:highlight w:val="none"/>
                    </w:rPr>
                  </w:pPr>
                  <w:r>
                    <w:rPr>
                      <w:highlight w:val="none"/>
                    </w:rPr>
                    <w:t>DZ-5002SF</w:t>
                  </w:r>
                </w:p>
              </w:tc>
              <w:tc>
                <w:tcPr>
                  <w:tcW w:w="1373" w:type="pct"/>
                  <w:shd w:val="clear" w:color="auto" w:fill="auto"/>
                  <w:vAlign w:val="center"/>
                </w:tcPr>
                <w:p w14:paraId="37C9813D">
                  <w:pPr>
                    <w:pStyle w:val="28"/>
                    <w:rPr>
                      <w:highlight w:val="none"/>
                    </w:rPr>
                  </w:pPr>
                  <w:r>
                    <w:rPr>
                      <w:rFonts w:hint="eastAsia"/>
                      <w:highlight w:val="none"/>
                    </w:rPr>
                    <w:t>6</w:t>
                  </w:r>
                </w:p>
              </w:tc>
            </w:tr>
            <w:tr w14:paraId="10F5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02A5098B">
                  <w:pPr>
                    <w:pStyle w:val="28"/>
                    <w:rPr>
                      <w:highlight w:val="none"/>
                    </w:rPr>
                  </w:pPr>
                  <w:r>
                    <w:rPr>
                      <w:rFonts w:hint="eastAsia"/>
                      <w:highlight w:val="none"/>
                    </w:rPr>
                    <w:t>39</w:t>
                  </w:r>
                </w:p>
              </w:tc>
              <w:tc>
                <w:tcPr>
                  <w:tcW w:w="1447" w:type="pct"/>
                  <w:shd w:val="clear" w:color="auto" w:fill="auto"/>
                  <w:vAlign w:val="center"/>
                </w:tcPr>
                <w:p w14:paraId="106BCA6D">
                  <w:pPr>
                    <w:pStyle w:val="28"/>
                    <w:rPr>
                      <w:highlight w:val="none"/>
                    </w:rPr>
                  </w:pPr>
                  <w:r>
                    <w:rPr>
                      <w:rFonts w:hint="eastAsia"/>
                      <w:highlight w:val="none"/>
                    </w:rPr>
                    <w:t>架子车</w:t>
                  </w:r>
                </w:p>
              </w:tc>
              <w:tc>
                <w:tcPr>
                  <w:tcW w:w="1685" w:type="pct"/>
                  <w:shd w:val="clear" w:color="auto" w:fill="auto"/>
                  <w:vAlign w:val="center"/>
                </w:tcPr>
                <w:p w14:paraId="12418288">
                  <w:pPr>
                    <w:pStyle w:val="28"/>
                    <w:rPr>
                      <w:highlight w:val="none"/>
                    </w:rPr>
                  </w:pPr>
                  <w:r>
                    <w:rPr>
                      <w:rFonts w:hint="eastAsia"/>
                      <w:highlight w:val="none"/>
                    </w:rPr>
                    <w:t>200kg/车</w:t>
                  </w:r>
                </w:p>
              </w:tc>
              <w:tc>
                <w:tcPr>
                  <w:tcW w:w="1373" w:type="pct"/>
                  <w:shd w:val="clear" w:color="auto" w:fill="auto"/>
                  <w:vAlign w:val="center"/>
                </w:tcPr>
                <w:p w14:paraId="76395818">
                  <w:pPr>
                    <w:pStyle w:val="28"/>
                    <w:rPr>
                      <w:highlight w:val="none"/>
                    </w:rPr>
                  </w:pPr>
                  <w:r>
                    <w:rPr>
                      <w:rFonts w:hint="eastAsia"/>
                      <w:highlight w:val="none"/>
                    </w:rPr>
                    <w:t>20</w:t>
                  </w:r>
                </w:p>
              </w:tc>
            </w:tr>
            <w:tr w14:paraId="0486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388336F2">
                  <w:pPr>
                    <w:pStyle w:val="28"/>
                    <w:rPr>
                      <w:highlight w:val="none"/>
                    </w:rPr>
                  </w:pPr>
                  <w:r>
                    <w:rPr>
                      <w:rFonts w:hint="eastAsia"/>
                      <w:highlight w:val="none"/>
                    </w:rPr>
                    <w:t>40</w:t>
                  </w:r>
                </w:p>
              </w:tc>
              <w:tc>
                <w:tcPr>
                  <w:tcW w:w="1447" w:type="pct"/>
                  <w:shd w:val="clear" w:color="auto" w:fill="auto"/>
                  <w:vAlign w:val="center"/>
                </w:tcPr>
                <w:p w14:paraId="1CDFBED4">
                  <w:pPr>
                    <w:pStyle w:val="28"/>
                    <w:rPr>
                      <w:highlight w:val="none"/>
                    </w:rPr>
                  </w:pPr>
                  <w:r>
                    <w:rPr>
                      <w:rFonts w:hint="eastAsia"/>
                      <w:highlight w:val="none"/>
                    </w:rPr>
                    <w:t>真空灌肠机</w:t>
                  </w:r>
                </w:p>
              </w:tc>
              <w:tc>
                <w:tcPr>
                  <w:tcW w:w="1685" w:type="pct"/>
                  <w:shd w:val="clear" w:color="auto" w:fill="auto"/>
                  <w:vAlign w:val="center"/>
                </w:tcPr>
                <w:p w14:paraId="4EA8877B">
                  <w:pPr>
                    <w:pStyle w:val="28"/>
                    <w:rPr>
                      <w:highlight w:val="none"/>
                    </w:rPr>
                  </w:pPr>
                  <w:r>
                    <w:rPr>
                      <w:rFonts w:hint="eastAsia"/>
                      <w:highlight w:val="none"/>
                    </w:rPr>
                    <w:t>900x900</w:t>
                  </w:r>
                </w:p>
              </w:tc>
              <w:tc>
                <w:tcPr>
                  <w:tcW w:w="1373" w:type="pct"/>
                  <w:shd w:val="clear" w:color="auto" w:fill="auto"/>
                  <w:vAlign w:val="center"/>
                </w:tcPr>
                <w:p w14:paraId="326269ED">
                  <w:pPr>
                    <w:pStyle w:val="28"/>
                    <w:rPr>
                      <w:highlight w:val="none"/>
                    </w:rPr>
                  </w:pPr>
                  <w:r>
                    <w:rPr>
                      <w:rFonts w:hint="eastAsia"/>
                      <w:highlight w:val="none"/>
                    </w:rPr>
                    <w:t>1</w:t>
                  </w:r>
                </w:p>
              </w:tc>
            </w:tr>
            <w:tr w14:paraId="6924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37E9BC65">
                  <w:pPr>
                    <w:pStyle w:val="28"/>
                    <w:rPr>
                      <w:highlight w:val="none"/>
                    </w:rPr>
                  </w:pPr>
                  <w:r>
                    <w:rPr>
                      <w:rFonts w:hint="eastAsia"/>
                      <w:highlight w:val="none"/>
                    </w:rPr>
                    <w:t>41</w:t>
                  </w:r>
                </w:p>
              </w:tc>
              <w:tc>
                <w:tcPr>
                  <w:tcW w:w="1447" w:type="pct"/>
                  <w:shd w:val="clear" w:color="auto" w:fill="auto"/>
                  <w:vAlign w:val="center"/>
                </w:tcPr>
                <w:p w14:paraId="1CED39D9">
                  <w:pPr>
                    <w:pStyle w:val="28"/>
                    <w:rPr>
                      <w:highlight w:val="none"/>
                    </w:rPr>
                  </w:pPr>
                  <w:r>
                    <w:rPr>
                      <w:rFonts w:hint="eastAsia"/>
                      <w:highlight w:val="none"/>
                    </w:rPr>
                    <w:t>斩拌机</w:t>
                  </w:r>
                </w:p>
              </w:tc>
              <w:tc>
                <w:tcPr>
                  <w:tcW w:w="1685" w:type="pct"/>
                  <w:shd w:val="clear" w:color="auto" w:fill="auto"/>
                  <w:vAlign w:val="center"/>
                </w:tcPr>
                <w:p w14:paraId="53D0F46D">
                  <w:pPr>
                    <w:pStyle w:val="28"/>
                    <w:rPr>
                      <w:highlight w:val="none"/>
                    </w:rPr>
                  </w:pPr>
                  <w:r>
                    <w:rPr>
                      <w:rFonts w:hint="eastAsia"/>
                      <w:highlight w:val="none"/>
                    </w:rPr>
                    <w:t>3980r/min</w:t>
                  </w:r>
                </w:p>
              </w:tc>
              <w:tc>
                <w:tcPr>
                  <w:tcW w:w="1373" w:type="pct"/>
                  <w:shd w:val="clear" w:color="auto" w:fill="auto"/>
                  <w:vAlign w:val="center"/>
                </w:tcPr>
                <w:p w14:paraId="123DD517">
                  <w:pPr>
                    <w:pStyle w:val="28"/>
                    <w:rPr>
                      <w:highlight w:val="none"/>
                    </w:rPr>
                  </w:pPr>
                  <w:r>
                    <w:rPr>
                      <w:rFonts w:hint="eastAsia"/>
                      <w:highlight w:val="none"/>
                    </w:rPr>
                    <w:t>1</w:t>
                  </w:r>
                </w:p>
              </w:tc>
            </w:tr>
            <w:tr w14:paraId="5CA0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38165968">
                  <w:pPr>
                    <w:pStyle w:val="28"/>
                    <w:rPr>
                      <w:highlight w:val="none"/>
                    </w:rPr>
                  </w:pPr>
                  <w:r>
                    <w:rPr>
                      <w:rFonts w:hint="eastAsia"/>
                      <w:highlight w:val="none"/>
                    </w:rPr>
                    <w:t>42</w:t>
                  </w:r>
                </w:p>
              </w:tc>
              <w:tc>
                <w:tcPr>
                  <w:tcW w:w="1447" w:type="pct"/>
                  <w:shd w:val="clear" w:color="auto" w:fill="auto"/>
                  <w:vAlign w:val="center"/>
                </w:tcPr>
                <w:p w14:paraId="4C70C140">
                  <w:pPr>
                    <w:pStyle w:val="28"/>
                    <w:rPr>
                      <w:highlight w:val="none"/>
                    </w:rPr>
                  </w:pPr>
                  <w:r>
                    <w:rPr>
                      <w:rFonts w:hint="eastAsia"/>
                      <w:highlight w:val="none"/>
                    </w:rPr>
                    <w:t>肉丸机</w:t>
                  </w:r>
                </w:p>
              </w:tc>
              <w:tc>
                <w:tcPr>
                  <w:tcW w:w="1685" w:type="pct"/>
                  <w:shd w:val="clear" w:color="auto" w:fill="auto"/>
                  <w:vAlign w:val="center"/>
                </w:tcPr>
                <w:p w14:paraId="1CB27F41">
                  <w:pPr>
                    <w:pStyle w:val="28"/>
                    <w:rPr>
                      <w:highlight w:val="none"/>
                    </w:rPr>
                  </w:pPr>
                  <w:r>
                    <w:rPr>
                      <w:rFonts w:hint="eastAsia"/>
                      <w:highlight w:val="none"/>
                    </w:rPr>
                    <w:t>/</w:t>
                  </w:r>
                </w:p>
              </w:tc>
              <w:tc>
                <w:tcPr>
                  <w:tcW w:w="1373" w:type="pct"/>
                  <w:shd w:val="clear" w:color="auto" w:fill="auto"/>
                  <w:vAlign w:val="center"/>
                </w:tcPr>
                <w:p w14:paraId="06C8B3A3">
                  <w:pPr>
                    <w:pStyle w:val="28"/>
                    <w:rPr>
                      <w:highlight w:val="none"/>
                    </w:rPr>
                  </w:pPr>
                  <w:r>
                    <w:rPr>
                      <w:rFonts w:hint="eastAsia"/>
                      <w:highlight w:val="none"/>
                    </w:rPr>
                    <w:t>1</w:t>
                  </w:r>
                </w:p>
              </w:tc>
            </w:tr>
            <w:tr w14:paraId="7ACF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089AF1E8">
                  <w:pPr>
                    <w:pStyle w:val="28"/>
                    <w:rPr>
                      <w:highlight w:val="none"/>
                    </w:rPr>
                  </w:pPr>
                  <w:r>
                    <w:rPr>
                      <w:rFonts w:hint="eastAsia"/>
                      <w:highlight w:val="none"/>
                    </w:rPr>
                    <w:t>43</w:t>
                  </w:r>
                </w:p>
              </w:tc>
              <w:tc>
                <w:tcPr>
                  <w:tcW w:w="1447" w:type="pct"/>
                  <w:shd w:val="clear" w:color="auto" w:fill="auto"/>
                  <w:vAlign w:val="center"/>
                </w:tcPr>
                <w:p w14:paraId="3B3EFD6A">
                  <w:pPr>
                    <w:pStyle w:val="28"/>
                    <w:rPr>
                      <w:highlight w:val="none"/>
                    </w:rPr>
                  </w:pPr>
                  <w:r>
                    <w:rPr>
                      <w:rFonts w:hint="eastAsia"/>
                      <w:highlight w:val="none"/>
                    </w:rPr>
                    <w:t>煮锅</w:t>
                  </w:r>
                </w:p>
              </w:tc>
              <w:tc>
                <w:tcPr>
                  <w:tcW w:w="1685" w:type="pct"/>
                  <w:vAlign w:val="center"/>
                </w:tcPr>
                <w:p w14:paraId="7A8CA4D2">
                  <w:pPr>
                    <w:pStyle w:val="28"/>
                    <w:rPr>
                      <w:highlight w:val="none"/>
                    </w:rPr>
                  </w:pPr>
                  <w:r>
                    <w:rPr>
                      <w:rFonts w:hint="eastAsia"/>
                      <w:highlight w:val="none"/>
                    </w:rPr>
                    <w:t>/</w:t>
                  </w:r>
                </w:p>
              </w:tc>
              <w:tc>
                <w:tcPr>
                  <w:tcW w:w="1373" w:type="pct"/>
                  <w:shd w:val="clear" w:color="auto" w:fill="auto"/>
                  <w:vAlign w:val="center"/>
                </w:tcPr>
                <w:p w14:paraId="009BF9EA">
                  <w:pPr>
                    <w:pStyle w:val="28"/>
                    <w:rPr>
                      <w:highlight w:val="none"/>
                    </w:rPr>
                  </w:pPr>
                  <w:r>
                    <w:rPr>
                      <w:rFonts w:hint="eastAsia"/>
                      <w:highlight w:val="none"/>
                    </w:rPr>
                    <w:t>2</w:t>
                  </w:r>
                </w:p>
              </w:tc>
            </w:tr>
            <w:tr w14:paraId="6127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93" w:type="pct"/>
                  <w:vAlign w:val="center"/>
                </w:tcPr>
                <w:p w14:paraId="7961ACCA">
                  <w:pPr>
                    <w:pStyle w:val="28"/>
                    <w:rPr>
                      <w:highlight w:val="none"/>
                    </w:rPr>
                  </w:pPr>
                  <w:r>
                    <w:rPr>
                      <w:rFonts w:hint="eastAsia"/>
                      <w:highlight w:val="none"/>
                    </w:rPr>
                    <w:t>44</w:t>
                  </w:r>
                </w:p>
              </w:tc>
              <w:tc>
                <w:tcPr>
                  <w:tcW w:w="1447" w:type="pct"/>
                  <w:shd w:val="clear" w:color="auto" w:fill="auto"/>
                  <w:vAlign w:val="center"/>
                </w:tcPr>
                <w:p w14:paraId="332EAD35">
                  <w:pPr>
                    <w:pStyle w:val="28"/>
                    <w:rPr>
                      <w:highlight w:val="none"/>
                    </w:rPr>
                  </w:pPr>
                  <w:r>
                    <w:rPr>
                      <w:rFonts w:hint="eastAsia"/>
                      <w:highlight w:val="none"/>
                    </w:rPr>
                    <w:t>电蒸熏炉</w:t>
                  </w:r>
                </w:p>
              </w:tc>
              <w:tc>
                <w:tcPr>
                  <w:tcW w:w="1685" w:type="pct"/>
                  <w:vAlign w:val="center"/>
                </w:tcPr>
                <w:p w14:paraId="20B78C6B">
                  <w:pPr>
                    <w:pStyle w:val="28"/>
                    <w:rPr>
                      <w:highlight w:val="none"/>
                    </w:rPr>
                  </w:pPr>
                  <w:r>
                    <w:rPr>
                      <w:rFonts w:hint="eastAsia"/>
                      <w:highlight w:val="none"/>
                    </w:rPr>
                    <w:t>/</w:t>
                  </w:r>
                </w:p>
              </w:tc>
              <w:tc>
                <w:tcPr>
                  <w:tcW w:w="1373" w:type="pct"/>
                  <w:shd w:val="clear" w:color="auto" w:fill="auto"/>
                  <w:vAlign w:val="center"/>
                </w:tcPr>
                <w:p w14:paraId="3C92A742">
                  <w:pPr>
                    <w:pStyle w:val="28"/>
                    <w:rPr>
                      <w:highlight w:val="none"/>
                    </w:rPr>
                  </w:pPr>
                  <w:r>
                    <w:rPr>
                      <w:rFonts w:hint="eastAsia"/>
                      <w:highlight w:val="none"/>
                    </w:rPr>
                    <w:t>1</w:t>
                  </w:r>
                </w:p>
              </w:tc>
            </w:tr>
          </w:tbl>
          <w:p w14:paraId="3F8B2FF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（5）工作制度及劳动定员</w:t>
            </w:r>
          </w:p>
          <w:p w14:paraId="59BD15B0">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原项目运营期共有劳动定员80人，均在厂区食宿，工作制度实行8小时单班工作制，年工作350天。</w:t>
            </w:r>
          </w:p>
          <w:p w14:paraId="45F5E8CA">
            <w:pPr>
              <w:pStyle w:val="34"/>
              <w:ind w:firstLine="0" w:firstLineChars="0"/>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3.污染物排放情况</w:t>
            </w:r>
          </w:p>
          <w:p w14:paraId="05F05DC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项目厂区定期进行排污许可自行监测，根据2024年11月12日的云南海潮集团听牧肉牛产业股份有限公司排污许可自行监测结果可知，本项目原污染物排放达标。具体见附件10。</w:t>
            </w:r>
          </w:p>
          <w:p w14:paraId="714A97AC">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（1）噪声自行监测</w:t>
            </w:r>
          </w:p>
          <w:p w14:paraId="55A98F67">
            <w:pPr>
              <w:pStyle w:val="30"/>
              <w:rPr>
                <w:rFonts w:hint="default"/>
                <w:highlight w:val="none"/>
              </w:rPr>
            </w:pPr>
            <w:r>
              <w:rPr>
                <w:highlight w:val="none"/>
              </w:rPr>
              <w:t>表2-1</w:t>
            </w:r>
            <w:r>
              <w:rPr>
                <w:rFonts w:hint="eastAsia"/>
                <w:highlight w:val="none"/>
                <w:lang w:val="en-US" w:eastAsia="zh-CN"/>
              </w:rPr>
              <w:t>4</w:t>
            </w:r>
            <w:r>
              <w:rPr>
                <w:highlight w:val="none"/>
              </w:rPr>
              <w:t>厂界环境噪声自行检测结果单位：dB（A）</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671"/>
              <w:gridCol w:w="1672"/>
              <w:gridCol w:w="1672"/>
              <w:gridCol w:w="1677"/>
            </w:tblGrid>
            <w:tr w14:paraId="0FDE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14:paraId="64EF4E3D">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检测地点</w:t>
                  </w:r>
                </w:p>
              </w:tc>
              <w:tc>
                <w:tcPr>
                  <w:tcW w:w="2000" w:type="pct"/>
                  <w:gridSpan w:val="2"/>
                  <w:vAlign w:val="center"/>
                </w:tcPr>
                <w:p w14:paraId="4B99629C">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昼间噪声</w:t>
                  </w:r>
                </w:p>
              </w:tc>
              <w:tc>
                <w:tcPr>
                  <w:tcW w:w="2002" w:type="pct"/>
                  <w:gridSpan w:val="2"/>
                  <w:vAlign w:val="center"/>
                </w:tcPr>
                <w:p w14:paraId="5668DC74">
                  <w:pPr>
                    <w:pStyle w:val="34"/>
                    <w:adjustRightInd w:val="0"/>
                    <w:ind w:firstLine="0" w:firstLineChars="0"/>
                    <w:jc w:val="center"/>
                    <w:rPr>
                      <w:rFonts w:cs="Times New Roman"/>
                      <w:spacing w:val="0"/>
                      <w:sz w:val="21"/>
                      <w:szCs w:val="21"/>
                      <w:highlight w:val="none"/>
                      <w:lang w:eastAsia="zh-CN"/>
                    </w:rPr>
                  </w:pPr>
                  <w:r>
                    <w:rPr>
                      <w:rFonts w:cs="Times New Roman"/>
                      <w:spacing w:val="0"/>
                      <w:sz w:val="21"/>
                      <w:szCs w:val="21"/>
                      <w:highlight w:val="none"/>
                      <w:lang w:eastAsia="zh-CN"/>
                    </w:rPr>
                    <w:t>夜间噪声</w:t>
                  </w:r>
                </w:p>
              </w:tc>
            </w:tr>
            <w:tr w14:paraId="1B1B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58ECF723">
                  <w:pPr>
                    <w:pStyle w:val="34"/>
                    <w:adjustRightInd w:val="0"/>
                    <w:ind w:firstLine="0" w:firstLineChars="0"/>
                    <w:jc w:val="center"/>
                    <w:rPr>
                      <w:rFonts w:cs="Times New Roman"/>
                      <w:spacing w:val="0"/>
                      <w:sz w:val="21"/>
                      <w:szCs w:val="21"/>
                      <w:highlight w:val="none"/>
                      <w:lang w:eastAsia="zh-CN"/>
                    </w:rPr>
                  </w:pPr>
                </w:p>
              </w:tc>
              <w:tc>
                <w:tcPr>
                  <w:tcW w:w="1000" w:type="pct"/>
                  <w:vMerge w:val="restart"/>
                  <w:vAlign w:val="center"/>
                </w:tcPr>
                <w:p w14:paraId="15D1EFA8">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检测时段</w:t>
                  </w:r>
                </w:p>
              </w:tc>
              <w:tc>
                <w:tcPr>
                  <w:tcW w:w="1000" w:type="pct"/>
                  <w:vAlign w:val="center"/>
                </w:tcPr>
                <w:p w14:paraId="31E3AFC3">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测量结果</w:t>
                  </w:r>
                </w:p>
              </w:tc>
              <w:tc>
                <w:tcPr>
                  <w:tcW w:w="1000" w:type="pct"/>
                  <w:vMerge w:val="restart"/>
                  <w:vAlign w:val="center"/>
                </w:tcPr>
                <w:p w14:paraId="06DA9A5E">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检测时段</w:t>
                  </w:r>
                </w:p>
              </w:tc>
              <w:tc>
                <w:tcPr>
                  <w:tcW w:w="1001" w:type="pct"/>
                  <w:vAlign w:val="center"/>
                </w:tcPr>
                <w:p w14:paraId="0B60C96A">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测量结果</w:t>
                  </w:r>
                </w:p>
              </w:tc>
            </w:tr>
            <w:tr w14:paraId="060A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0E491962">
                  <w:pPr>
                    <w:pStyle w:val="34"/>
                    <w:adjustRightInd w:val="0"/>
                    <w:ind w:firstLine="0" w:firstLineChars="0"/>
                    <w:jc w:val="center"/>
                    <w:rPr>
                      <w:rFonts w:cs="Times New Roman"/>
                      <w:spacing w:val="0"/>
                      <w:sz w:val="21"/>
                      <w:szCs w:val="21"/>
                      <w:highlight w:val="none"/>
                      <w:lang w:eastAsia="zh-CN"/>
                    </w:rPr>
                  </w:pPr>
                </w:p>
              </w:tc>
              <w:tc>
                <w:tcPr>
                  <w:tcW w:w="1000" w:type="pct"/>
                  <w:vMerge w:val="continue"/>
                  <w:vAlign w:val="center"/>
                </w:tcPr>
                <w:p w14:paraId="255F8B09">
                  <w:pPr>
                    <w:pStyle w:val="34"/>
                    <w:adjustRightInd w:val="0"/>
                    <w:ind w:firstLine="0" w:firstLineChars="0"/>
                    <w:jc w:val="center"/>
                    <w:rPr>
                      <w:rFonts w:cs="Times New Roman"/>
                      <w:spacing w:val="0"/>
                      <w:sz w:val="21"/>
                      <w:szCs w:val="21"/>
                      <w:highlight w:val="none"/>
                      <w:lang w:eastAsia="zh-CN"/>
                    </w:rPr>
                  </w:pPr>
                </w:p>
              </w:tc>
              <w:tc>
                <w:tcPr>
                  <w:tcW w:w="1000" w:type="pct"/>
                  <w:vAlign w:val="center"/>
                </w:tcPr>
                <w:p w14:paraId="5D65A837">
                  <w:pPr>
                    <w:pStyle w:val="34"/>
                    <w:adjustRightInd w:val="0"/>
                    <w:ind w:firstLine="0" w:firstLineChars="0"/>
                    <w:jc w:val="center"/>
                    <w:rPr>
                      <w:rFonts w:cs="Times New Roman"/>
                      <w:spacing w:val="0"/>
                      <w:sz w:val="21"/>
                      <w:szCs w:val="21"/>
                      <w:highlight w:val="none"/>
                      <w:lang w:eastAsia="zh-CN"/>
                    </w:rPr>
                  </w:pPr>
                  <w:r>
                    <w:rPr>
                      <w:rFonts w:cs="Times New Roman"/>
                      <w:spacing w:val="0"/>
                      <w:sz w:val="21"/>
                      <w:szCs w:val="21"/>
                      <w:highlight w:val="none"/>
                      <w:lang w:eastAsia="zh-CN"/>
                    </w:rPr>
                    <w:t>Leq</w:t>
                  </w:r>
                </w:p>
              </w:tc>
              <w:tc>
                <w:tcPr>
                  <w:tcW w:w="1000" w:type="pct"/>
                  <w:vMerge w:val="continue"/>
                  <w:vAlign w:val="center"/>
                </w:tcPr>
                <w:p w14:paraId="1FF33EEB">
                  <w:pPr>
                    <w:pStyle w:val="34"/>
                    <w:adjustRightInd w:val="0"/>
                    <w:ind w:firstLine="0" w:firstLineChars="0"/>
                    <w:jc w:val="center"/>
                    <w:rPr>
                      <w:rFonts w:cs="Times New Roman"/>
                      <w:spacing w:val="0"/>
                      <w:sz w:val="21"/>
                      <w:szCs w:val="21"/>
                      <w:highlight w:val="none"/>
                      <w:lang w:eastAsia="zh-CN"/>
                    </w:rPr>
                  </w:pPr>
                </w:p>
              </w:tc>
              <w:tc>
                <w:tcPr>
                  <w:tcW w:w="1001" w:type="pct"/>
                  <w:vAlign w:val="center"/>
                </w:tcPr>
                <w:p w14:paraId="51C1774A">
                  <w:pPr>
                    <w:pStyle w:val="34"/>
                    <w:adjustRightInd w:val="0"/>
                    <w:ind w:firstLine="0" w:firstLineChars="0"/>
                    <w:jc w:val="center"/>
                    <w:rPr>
                      <w:rFonts w:cs="Times New Roman"/>
                      <w:spacing w:val="0"/>
                      <w:sz w:val="21"/>
                      <w:szCs w:val="21"/>
                      <w:highlight w:val="none"/>
                      <w:lang w:eastAsia="zh-CN"/>
                    </w:rPr>
                  </w:pPr>
                  <w:r>
                    <w:rPr>
                      <w:rFonts w:cs="Times New Roman"/>
                      <w:spacing w:val="0"/>
                      <w:sz w:val="21"/>
                      <w:szCs w:val="21"/>
                      <w:highlight w:val="none"/>
                      <w:lang w:eastAsia="zh-CN"/>
                    </w:rPr>
                    <w:t>Leq</w:t>
                  </w:r>
                </w:p>
              </w:tc>
            </w:tr>
            <w:tr w14:paraId="2565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5194EED9">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厂界1#</w:t>
                  </w:r>
                </w:p>
              </w:tc>
              <w:tc>
                <w:tcPr>
                  <w:tcW w:w="1000" w:type="pct"/>
                  <w:vAlign w:val="center"/>
                </w:tcPr>
                <w:p w14:paraId="599BE946">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10:20~10:30</w:t>
                  </w:r>
                </w:p>
              </w:tc>
              <w:tc>
                <w:tcPr>
                  <w:tcW w:w="1000" w:type="pct"/>
                  <w:vAlign w:val="center"/>
                </w:tcPr>
                <w:p w14:paraId="4D511897">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52</w:t>
                  </w:r>
                </w:p>
              </w:tc>
              <w:tc>
                <w:tcPr>
                  <w:tcW w:w="1000" w:type="pct"/>
                  <w:vAlign w:val="center"/>
                </w:tcPr>
                <w:p w14:paraId="3B2943DB">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22:26~22:36</w:t>
                  </w:r>
                </w:p>
              </w:tc>
              <w:tc>
                <w:tcPr>
                  <w:tcW w:w="1001" w:type="pct"/>
                  <w:vAlign w:val="center"/>
                </w:tcPr>
                <w:p w14:paraId="391CEAB9">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43</w:t>
                  </w:r>
                </w:p>
              </w:tc>
            </w:tr>
            <w:tr w14:paraId="5EB5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41900783">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厂界2#</w:t>
                  </w:r>
                </w:p>
              </w:tc>
              <w:tc>
                <w:tcPr>
                  <w:tcW w:w="1000" w:type="pct"/>
                  <w:vAlign w:val="center"/>
                </w:tcPr>
                <w:p w14:paraId="4D7CF785">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10:40~10:50</w:t>
                  </w:r>
                </w:p>
              </w:tc>
              <w:tc>
                <w:tcPr>
                  <w:tcW w:w="1000" w:type="pct"/>
                  <w:vAlign w:val="center"/>
                </w:tcPr>
                <w:p w14:paraId="4E30755E">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52</w:t>
                  </w:r>
                </w:p>
              </w:tc>
              <w:tc>
                <w:tcPr>
                  <w:tcW w:w="1000" w:type="pct"/>
                  <w:vAlign w:val="center"/>
                </w:tcPr>
                <w:p w14:paraId="34137F00">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22:42~22:52</w:t>
                  </w:r>
                </w:p>
              </w:tc>
              <w:tc>
                <w:tcPr>
                  <w:tcW w:w="1001" w:type="pct"/>
                  <w:vAlign w:val="center"/>
                </w:tcPr>
                <w:p w14:paraId="6AFBF365">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44</w:t>
                  </w:r>
                </w:p>
              </w:tc>
            </w:tr>
            <w:tr w14:paraId="5303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7019AE75">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厂界3#</w:t>
                  </w:r>
                </w:p>
              </w:tc>
              <w:tc>
                <w:tcPr>
                  <w:tcW w:w="1000" w:type="pct"/>
                  <w:vAlign w:val="center"/>
                </w:tcPr>
                <w:p w14:paraId="2446AA41">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11:10~11:20</w:t>
                  </w:r>
                </w:p>
              </w:tc>
              <w:tc>
                <w:tcPr>
                  <w:tcW w:w="1000" w:type="pct"/>
                  <w:vAlign w:val="center"/>
                </w:tcPr>
                <w:p w14:paraId="45FE3AE2">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53</w:t>
                  </w:r>
                </w:p>
              </w:tc>
              <w:tc>
                <w:tcPr>
                  <w:tcW w:w="1000" w:type="pct"/>
                  <w:vAlign w:val="center"/>
                </w:tcPr>
                <w:p w14:paraId="4525BD94">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23:00~23:10</w:t>
                  </w:r>
                </w:p>
              </w:tc>
              <w:tc>
                <w:tcPr>
                  <w:tcW w:w="1001" w:type="pct"/>
                  <w:vAlign w:val="center"/>
                </w:tcPr>
                <w:p w14:paraId="53E6A98F">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42</w:t>
                  </w:r>
                </w:p>
              </w:tc>
            </w:tr>
            <w:tr w14:paraId="7D1B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5321C3DA">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厂界4#</w:t>
                  </w:r>
                </w:p>
              </w:tc>
              <w:tc>
                <w:tcPr>
                  <w:tcW w:w="1000" w:type="pct"/>
                  <w:vAlign w:val="center"/>
                </w:tcPr>
                <w:p w14:paraId="51635391">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11:33~11:43</w:t>
                  </w:r>
                </w:p>
              </w:tc>
              <w:tc>
                <w:tcPr>
                  <w:tcW w:w="1000" w:type="pct"/>
                  <w:vAlign w:val="center"/>
                </w:tcPr>
                <w:p w14:paraId="6A89C58E">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53</w:t>
                  </w:r>
                </w:p>
              </w:tc>
              <w:tc>
                <w:tcPr>
                  <w:tcW w:w="1000" w:type="pct"/>
                  <w:vAlign w:val="center"/>
                </w:tcPr>
                <w:p w14:paraId="426CB74C">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23:16~23:26</w:t>
                  </w:r>
                </w:p>
              </w:tc>
              <w:tc>
                <w:tcPr>
                  <w:tcW w:w="1001" w:type="pct"/>
                  <w:vAlign w:val="center"/>
                </w:tcPr>
                <w:p w14:paraId="5FC0A8DD">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43</w:t>
                  </w:r>
                </w:p>
              </w:tc>
            </w:tr>
            <w:tr w14:paraId="5F8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0FE93CEA">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最大值</w:t>
                  </w:r>
                </w:p>
              </w:tc>
              <w:tc>
                <w:tcPr>
                  <w:tcW w:w="1000" w:type="pct"/>
                  <w:shd w:val="clear" w:color="auto" w:fill="auto"/>
                  <w:vAlign w:val="center"/>
                </w:tcPr>
                <w:p w14:paraId="01D283C0">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w:t>
                  </w:r>
                </w:p>
              </w:tc>
              <w:tc>
                <w:tcPr>
                  <w:tcW w:w="1000" w:type="pct"/>
                  <w:shd w:val="clear" w:color="auto" w:fill="auto"/>
                  <w:vAlign w:val="center"/>
                </w:tcPr>
                <w:p w14:paraId="04150CB5">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53</w:t>
                  </w:r>
                </w:p>
              </w:tc>
              <w:tc>
                <w:tcPr>
                  <w:tcW w:w="1000" w:type="pct"/>
                  <w:shd w:val="clear" w:color="auto" w:fill="auto"/>
                  <w:vAlign w:val="center"/>
                </w:tcPr>
                <w:p w14:paraId="369538D3">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w:t>
                  </w:r>
                </w:p>
              </w:tc>
              <w:tc>
                <w:tcPr>
                  <w:tcW w:w="1001" w:type="pct"/>
                  <w:shd w:val="clear" w:color="auto" w:fill="auto"/>
                  <w:vAlign w:val="center"/>
                </w:tcPr>
                <w:p w14:paraId="15B1C28C">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44</w:t>
                  </w:r>
                </w:p>
              </w:tc>
            </w:tr>
            <w:tr w14:paraId="0388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7C6D74F3">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参照标准值</w:t>
                  </w:r>
                </w:p>
              </w:tc>
              <w:tc>
                <w:tcPr>
                  <w:tcW w:w="1000" w:type="pct"/>
                  <w:shd w:val="clear" w:color="auto" w:fill="auto"/>
                  <w:vAlign w:val="center"/>
                </w:tcPr>
                <w:p w14:paraId="0E2C869E">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w:t>
                  </w:r>
                </w:p>
              </w:tc>
              <w:tc>
                <w:tcPr>
                  <w:tcW w:w="1000" w:type="pct"/>
                  <w:shd w:val="clear" w:color="auto" w:fill="auto"/>
                  <w:vAlign w:val="center"/>
                </w:tcPr>
                <w:p w14:paraId="5D350415">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≤60</w:t>
                  </w:r>
                </w:p>
              </w:tc>
              <w:tc>
                <w:tcPr>
                  <w:tcW w:w="1000" w:type="pct"/>
                  <w:shd w:val="clear" w:color="auto" w:fill="auto"/>
                  <w:vAlign w:val="center"/>
                </w:tcPr>
                <w:p w14:paraId="55EA8BAB">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w:t>
                  </w:r>
                </w:p>
              </w:tc>
              <w:tc>
                <w:tcPr>
                  <w:tcW w:w="1001" w:type="pct"/>
                  <w:shd w:val="clear" w:color="auto" w:fill="auto"/>
                  <w:vAlign w:val="center"/>
                </w:tcPr>
                <w:p w14:paraId="21FD0A7F">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≤50</w:t>
                  </w:r>
                </w:p>
              </w:tc>
            </w:tr>
            <w:tr w14:paraId="31D8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23286E71">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达标情况</w:t>
                  </w:r>
                </w:p>
              </w:tc>
              <w:tc>
                <w:tcPr>
                  <w:tcW w:w="1000" w:type="pct"/>
                  <w:shd w:val="clear" w:color="auto" w:fill="auto"/>
                  <w:vAlign w:val="center"/>
                </w:tcPr>
                <w:p w14:paraId="612197DA">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w:t>
                  </w:r>
                </w:p>
              </w:tc>
              <w:tc>
                <w:tcPr>
                  <w:tcW w:w="1000" w:type="pct"/>
                  <w:shd w:val="clear" w:color="auto" w:fill="auto"/>
                  <w:vAlign w:val="center"/>
                </w:tcPr>
                <w:p w14:paraId="60CB65E1">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达标</w:t>
                  </w:r>
                </w:p>
              </w:tc>
              <w:tc>
                <w:tcPr>
                  <w:tcW w:w="1000" w:type="pct"/>
                  <w:shd w:val="clear" w:color="auto" w:fill="auto"/>
                  <w:vAlign w:val="center"/>
                </w:tcPr>
                <w:p w14:paraId="761040DA">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w:t>
                  </w:r>
                </w:p>
              </w:tc>
              <w:tc>
                <w:tcPr>
                  <w:tcW w:w="1001" w:type="pct"/>
                  <w:shd w:val="clear" w:color="auto" w:fill="auto"/>
                  <w:vAlign w:val="center"/>
                </w:tcPr>
                <w:p w14:paraId="6894DC69">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达标</w:t>
                  </w:r>
                </w:p>
              </w:tc>
            </w:tr>
            <w:tr w14:paraId="60B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5CA5D3B2">
                  <w:pPr>
                    <w:pStyle w:val="34"/>
                    <w:adjustRightInd w:val="0"/>
                    <w:ind w:firstLine="0" w:firstLineChars="0"/>
                    <w:jc w:val="center"/>
                    <w:rPr>
                      <w:rFonts w:cs="Times New Roman"/>
                      <w:spacing w:val="0"/>
                      <w:sz w:val="21"/>
                      <w:szCs w:val="21"/>
                      <w:highlight w:val="none"/>
                      <w:lang w:eastAsia="zh-CN"/>
                    </w:rPr>
                  </w:pPr>
                  <w:r>
                    <w:rPr>
                      <w:rFonts w:hint="eastAsia" w:cs="Times New Roman"/>
                      <w:spacing w:val="0"/>
                      <w:sz w:val="21"/>
                      <w:szCs w:val="21"/>
                      <w:highlight w:val="none"/>
                      <w:lang w:eastAsia="zh-CN"/>
                    </w:rPr>
                    <w:t>1、本项目生产时间为8小时/天（08:30～17:30）；</w:t>
                  </w:r>
                </w:p>
              </w:tc>
            </w:tr>
          </w:tbl>
          <w:p w14:paraId="7202955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根据上表可知，厂区现有噪声达到《工业企业厂界环境噪声排放标准》GB12348-2008表1 2类标准。</w:t>
            </w:r>
          </w:p>
          <w:p w14:paraId="68295C8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（2）废水自行监测</w:t>
            </w:r>
          </w:p>
          <w:p w14:paraId="15CF094D">
            <w:pPr>
              <w:pStyle w:val="30"/>
              <w:rPr>
                <w:rFonts w:hint="default"/>
                <w:highlight w:val="none"/>
              </w:rPr>
            </w:pPr>
            <w:r>
              <w:rPr>
                <w:highlight w:val="none"/>
              </w:rPr>
              <w:t>表2-1</w:t>
            </w:r>
            <w:r>
              <w:rPr>
                <w:rFonts w:hint="eastAsia"/>
                <w:highlight w:val="none"/>
                <w:lang w:val="en-US" w:eastAsia="zh-CN"/>
              </w:rPr>
              <w:t>4</w:t>
            </w:r>
            <w:r>
              <w:rPr>
                <w:highlight w:val="none"/>
              </w:rPr>
              <w:t>屠宰废水自行检测结果单位：dB（A）</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402"/>
              <w:gridCol w:w="1011"/>
              <w:gridCol w:w="1115"/>
              <w:gridCol w:w="988"/>
              <w:gridCol w:w="1118"/>
              <w:gridCol w:w="915"/>
              <w:gridCol w:w="838"/>
            </w:tblGrid>
            <w:tr w14:paraId="03B2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Merge w:val="restart"/>
                  <w:vAlign w:val="center"/>
                </w:tcPr>
                <w:p w14:paraId="42A47E2D">
                  <w:pPr>
                    <w:pStyle w:val="28"/>
                    <w:rPr>
                      <w:b/>
                      <w:bCs/>
                      <w:highlight w:val="none"/>
                    </w:rPr>
                  </w:pPr>
                  <w:r>
                    <w:rPr>
                      <w:rFonts w:hint="eastAsia"/>
                      <w:b/>
                      <w:bCs/>
                      <w:highlight w:val="none"/>
                    </w:rPr>
                    <w:t>检测项目</w:t>
                  </w:r>
                </w:p>
              </w:tc>
              <w:tc>
                <w:tcPr>
                  <w:tcW w:w="839" w:type="pct"/>
                  <w:vMerge w:val="restart"/>
                  <w:vAlign w:val="center"/>
                </w:tcPr>
                <w:p w14:paraId="3B896ED2">
                  <w:pPr>
                    <w:pStyle w:val="28"/>
                    <w:rPr>
                      <w:b/>
                      <w:bCs/>
                      <w:highlight w:val="none"/>
                    </w:rPr>
                  </w:pPr>
                  <w:r>
                    <w:rPr>
                      <w:rFonts w:hint="eastAsia"/>
                      <w:b/>
                      <w:bCs/>
                      <w:highlight w:val="none"/>
                    </w:rPr>
                    <w:t>单位</w:t>
                  </w:r>
                </w:p>
              </w:tc>
              <w:tc>
                <w:tcPr>
                  <w:tcW w:w="1863" w:type="pct"/>
                  <w:gridSpan w:val="3"/>
                  <w:vAlign w:val="center"/>
                </w:tcPr>
                <w:p w14:paraId="226D4C67">
                  <w:pPr>
                    <w:pStyle w:val="28"/>
                    <w:rPr>
                      <w:b/>
                      <w:bCs/>
                      <w:highlight w:val="none"/>
                    </w:rPr>
                  </w:pPr>
                  <w:r>
                    <w:rPr>
                      <w:rFonts w:hint="eastAsia"/>
                      <w:b/>
                      <w:bCs/>
                      <w:highlight w:val="none"/>
                    </w:rPr>
                    <w:t>回用水监测口</w:t>
                  </w:r>
                </w:p>
              </w:tc>
              <w:tc>
                <w:tcPr>
                  <w:tcW w:w="669" w:type="pct"/>
                  <w:vMerge w:val="restart"/>
                  <w:vAlign w:val="center"/>
                </w:tcPr>
                <w:p w14:paraId="5618C44A">
                  <w:pPr>
                    <w:pStyle w:val="28"/>
                    <w:rPr>
                      <w:b/>
                      <w:bCs/>
                      <w:highlight w:val="none"/>
                    </w:rPr>
                  </w:pPr>
                  <w:r>
                    <w:rPr>
                      <w:rFonts w:hint="eastAsia"/>
                      <w:b/>
                      <w:bCs/>
                      <w:highlight w:val="none"/>
                    </w:rPr>
                    <w:t>平均值</w:t>
                  </w:r>
                </w:p>
                <w:p w14:paraId="0F2F1F8E">
                  <w:pPr>
                    <w:pStyle w:val="28"/>
                    <w:rPr>
                      <w:b/>
                      <w:bCs/>
                      <w:highlight w:val="none"/>
                    </w:rPr>
                  </w:pPr>
                  <w:r>
                    <w:rPr>
                      <w:rFonts w:hint="eastAsia"/>
                      <w:b/>
                      <w:bCs/>
                      <w:highlight w:val="none"/>
                    </w:rPr>
                    <w:t>（范围）</w:t>
                  </w:r>
                </w:p>
              </w:tc>
              <w:tc>
                <w:tcPr>
                  <w:tcW w:w="547" w:type="pct"/>
                  <w:vMerge w:val="restart"/>
                  <w:vAlign w:val="center"/>
                </w:tcPr>
                <w:p w14:paraId="1DDA47CE">
                  <w:pPr>
                    <w:pStyle w:val="28"/>
                    <w:rPr>
                      <w:b/>
                      <w:bCs/>
                      <w:highlight w:val="none"/>
                    </w:rPr>
                  </w:pPr>
                  <w:r>
                    <w:rPr>
                      <w:rFonts w:hint="eastAsia"/>
                      <w:b/>
                      <w:bCs/>
                      <w:highlight w:val="none"/>
                    </w:rPr>
                    <w:t>参照标准值</w:t>
                  </w:r>
                </w:p>
              </w:tc>
              <w:tc>
                <w:tcPr>
                  <w:tcW w:w="500" w:type="pct"/>
                  <w:vMerge w:val="restart"/>
                  <w:vAlign w:val="center"/>
                </w:tcPr>
                <w:p w14:paraId="5A016CAC">
                  <w:pPr>
                    <w:pStyle w:val="28"/>
                    <w:rPr>
                      <w:b/>
                      <w:bCs/>
                      <w:highlight w:val="none"/>
                    </w:rPr>
                  </w:pPr>
                  <w:r>
                    <w:rPr>
                      <w:rFonts w:hint="eastAsia"/>
                      <w:b/>
                      <w:bCs/>
                      <w:highlight w:val="none"/>
                    </w:rPr>
                    <w:t>达标情况</w:t>
                  </w:r>
                </w:p>
              </w:tc>
            </w:tr>
            <w:tr w14:paraId="51DE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81" w:type="pct"/>
                  <w:vMerge w:val="continue"/>
                  <w:vAlign w:val="center"/>
                </w:tcPr>
                <w:p w14:paraId="7FDDAC45">
                  <w:pPr>
                    <w:pStyle w:val="28"/>
                    <w:rPr>
                      <w:b/>
                      <w:bCs/>
                      <w:highlight w:val="none"/>
                    </w:rPr>
                  </w:pPr>
                </w:p>
              </w:tc>
              <w:tc>
                <w:tcPr>
                  <w:tcW w:w="839" w:type="pct"/>
                  <w:vMerge w:val="continue"/>
                  <w:tcBorders>
                    <w:tl2br w:val="single" w:color="auto" w:sz="4" w:space="0"/>
                  </w:tcBorders>
                  <w:vAlign w:val="center"/>
                </w:tcPr>
                <w:p w14:paraId="7626C7BA">
                  <w:pPr>
                    <w:pStyle w:val="28"/>
                    <w:jc w:val="both"/>
                    <w:rPr>
                      <w:b/>
                      <w:bCs/>
                      <w:highlight w:val="none"/>
                    </w:rPr>
                  </w:pPr>
                </w:p>
              </w:tc>
              <w:tc>
                <w:tcPr>
                  <w:tcW w:w="605" w:type="pct"/>
                  <w:vAlign w:val="center"/>
                </w:tcPr>
                <w:p w14:paraId="48C923BB">
                  <w:pPr>
                    <w:pStyle w:val="28"/>
                    <w:rPr>
                      <w:b/>
                      <w:bCs/>
                      <w:highlight w:val="none"/>
                    </w:rPr>
                  </w:pPr>
                  <w:r>
                    <w:rPr>
                      <w:rFonts w:hint="eastAsia"/>
                      <w:b/>
                      <w:bCs/>
                      <w:highlight w:val="none"/>
                    </w:rPr>
                    <w:t>A101-S</w:t>
                  </w:r>
                </w:p>
              </w:tc>
              <w:tc>
                <w:tcPr>
                  <w:tcW w:w="667" w:type="pct"/>
                  <w:shd w:val="clear" w:color="auto" w:fill="auto"/>
                  <w:vAlign w:val="center"/>
                </w:tcPr>
                <w:p w14:paraId="676C8BD5">
                  <w:pPr>
                    <w:pStyle w:val="28"/>
                    <w:rPr>
                      <w:b/>
                      <w:bCs/>
                      <w:highlight w:val="none"/>
                    </w:rPr>
                  </w:pPr>
                  <w:r>
                    <w:rPr>
                      <w:rFonts w:hint="eastAsia"/>
                      <w:b/>
                      <w:bCs/>
                      <w:highlight w:val="none"/>
                    </w:rPr>
                    <w:t>A102-S</w:t>
                  </w:r>
                </w:p>
              </w:tc>
              <w:tc>
                <w:tcPr>
                  <w:tcW w:w="590" w:type="pct"/>
                  <w:shd w:val="clear" w:color="auto" w:fill="auto"/>
                  <w:vAlign w:val="center"/>
                </w:tcPr>
                <w:p w14:paraId="4A3D4E7C">
                  <w:pPr>
                    <w:pStyle w:val="28"/>
                    <w:rPr>
                      <w:b/>
                      <w:bCs/>
                      <w:highlight w:val="none"/>
                    </w:rPr>
                  </w:pPr>
                  <w:r>
                    <w:rPr>
                      <w:rFonts w:hint="eastAsia"/>
                      <w:b/>
                      <w:bCs/>
                      <w:highlight w:val="none"/>
                    </w:rPr>
                    <w:t>A103-S</w:t>
                  </w:r>
                </w:p>
              </w:tc>
              <w:tc>
                <w:tcPr>
                  <w:tcW w:w="669" w:type="pct"/>
                  <w:vMerge w:val="continue"/>
                  <w:vAlign w:val="center"/>
                </w:tcPr>
                <w:p w14:paraId="2CF8B84D">
                  <w:pPr>
                    <w:pStyle w:val="28"/>
                    <w:rPr>
                      <w:highlight w:val="none"/>
                    </w:rPr>
                  </w:pPr>
                </w:p>
              </w:tc>
              <w:tc>
                <w:tcPr>
                  <w:tcW w:w="547" w:type="pct"/>
                  <w:vMerge w:val="continue"/>
                  <w:vAlign w:val="center"/>
                </w:tcPr>
                <w:p w14:paraId="5CC31FDD">
                  <w:pPr>
                    <w:pStyle w:val="28"/>
                    <w:rPr>
                      <w:highlight w:val="none"/>
                    </w:rPr>
                  </w:pPr>
                </w:p>
              </w:tc>
              <w:tc>
                <w:tcPr>
                  <w:tcW w:w="500" w:type="pct"/>
                  <w:vMerge w:val="continue"/>
                  <w:vAlign w:val="center"/>
                </w:tcPr>
                <w:p w14:paraId="44AA3C79">
                  <w:pPr>
                    <w:pStyle w:val="28"/>
                    <w:rPr>
                      <w:highlight w:val="none"/>
                    </w:rPr>
                  </w:pPr>
                </w:p>
              </w:tc>
            </w:tr>
            <w:tr w14:paraId="4F5A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6AF70B07">
                  <w:pPr>
                    <w:pStyle w:val="28"/>
                    <w:rPr>
                      <w:highlight w:val="none"/>
                    </w:rPr>
                  </w:pPr>
                  <w:r>
                    <w:rPr>
                      <w:rFonts w:hint="eastAsia"/>
                      <w:highlight w:val="none"/>
                    </w:rPr>
                    <w:t>pH值</w:t>
                  </w:r>
                </w:p>
              </w:tc>
              <w:tc>
                <w:tcPr>
                  <w:tcW w:w="839" w:type="pct"/>
                  <w:shd w:val="clear" w:color="auto" w:fill="auto"/>
                  <w:vAlign w:val="center"/>
                </w:tcPr>
                <w:p w14:paraId="226F06E1">
                  <w:pPr>
                    <w:pStyle w:val="28"/>
                    <w:rPr>
                      <w:highlight w:val="none"/>
                    </w:rPr>
                  </w:pPr>
                  <w:r>
                    <w:rPr>
                      <w:rFonts w:hint="eastAsia"/>
                      <w:highlight w:val="none"/>
                    </w:rPr>
                    <w:t>无量纲</w:t>
                  </w:r>
                </w:p>
              </w:tc>
              <w:tc>
                <w:tcPr>
                  <w:tcW w:w="605" w:type="pct"/>
                  <w:shd w:val="clear" w:color="auto" w:fill="auto"/>
                  <w:vAlign w:val="center"/>
                </w:tcPr>
                <w:p w14:paraId="1867989E">
                  <w:pPr>
                    <w:pStyle w:val="28"/>
                    <w:rPr>
                      <w:highlight w:val="none"/>
                    </w:rPr>
                  </w:pPr>
                  <w:r>
                    <w:rPr>
                      <w:rFonts w:hint="eastAsia"/>
                      <w:highlight w:val="none"/>
                    </w:rPr>
                    <w:t>8.12</w:t>
                  </w:r>
                </w:p>
              </w:tc>
              <w:tc>
                <w:tcPr>
                  <w:tcW w:w="667" w:type="pct"/>
                  <w:shd w:val="clear" w:color="auto" w:fill="auto"/>
                  <w:vAlign w:val="center"/>
                </w:tcPr>
                <w:p w14:paraId="5956A5B0">
                  <w:pPr>
                    <w:pStyle w:val="28"/>
                    <w:rPr>
                      <w:highlight w:val="none"/>
                    </w:rPr>
                  </w:pPr>
                  <w:r>
                    <w:rPr>
                      <w:rFonts w:hint="eastAsia"/>
                      <w:highlight w:val="none"/>
                    </w:rPr>
                    <w:t>8.09</w:t>
                  </w:r>
                </w:p>
              </w:tc>
              <w:tc>
                <w:tcPr>
                  <w:tcW w:w="590" w:type="pct"/>
                  <w:shd w:val="clear" w:color="auto" w:fill="auto"/>
                  <w:vAlign w:val="center"/>
                </w:tcPr>
                <w:p w14:paraId="6C1F24EE">
                  <w:pPr>
                    <w:pStyle w:val="28"/>
                    <w:rPr>
                      <w:highlight w:val="none"/>
                    </w:rPr>
                  </w:pPr>
                  <w:r>
                    <w:rPr>
                      <w:rFonts w:hint="eastAsia"/>
                      <w:highlight w:val="none"/>
                    </w:rPr>
                    <w:t>8.11</w:t>
                  </w:r>
                </w:p>
              </w:tc>
              <w:tc>
                <w:tcPr>
                  <w:tcW w:w="669" w:type="pct"/>
                  <w:shd w:val="clear" w:color="auto" w:fill="auto"/>
                  <w:vAlign w:val="center"/>
                </w:tcPr>
                <w:p w14:paraId="01D8B00E">
                  <w:pPr>
                    <w:pStyle w:val="28"/>
                    <w:rPr>
                      <w:highlight w:val="none"/>
                    </w:rPr>
                  </w:pPr>
                  <w:r>
                    <w:rPr>
                      <w:rFonts w:hint="eastAsia"/>
                      <w:highlight w:val="none"/>
                    </w:rPr>
                    <w:t>8.09~8.12</w:t>
                  </w:r>
                </w:p>
              </w:tc>
              <w:tc>
                <w:tcPr>
                  <w:tcW w:w="547" w:type="pct"/>
                  <w:shd w:val="clear" w:color="auto" w:fill="auto"/>
                  <w:vAlign w:val="center"/>
                </w:tcPr>
                <w:p w14:paraId="70E6CAA5">
                  <w:pPr>
                    <w:pStyle w:val="28"/>
                    <w:rPr>
                      <w:highlight w:val="none"/>
                    </w:rPr>
                  </w:pPr>
                  <w:r>
                    <w:rPr>
                      <w:rFonts w:hint="eastAsia"/>
                      <w:highlight w:val="none"/>
                    </w:rPr>
                    <w:t>6.0~9.0</w:t>
                  </w:r>
                </w:p>
              </w:tc>
              <w:tc>
                <w:tcPr>
                  <w:tcW w:w="500" w:type="pct"/>
                  <w:shd w:val="clear" w:color="auto" w:fill="auto"/>
                  <w:vAlign w:val="center"/>
                </w:tcPr>
                <w:p w14:paraId="60F919AC">
                  <w:pPr>
                    <w:pStyle w:val="28"/>
                    <w:rPr>
                      <w:highlight w:val="none"/>
                    </w:rPr>
                  </w:pPr>
                  <w:r>
                    <w:rPr>
                      <w:rFonts w:hint="eastAsia"/>
                      <w:highlight w:val="none"/>
                    </w:rPr>
                    <w:t>达标</w:t>
                  </w:r>
                </w:p>
              </w:tc>
            </w:tr>
            <w:tr w14:paraId="5852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682FA8B3">
                  <w:pPr>
                    <w:pStyle w:val="28"/>
                    <w:rPr>
                      <w:highlight w:val="none"/>
                    </w:rPr>
                  </w:pPr>
                  <w:r>
                    <w:rPr>
                      <w:rFonts w:hint="eastAsia"/>
                      <w:highlight w:val="none"/>
                    </w:rPr>
                    <w:t>色度</w:t>
                  </w:r>
                </w:p>
              </w:tc>
              <w:tc>
                <w:tcPr>
                  <w:tcW w:w="839" w:type="pct"/>
                  <w:shd w:val="clear" w:color="auto" w:fill="auto"/>
                  <w:vAlign w:val="center"/>
                </w:tcPr>
                <w:p w14:paraId="0767BFF6">
                  <w:pPr>
                    <w:pStyle w:val="28"/>
                    <w:rPr>
                      <w:highlight w:val="none"/>
                    </w:rPr>
                  </w:pPr>
                  <w:r>
                    <w:rPr>
                      <w:rFonts w:hint="eastAsia"/>
                      <w:highlight w:val="none"/>
                    </w:rPr>
                    <w:t>度</w:t>
                  </w:r>
                </w:p>
              </w:tc>
              <w:tc>
                <w:tcPr>
                  <w:tcW w:w="605" w:type="pct"/>
                  <w:shd w:val="clear" w:color="auto" w:fill="auto"/>
                  <w:vAlign w:val="center"/>
                </w:tcPr>
                <w:p w14:paraId="323BE72E">
                  <w:pPr>
                    <w:pStyle w:val="28"/>
                    <w:rPr>
                      <w:highlight w:val="none"/>
                    </w:rPr>
                  </w:pPr>
                  <w:r>
                    <w:rPr>
                      <w:rFonts w:hint="eastAsia"/>
                      <w:highlight w:val="none"/>
                    </w:rPr>
                    <w:t>5L</w:t>
                  </w:r>
                </w:p>
              </w:tc>
              <w:tc>
                <w:tcPr>
                  <w:tcW w:w="667" w:type="pct"/>
                  <w:shd w:val="clear" w:color="auto" w:fill="auto"/>
                  <w:vAlign w:val="center"/>
                </w:tcPr>
                <w:p w14:paraId="3F20ACFF">
                  <w:pPr>
                    <w:pStyle w:val="28"/>
                    <w:rPr>
                      <w:highlight w:val="none"/>
                    </w:rPr>
                  </w:pPr>
                  <w:r>
                    <w:rPr>
                      <w:rFonts w:hint="eastAsia"/>
                      <w:highlight w:val="none"/>
                    </w:rPr>
                    <w:t>5L</w:t>
                  </w:r>
                </w:p>
              </w:tc>
              <w:tc>
                <w:tcPr>
                  <w:tcW w:w="590" w:type="pct"/>
                  <w:shd w:val="clear" w:color="auto" w:fill="auto"/>
                  <w:vAlign w:val="center"/>
                </w:tcPr>
                <w:p w14:paraId="639991F2">
                  <w:pPr>
                    <w:pStyle w:val="28"/>
                    <w:rPr>
                      <w:highlight w:val="none"/>
                    </w:rPr>
                  </w:pPr>
                  <w:r>
                    <w:rPr>
                      <w:rFonts w:hint="eastAsia"/>
                      <w:highlight w:val="none"/>
                    </w:rPr>
                    <w:t>5L</w:t>
                  </w:r>
                </w:p>
              </w:tc>
              <w:tc>
                <w:tcPr>
                  <w:tcW w:w="669" w:type="pct"/>
                  <w:shd w:val="clear" w:color="auto" w:fill="auto"/>
                  <w:vAlign w:val="center"/>
                </w:tcPr>
                <w:p w14:paraId="1580CC8E">
                  <w:pPr>
                    <w:pStyle w:val="28"/>
                    <w:rPr>
                      <w:highlight w:val="none"/>
                    </w:rPr>
                  </w:pPr>
                  <w:r>
                    <w:rPr>
                      <w:rFonts w:hint="eastAsia"/>
                      <w:highlight w:val="none"/>
                    </w:rPr>
                    <w:t>5L</w:t>
                  </w:r>
                </w:p>
              </w:tc>
              <w:tc>
                <w:tcPr>
                  <w:tcW w:w="547" w:type="pct"/>
                  <w:shd w:val="clear" w:color="auto" w:fill="auto"/>
                  <w:vAlign w:val="center"/>
                </w:tcPr>
                <w:p w14:paraId="09341CAF">
                  <w:pPr>
                    <w:pStyle w:val="28"/>
                    <w:rPr>
                      <w:highlight w:val="none"/>
                    </w:rPr>
                  </w:pPr>
                  <w:r>
                    <w:rPr>
                      <w:rFonts w:hint="eastAsia"/>
                      <w:highlight w:val="none"/>
                    </w:rPr>
                    <w:t>≤30</w:t>
                  </w:r>
                </w:p>
              </w:tc>
              <w:tc>
                <w:tcPr>
                  <w:tcW w:w="500" w:type="pct"/>
                  <w:shd w:val="clear" w:color="auto" w:fill="auto"/>
                  <w:vAlign w:val="center"/>
                </w:tcPr>
                <w:p w14:paraId="2F3D28C9">
                  <w:pPr>
                    <w:pStyle w:val="28"/>
                    <w:rPr>
                      <w:highlight w:val="none"/>
                    </w:rPr>
                  </w:pPr>
                  <w:r>
                    <w:rPr>
                      <w:rFonts w:hint="eastAsia"/>
                      <w:highlight w:val="none"/>
                    </w:rPr>
                    <w:t>达标</w:t>
                  </w:r>
                </w:p>
              </w:tc>
            </w:tr>
            <w:tr w14:paraId="4CE0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6FC1AE1E">
                  <w:pPr>
                    <w:pStyle w:val="28"/>
                    <w:rPr>
                      <w:highlight w:val="none"/>
                    </w:rPr>
                  </w:pPr>
                  <w:r>
                    <w:rPr>
                      <w:rFonts w:hint="eastAsia"/>
                      <w:highlight w:val="none"/>
                    </w:rPr>
                    <w:t>臭和味</w:t>
                  </w:r>
                </w:p>
              </w:tc>
              <w:tc>
                <w:tcPr>
                  <w:tcW w:w="839" w:type="pct"/>
                  <w:shd w:val="clear" w:color="auto" w:fill="auto"/>
                  <w:vAlign w:val="center"/>
                </w:tcPr>
                <w:p w14:paraId="7441AB6F">
                  <w:pPr>
                    <w:pStyle w:val="28"/>
                    <w:rPr>
                      <w:highlight w:val="none"/>
                    </w:rPr>
                  </w:pPr>
                  <w:r>
                    <w:rPr>
                      <w:rFonts w:hint="eastAsia"/>
                      <w:highlight w:val="none"/>
                    </w:rPr>
                    <w:t>级</w:t>
                  </w:r>
                </w:p>
              </w:tc>
              <w:tc>
                <w:tcPr>
                  <w:tcW w:w="605" w:type="pct"/>
                  <w:shd w:val="clear" w:color="auto" w:fill="auto"/>
                  <w:vAlign w:val="center"/>
                </w:tcPr>
                <w:p w14:paraId="165AA8F4">
                  <w:pPr>
                    <w:pStyle w:val="28"/>
                    <w:rPr>
                      <w:highlight w:val="none"/>
                    </w:rPr>
                  </w:pPr>
                  <w:r>
                    <w:rPr>
                      <w:rFonts w:hint="eastAsia"/>
                      <w:highlight w:val="none"/>
                    </w:rPr>
                    <w:t>0</w:t>
                  </w:r>
                </w:p>
              </w:tc>
              <w:tc>
                <w:tcPr>
                  <w:tcW w:w="667" w:type="pct"/>
                  <w:shd w:val="clear" w:color="auto" w:fill="auto"/>
                  <w:vAlign w:val="center"/>
                </w:tcPr>
                <w:p w14:paraId="2F105436">
                  <w:pPr>
                    <w:pStyle w:val="28"/>
                    <w:rPr>
                      <w:highlight w:val="none"/>
                    </w:rPr>
                  </w:pPr>
                  <w:r>
                    <w:rPr>
                      <w:rFonts w:hint="eastAsia"/>
                      <w:highlight w:val="none"/>
                    </w:rPr>
                    <w:t>0</w:t>
                  </w:r>
                </w:p>
              </w:tc>
              <w:tc>
                <w:tcPr>
                  <w:tcW w:w="590" w:type="pct"/>
                  <w:shd w:val="clear" w:color="auto" w:fill="auto"/>
                  <w:vAlign w:val="center"/>
                </w:tcPr>
                <w:p w14:paraId="207B5E9B">
                  <w:pPr>
                    <w:pStyle w:val="28"/>
                    <w:rPr>
                      <w:highlight w:val="none"/>
                    </w:rPr>
                  </w:pPr>
                  <w:r>
                    <w:rPr>
                      <w:rFonts w:hint="eastAsia"/>
                      <w:highlight w:val="none"/>
                    </w:rPr>
                    <w:t>0</w:t>
                  </w:r>
                </w:p>
              </w:tc>
              <w:tc>
                <w:tcPr>
                  <w:tcW w:w="669" w:type="pct"/>
                  <w:shd w:val="clear" w:color="auto" w:fill="auto"/>
                  <w:vAlign w:val="center"/>
                </w:tcPr>
                <w:p w14:paraId="37E9229F">
                  <w:pPr>
                    <w:pStyle w:val="28"/>
                    <w:rPr>
                      <w:highlight w:val="none"/>
                    </w:rPr>
                  </w:pPr>
                  <w:r>
                    <w:rPr>
                      <w:rFonts w:hint="eastAsia"/>
                      <w:highlight w:val="none"/>
                    </w:rPr>
                    <w:t>0</w:t>
                  </w:r>
                </w:p>
              </w:tc>
              <w:tc>
                <w:tcPr>
                  <w:tcW w:w="547" w:type="pct"/>
                  <w:shd w:val="clear" w:color="auto" w:fill="auto"/>
                  <w:vAlign w:val="center"/>
                </w:tcPr>
                <w:p w14:paraId="05E1FE17">
                  <w:pPr>
                    <w:pStyle w:val="28"/>
                    <w:rPr>
                      <w:highlight w:val="none"/>
                    </w:rPr>
                  </w:pPr>
                  <w:r>
                    <w:rPr>
                      <w:rFonts w:hint="eastAsia"/>
                      <w:highlight w:val="none"/>
                    </w:rPr>
                    <w:t>无不快感</w:t>
                  </w:r>
                </w:p>
              </w:tc>
              <w:tc>
                <w:tcPr>
                  <w:tcW w:w="500" w:type="pct"/>
                  <w:shd w:val="clear" w:color="auto" w:fill="auto"/>
                  <w:vAlign w:val="center"/>
                </w:tcPr>
                <w:p w14:paraId="49DD610B">
                  <w:pPr>
                    <w:pStyle w:val="28"/>
                    <w:rPr>
                      <w:highlight w:val="none"/>
                    </w:rPr>
                  </w:pPr>
                  <w:r>
                    <w:rPr>
                      <w:rFonts w:hint="eastAsia"/>
                      <w:highlight w:val="none"/>
                    </w:rPr>
                    <w:t>达标</w:t>
                  </w:r>
                </w:p>
              </w:tc>
            </w:tr>
            <w:tr w14:paraId="7A7A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6299E7DB">
                  <w:pPr>
                    <w:pStyle w:val="28"/>
                    <w:rPr>
                      <w:highlight w:val="none"/>
                    </w:rPr>
                  </w:pPr>
                  <w:r>
                    <w:rPr>
                      <w:rFonts w:hint="eastAsia"/>
                      <w:highlight w:val="none"/>
                    </w:rPr>
                    <w:t>浑浊度</w:t>
                  </w:r>
                </w:p>
              </w:tc>
              <w:tc>
                <w:tcPr>
                  <w:tcW w:w="839" w:type="pct"/>
                  <w:shd w:val="clear" w:color="auto" w:fill="auto"/>
                  <w:vAlign w:val="center"/>
                </w:tcPr>
                <w:p w14:paraId="4560A190">
                  <w:pPr>
                    <w:pStyle w:val="28"/>
                    <w:rPr>
                      <w:highlight w:val="none"/>
                    </w:rPr>
                  </w:pPr>
                  <w:r>
                    <w:rPr>
                      <w:rFonts w:hint="eastAsia"/>
                      <w:highlight w:val="none"/>
                    </w:rPr>
                    <w:t>NTU</w:t>
                  </w:r>
                </w:p>
              </w:tc>
              <w:tc>
                <w:tcPr>
                  <w:tcW w:w="605" w:type="pct"/>
                  <w:shd w:val="clear" w:color="auto" w:fill="auto"/>
                  <w:vAlign w:val="center"/>
                </w:tcPr>
                <w:p w14:paraId="2722E575">
                  <w:pPr>
                    <w:pStyle w:val="28"/>
                    <w:rPr>
                      <w:highlight w:val="none"/>
                    </w:rPr>
                  </w:pPr>
                  <w:r>
                    <w:rPr>
                      <w:rFonts w:hint="eastAsia"/>
                      <w:highlight w:val="none"/>
                    </w:rPr>
                    <w:t>1L</w:t>
                  </w:r>
                </w:p>
              </w:tc>
              <w:tc>
                <w:tcPr>
                  <w:tcW w:w="667" w:type="pct"/>
                  <w:shd w:val="clear" w:color="auto" w:fill="auto"/>
                  <w:vAlign w:val="center"/>
                </w:tcPr>
                <w:p w14:paraId="00C992AC">
                  <w:pPr>
                    <w:pStyle w:val="28"/>
                    <w:rPr>
                      <w:highlight w:val="none"/>
                    </w:rPr>
                  </w:pPr>
                  <w:r>
                    <w:rPr>
                      <w:rFonts w:hint="eastAsia"/>
                      <w:highlight w:val="none"/>
                    </w:rPr>
                    <w:t>1L</w:t>
                  </w:r>
                </w:p>
              </w:tc>
              <w:tc>
                <w:tcPr>
                  <w:tcW w:w="590" w:type="pct"/>
                  <w:shd w:val="clear" w:color="auto" w:fill="auto"/>
                  <w:vAlign w:val="center"/>
                </w:tcPr>
                <w:p w14:paraId="500C89CE">
                  <w:pPr>
                    <w:pStyle w:val="28"/>
                    <w:rPr>
                      <w:highlight w:val="none"/>
                    </w:rPr>
                  </w:pPr>
                  <w:r>
                    <w:rPr>
                      <w:rFonts w:hint="eastAsia"/>
                      <w:highlight w:val="none"/>
                    </w:rPr>
                    <w:t>1L</w:t>
                  </w:r>
                </w:p>
              </w:tc>
              <w:tc>
                <w:tcPr>
                  <w:tcW w:w="669" w:type="pct"/>
                  <w:shd w:val="clear" w:color="auto" w:fill="auto"/>
                  <w:vAlign w:val="center"/>
                </w:tcPr>
                <w:p w14:paraId="0C0F7BF5">
                  <w:pPr>
                    <w:pStyle w:val="28"/>
                    <w:rPr>
                      <w:highlight w:val="none"/>
                    </w:rPr>
                  </w:pPr>
                  <w:r>
                    <w:rPr>
                      <w:rFonts w:hint="eastAsia"/>
                      <w:highlight w:val="none"/>
                    </w:rPr>
                    <w:t>1L</w:t>
                  </w:r>
                </w:p>
              </w:tc>
              <w:tc>
                <w:tcPr>
                  <w:tcW w:w="547" w:type="pct"/>
                  <w:shd w:val="clear" w:color="auto" w:fill="auto"/>
                  <w:vAlign w:val="center"/>
                </w:tcPr>
                <w:p w14:paraId="491315F5">
                  <w:pPr>
                    <w:pStyle w:val="28"/>
                    <w:rPr>
                      <w:highlight w:val="none"/>
                    </w:rPr>
                  </w:pPr>
                  <w:r>
                    <w:rPr>
                      <w:rFonts w:hint="eastAsia"/>
                      <w:highlight w:val="none"/>
                    </w:rPr>
                    <w:t>≤10</w:t>
                  </w:r>
                </w:p>
              </w:tc>
              <w:tc>
                <w:tcPr>
                  <w:tcW w:w="500" w:type="pct"/>
                  <w:shd w:val="clear" w:color="auto" w:fill="auto"/>
                  <w:vAlign w:val="center"/>
                </w:tcPr>
                <w:p w14:paraId="7C3E3B6E">
                  <w:pPr>
                    <w:pStyle w:val="28"/>
                    <w:rPr>
                      <w:highlight w:val="none"/>
                    </w:rPr>
                  </w:pPr>
                  <w:r>
                    <w:rPr>
                      <w:rFonts w:hint="eastAsia"/>
                      <w:highlight w:val="none"/>
                    </w:rPr>
                    <w:t>达标</w:t>
                  </w:r>
                </w:p>
              </w:tc>
            </w:tr>
            <w:tr w14:paraId="5F72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 w:type="pct"/>
                  <w:shd w:val="clear" w:color="auto" w:fill="auto"/>
                  <w:vAlign w:val="center"/>
                </w:tcPr>
                <w:p w14:paraId="58D3199F">
                  <w:pPr>
                    <w:pStyle w:val="28"/>
                    <w:rPr>
                      <w:highlight w:val="none"/>
                    </w:rPr>
                  </w:pPr>
                  <w:r>
                    <w:rPr>
                      <w:rFonts w:hint="eastAsia"/>
                      <w:highlight w:val="none"/>
                    </w:rPr>
                    <w:t>溶解氧</w:t>
                  </w:r>
                </w:p>
              </w:tc>
              <w:tc>
                <w:tcPr>
                  <w:tcW w:w="839" w:type="pct"/>
                  <w:shd w:val="clear" w:color="auto" w:fill="auto"/>
                  <w:vAlign w:val="center"/>
                </w:tcPr>
                <w:p w14:paraId="358ACE97">
                  <w:pPr>
                    <w:pStyle w:val="28"/>
                    <w:rPr>
                      <w:highlight w:val="none"/>
                    </w:rPr>
                  </w:pPr>
                  <w:r>
                    <w:rPr>
                      <w:rFonts w:hint="eastAsia"/>
                      <w:highlight w:val="none"/>
                    </w:rPr>
                    <w:t>mg/L</w:t>
                  </w:r>
                </w:p>
              </w:tc>
              <w:tc>
                <w:tcPr>
                  <w:tcW w:w="605" w:type="pct"/>
                  <w:shd w:val="clear" w:color="auto" w:fill="auto"/>
                  <w:vAlign w:val="center"/>
                </w:tcPr>
                <w:p w14:paraId="29244AED">
                  <w:pPr>
                    <w:pStyle w:val="28"/>
                    <w:rPr>
                      <w:highlight w:val="none"/>
                    </w:rPr>
                  </w:pPr>
                  <w:r>
                    <w:rPr>
                      <w:rFonts w:hint="eastAsia"/>
                      <w:highlight w:val="none"/>
                    </w:rPr>
                    <w:t>3.2</w:t>
                  </w:r>
                </w:p>
              </w:tc>
              <w:tc>
                <w:tcPr>
                  <w:tcW w:w="667" w:type="pct"/>
                  <w:shd w:val="clear" w:color="auto" w:fill="auto"/>
                  <w:vAlign w:val="center"/>
                </w:tcPr>
                <w:p w14:paraId="705B384B">
                  <w:pPr>
                    <w:pStyle w:val="28"/>
                    <w:rPr>
                      <w:highlight w:val="none"/>
                    </w:rPr>
                  </w:pPr>
                  <w:r>
                    <w:rPr>
                      <w:rFonts w:hint="eastAsia"/>
                      <w:highlight w:val="none"/>
                    </w:rPr>
                    <w:t>3.3</w:t>
                  </w:r>
                </w:p>
              </w:tc>
              <w:tc>
                <w:tcPr>
                  <w:tcW w:w="590" w:type="pct"/>
                  <w:shd w:val="clear" w:color="auto" w:fill="auto"/>
                  <w:vAlign w:val="center"/>
                </w:tcPr>
                <w:p w14:paraId="768B790C">
                  <w:pPr>
                    <w:pStyle w:val="28"/>
                    <w:rPr>
                      <w:highlight w:val="none"/>
                    </w:rPr>
                  </w:pPr>
                  <w:r>
                    <w:rPr>
                      <w:rFonts w:hint="eastAsia"/>
                      <w:highlight w:val="none"/>
                    </w:rPr>
                    <w:t>3.2</w:t>
                  </w:r>
                </w:p>
              </w:tc>
              <w:tc>
                <w:tcPr>
                  <w:tcW w:w="669" w:type="pct"/>
                  <w:shd w:val="clear" w:color="auto" w:fill="auto"/>
                  <w:vAlign w:val="center"/>
                </w:tcPr>
                <w:p w14:paraId="5FAFBF76">
                  <w:pPr>
                    <w:pStyle w:val="28"/>
                    <w:rPr>
                      <w:highlight w:val="none"/>
                    </w:rPr>
                  </w:pPr>
                  <w:r>
                    <w:rPr>
                      <w:rFonts w:hint="eastAsia"/>
                      <w:highlight w:val="none"/>
                    </w:rPr>
                    <w:t>3.2</w:t>
                  </w:r>
                </w:p>
              </w:tc>
              <w:tc>
                <w:tcPr>
                  <w:tcW w:w="547" w:type="pct"/>
                  <w:shd w:val="clear" w:color="auto" w:fill="auto"/>
                  <w:vAlign w:val="center"/>
                </w:tcPr>
                <w:p w14:paraId="745106AD">
                  <w:pPr>
                    <w:pStyle w:val="28"/>
                    <w:rPr>
                      <w:highlight w:val="none"/>
                    </w:rPr>
                  </w:pPr>
                  <w:r>
                    <w:rPr>
                      <w:rFonts w:hint="eastAsia"/>
                      <w:highlight w:val="none"/>
                    </w:rPr>
                    <w:t>≥2.0</w:t>
                  </w:r>
                </w:p>
              </w:tc>
              <w:tc>
                <w:tcPr>
                  <w:tcW w:w="500" w:type="pct"/>
                  <w:shd w:val="clear" w:color="auto" w:fill="auto"/>
                  <w:vAlign w:val="center"/>
                </w:tcPr>
                <w:p w14:paraId="637A21DE">
                  <w:pPr>
                    <w:pStyle w:val="28"/>
                    <w:rPr>
                      <w:highlight w:val="none"/>
                    </w:rPr>
                  </w:pPr>
                  <w:r>
                    <w:rPr>
                      <w:rFonts w:hint="eastAsia"/>
                      <w:highlight w:val="none"/>
                    </w:rPr>
                    <w:t>达标</w:t>
                  </w:r>
                </w:p>
              </w:tc>
            </w:tr>
            <w:tr w14:paraId="29B9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396CC6E0">
                  <w:pPr>
                    <w:pStyle w:val="28"/>
                    <w:rPr>
                      <w:highlight w:val="none"/>
                    </w:rPr>
                  </w:pPr>
                  <w:r>
                    <w:rPr>
                      <w:rFonts w:hint="eastAsia"/>
                      <w:highlight w:val="none"/>
                    </w:rPr>
                    <w:t>生化需氧量</w:t>
                  </w:r>
                </w:p>
              </w:tc>
              <w:tc>
                <w:tcPr>
                  <w:tcW w:w="839" w:type="pct"/>
                  <w:shd w:val="clear" w:color="auto" w:fill="auto"/>
                  <w:vAlign w:val="center"/>
                </w:tcPr>
                <w:p w14:paraId="1D164117">
                  <w:pPr>
                    <w:pStyle w:val="28"/>
                    <w:rPr>
                      <w:highlight w:val="none"/>
                    </w:rPr>
                  </w:pPr>
                  <w:r>
                    <w:rPr>
                      <w:rFonts w:hint="eastAsia"/>
                      <w:highlight w:val="none"/>
                    </w:rPr>
                    <w:t>mg/L</w:t>
                  </w:r>
                </w:p>
              </w:tc>
              <w:tc>
                <w:tcPr>
                  <w:tcW w:w="605" w:type="pct"/>
                  <w:shd w:val="clear" w:color="auto" w:fill="auto"/>
                  <w:vAlign w:val="center"/>
                </w:tcPr>
                <w:p w14:paraId="79CBCE4B">
                  <w:pPr>
                    <w:pStyle w:val="28"/>
                    <w:rPr>
                      <w:highlight w:val="none"/>
                    </w:rPr>
                  </w:pPr>
                  <w:r>
                    <w:rPr>
                      <w:rFonts w:hint="eastAsia"/>
                      <w:highlight w:val="none"/>
                    </w:rPr>
                    <w:t>9.0</w:t>
                  </w:r>
                </w:p>
              </w:tc>
              <w:tc>
                <w:tcPr>
                  <w:tcW w:w="667" w:type="pct"/>
                  <w:shd w:val="clear" w:color="auto" w:fill="auto"/>
                  <w:vAlign w:val="center"/>
                </w:tcPr>
                <w:p w14:paraId="1AB60344">
                  <w:pPr>
                    <w:pStyle w:val="28"/>
                    <w:rPr>
                      <w:highlight w:val="none"/>
                    </w:rPr>
                  </w:pPr>
                  <w:r>
                    <w:rPr>
                      <w:rFonts w:hint="eastAsia"/>
                      <w:highlight w:val="none"/>
                    </w:rPr>
                    <w:t>9.0</w:t>
                  </w:r>
                </w:p>
              </w:tc>
              <w:tc>
                <w:tcPr>
                  <w:tcW w:w="590" w:type="pct"/>
                  <w:shd w:val="clear" w:color="auto" w:fill="auto"/>
                  <w:vAlign w:val="center"/>
                </w:tcPr>
                <w:p w14:paraId="53A81075">
                  <w:pPr>
                    <w:pStyle w:val="28"/>
                    <w:rPr>
                      <w:highlight w:val="none"/>
                    </w:rPr>
                  </w:pPr>
                  <w:r>
                    <w:rPr>
                      <w:rFonts w:hint="eastAsia"/>
                      <w:highlight w:val="none"/>
                    </w:rPr>
                    <w:t>9.8</w:t>
                  </w:r>
                </w:p>
              </w:tc>
              <w:tc>
                <w:tcPr>
                  <w:tcW w:w="669" w:type="pct"/>
                  <w:shd w:val="clear" w:color="auto" w:fill="auto"/>
                  <w:vAlign w:val="center"/>
                </w:tcPr>
                <w:p w14:paraId="718C40A7">
                  <w:pPr>
                    <w:pStyle w:val="28"/>
                    <w:rPr>
                      <w:highlight w:val="none"/>
                    </w:rPr>
                  </w:pPr>
                  <w:r>
                    <w:rPr>
                      <w:rFonts w:hint="eastAsia"/>
                      <w:highlight w:val="none"/>
                    </w:rPr>
                    <w:t>9.3</w:t>
                  </w:r>
                </w:p>
              </w:tc>
              <w:tc>
                <w:tcPr>
                  <w:tcW w:w="547" w:type="pct"/>
                  <w:shd w:val="clear" w:color="auto" w:fill="auto"/>
                  <w:vAlign w:val="center"/>
                </w:tcPr>
                <w:p w14:paraId="2C9932F1">
                  <w:pPr>
                    <w:pStyle w:val="28"/>
                    <w:rPr>
                      <w:highlight w:val="none"/>
                    </w:rPr>
                  </w:pPr>
                  <w:r>
                    <w:rPr>
                      <w:rFonts w:hint="eastAsia"/>
                      <w:highlight w:val="none"/>
                    </w:rPr>
                    <w:t>≤10</w:t>
                  </w:r>
                </w:p>
              </w:tc>
              <w:tc>
                <w:tcPr>
                  <w:tcW w:w="500" w:type="pct"/>
                  <w:shd w:val="clear" w:color="auto" w:fill="auto"/>
                  <w:vAlign w:val="center"/>
                </w:tcPr>
                <w:p w14:paraId="0C440D2A">
                  <w:pPr>
                    <w:pStyle w:val="28"/>
                    <w:rPr>
                      <w:highlight w:val="none"/>
                    </w:rPr>
                  </w:pPr>
                  <w:r>
                    <w:rPr>
                      <w:rFonts w:hint="eastAsia"/>
                      <w:highlight w:val="none"/>
                    </w:rPr>
                    <w:t>达标</w:t>
                  </w:r>
                </w:p>
              </w:tc>
            </w:tr>
            <w:tr w14:paraId="7914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5351E9E9">
                  <w:pPr>
                    <w:pStyle w:val="28"/>
                    <w:rPr>
                      <w:highlight w:val="none"/>
                    </w:rPr>
                  </w:pPr>
                  <w:r>
                    <w:rPr>
                      <w:rFonts w:hint="eastAsia"/>
                      <w:highlight w:val="none"/>
                    </w:rPr>
                    <w:t>氨（以N计）</w:t>
                  </w:r>
                </w:p>
              </w:tc>
              <w:tc>
                <w:tcPr>
                  <w:tcW w:w="839" w:type="pct"/>
                  <w:shd w:val="clear" w:color="auto" w:fill="auto"/>
                  <w:vAlign w:val="center"/>
                </w:tcPr>
                <w:p w14:paraId="08876BCF">
                  <w:pPr>
                    <w:pStyle w:val="28"/>
                    <w:rPr>
                      <w:highlight w:val="none"/>
                    </w:rPr>
                  </w:pPr>
                  <w:r>
                    <w:rPr>
                      <w:rFonts w:hint="eastAsia"/>
                      <w:highlight w:val="none"/>
                    </w:rPr>
                    <w:t>mg/L</w:t>
                  </w:r>
                </w:p>
              </w:tc>
              <w:tc>
                <w:tcPr>
                  <w:tcW w:w="605" w:type="pct"/>
                  <w:shd w:val="clear" w:color="auto" w:fill="auto"/>
                  <w:vAlign w:val="center"/>
                </w:tcPr>
                <w:p w14:paraId="4E3FA7B6">
                  <w:pPr>
                    <w:pStyle w:val="28"/>
                    <w:rPr>
                      <w:highlight w:val="none"/>
                    </w:rPr>
                  </w:pPr>
                  <w:r>
                    <w:rPr>
                      <w:rFonts w:hint="eastAsia"/>
                      <w:highlight w:val="none"/>
                    </w:rPr>
                    <w:t>7.13</w:t>
                  </w:r>
                </w:p>
              </w:tc>
              <w:tc>
                <w:tcPr>
                  <w:tcW w:w="667" w:type="pct"/>
                  <w:shd w:val="clear" w:color="auto" w:fill="auto"/>
                  <w:vAlign w:val="center"/>
                </w:tcPr>
                <w:p w14:paraId="7B11BDD7">
                  <w:pPr>
                    <w:pStyle w:val="28"/>
                    <w:rPr>
                      <w:highlight w:val="none"/>
                    </w:rPr>
                  </w:pPr>
                  <w:r>
                    <w:rPr>
                      <w:rFonts w:hint="eastAsia"/>
                      <w:highlight w:val="none"/>
                    </w:rPr>
                    <w:t>7.38</w:t>
                  </w:r>
                </w:p>
              </w:tc>
              <w:tc>
                <w:tcPr>
                  <w:tcW w:w="590" w:type="pct"/>
                  <w:shd w:val="clear" w:color="auto" w:fill="auto"/>
                  <w:vAlign w:val="center"/>
                </w:tcPr>
                <w:p w14:paraId="72ACE14E">
                  <w:pPr>
                    <w:pStyle w:val="28"/>
                    <w:rPr>
                      <w:highlight w:val="none"/>
                    </w:rPr>
                  </w:pPr>
                  <w:r>
                    <w:rPr>
                      <w:rFonts w:hint="eastAsia"/>
                      <w:highlight w:val="none"/>
                    </w:rPr>
                    <w:t>7.52</w:t>
                  </w:r>
                </w:p>
              </w:tc>
              <w:tc>
                <w:tcPr>
                  <w:tcW w:w="669" w:type="pct"/>
                  <w:shd w:val="clear" w:color="auto" w:fill="auto"/>
                  <w:vAlign w:val="center"/>
                </w:tcPr>
                <w:p w14:paraId="6D4C6572">
                  <w:pPr>
                    <w:pStyle w:val="28"/>
                    <w:rPr>
                      <w:highlight w:val="none"/>
                    </w:rPr>
                  </w:pPr>
                  <w:r>
                    <w:rPr>
                      <w:rFonts w:hint="eastAsia"/>
                      <w:highlight w:val="none"/>
                    </w:rPr>
                    <w:t>7.34</w:t>
                  </w:r>
                </w:p>
              </w:tc>
              <w:tc>
                <w:tcPr>
                  <w:tcW w:w="547" w:type="pct"/>
                  <w:shd w:val="clear" w:color="auto" w:fill="auto"/>
                  <w:vAlign w:val="center"/>
                </w:tcPr>
                <w:p w14:paraId="26DCA6D9">
                  <w:pPr>
                    <w:pStyle w:val="28"/>
                    <w:rPr>
                      <w:highlight w:val="none"/>
                    </w:rPr>
                  </w:pPr>
                  <w:r>
                    <w:rPr>
                      <w:rFonts w:hint="eastAsia"/>
                      <w:highlight w:val="none"/>
                    </w:rPr>
                    <w:t>≤8</w:t>
                  </w:r>
                </w:p>
              </w:tc>
              <w:tc>
                <w:tcPr>
                  <w:tcW w:w="500" w:type="pct"/>
                  <w:shd w:val="clear" w:color="auto" w:fill="auto"/>
                  <w:vAlign w:val="center"/>
                </w:tcPr>
                <w:p w14:paraId="79F9A3FA">
                  <w:pPr>
                    <w:pStyle w:val="28"/>
                    <w:rPr>
                      <w:highlight w:val="none"/>
                    </w:rPr>
                  </w:pPr>
                  <w:r>
                    <w:rPr>
                      <w:rFonts w:hint="eastAsia"/>
                      <w:highlight w:val="none"/>
                    </w:rPr>
                    <w:t>达标</w:t>
                  </w:r>
                </w:p>
              </w:tc>
            </w:tr>
            <w:tr w14:paraId="1909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27C420C1">
                  <w:pPr>
                    <w:pStyle w:val="28"/>
                    <w:rPr>
                      <w:highlight w:val="none"/>
                    </w:rPr>
                  </w:pPr>
                  <w:r>
                    <w:rPr>
                      <w:rFonts w:hint="eastAsia"/>
                      <w:highlight w:val="none"/>
                    </w:rPr>
                    <w:t>阴离子合成洗涤剂</w:t>
                  </w:r>
                </w:p>
              </w:tc>
              <w:tc>
                <w:tcPr>
                  <w:tcW w:w="839" w:type="pct"/>
                  <w:shd w:val="clear" w:color="auto" w:fill="auto"/>
                  <w:vAlign w:val="center"/>
                </w:tcPr>
                <w:p w14:paraId="2A296342">
                  <w:pPr>
                    <w:pStyle w:val="28"/>
                    <w:rPr>
                      <w:highlight w:val="none"/>
                    </w:rPr>
                  </w:pPr>
                  <w:r>
                    <w:rPr>
                      <w:rFonts w:hint="eastAsia"/>
                      <w:highlight w:val="none"/>
                    </w:rPr>
                    <w:t>mg/L</w:t>
                  </w:r>
                </w:p>
              </w:tc>
              <w:tc>
                <w:tcPr>
                  <w:tcW w:w="605" w:type="pct"/>
                  <w:shd w:val="clear" w:color="auto" w:fill="auto"/>
                  <w:vAlign w:val="center"/>
                </w:tcPr>
                <w:p w14:paraId="10D197F9">
                  <w:pPr>
                    <w:pStyle w:val="28"/>
                    <w:rPr>
                      <w:highlight w:val="none"/>
                    </w:rPr>
                  </w:pPr>
                  <w:r>
                    <w:rPr>
                      <w:rFonts w:hint="eastAsia"/>
                      <w:highlight w:val="none"/>
                    </w:rPr>
                    <w:t>0.114</w:t>
                  </w:r>
                </w:p>
              </w:tc>
              <w:tc>
                <w:tcPr>
                  <w:tcW w:w="667" w:type="pct"/>
                  <w:shd w:val="clear" w:color="auto" w:fill="auto"/>
                  <w:vAlign w:val="center"/>
                </w:tcPr>
                <w:p w14:paraId="53BFD963">
                  <w:pPr>
                    <w:pStyle w:val="28"/>
                    <w:rPr>
                      <w:highlight w:val="none"/>
                    </w:rPr>
                  </w:pPr>
                  <w:r>
                    <w:rPr>
                      <w:rFonts w:hint="eastAsia"/>
                      <w:highlight w:val="none"/>
                    </w:rPr>
                    <w:t>0.100</w:t>
                  </w:r>
                </w:p>
              </w:tc>
              <w:tc>
                <w:tcPr>
                  <w:tcW w:w="590" w:type="pct"/>
                  <w:shd w:val="clear" w:color="auto" w:fill="auto"/>
                  <w:vAlign w:val="center"/>
                </w:tcPr>
                <w:p w14:paraId="02039212">
                  <w:pPr>
                    <w:pStyle w:val="28"/>
                    <w:rPr>
                      <w:highlight w:val="none"/>
                    </w:rPr>
                  </w:pPr>
                  <w:r>
                    <w:rPr>
                      <w:rFonts w:hint="eastAsia"/>
                      <w:highlight w:val="none"/>
                    </w:rPr>
                    <w:t>0.105</w:t>
                  </w:r>
                </w:p>
              </w:tc>
              <w:tc>
                <w:tcPr>
                  <w:tcW w:w="669" w:type="pct"/>
                  <w:shd w:val="clear" w:color="auto" w:fill="auto"/>
                  <w:vAlign w:val="center"/>
                </w:tcPr>
                <w:p w14:paraId="5E076D9E">
                  <w:pPr>
                    <w:pStyle w:val="28"/>
                    <w:rPr>
                      <w:highlight w:val="none"/>
                    </w:rPr>
                  </w:pPr>
                  <w:r>
                    <w:rPr>
                      <w:rFonts w:hint="eastAsia"/>
                      <w:highlight w:val="none"/>
                    </w:rPr>
                    <w:t>0.106</w:t>
                  </w:r>
                </w:p>
              </w:tc>
              <w:tc>
                <w:tcPr>
                  <w:tcW w:w="547" w:type="pct"/>
                  <w:shd w:val="clear" w:color="auto" w:fill="auto"/>
                  <w:vAlign w:val="center"/>
                </w:tcPr>
                <w:p w14:paraId="5E051F44">
                  <w:pPr>
                    <w:pStyle w:val="28"/>
                    <w:rPr>
                      <w:highlight w:val="none"/>
                    </w:rPr>
                  </w:pPr>
                  <w:r>
                    <w:rPr>
                      <w:rFonts w:hint="eastAsia"/>
                      <w:highlight w:val="none"/>
                    </w:rPr>
                    <w:t>≤0.5</w:t>
                  </w:r>
                </w:p>
              </w:tc>
              <w:tc>
                <w:tcPr>
                  <w:tcW w:w="500" w:type="pct"/>
                  <w:shd w:val="clear" w:color="auto" w:fill="auto"/>
                  <w:vAlign w:val="center"/>
                </w:tcPr>
                <w:p w14:paraId="058D4E85">
                  <w:pPr>
                    <w:pStyle w:val="28"/>
                    <w:rPr>
                      <w:highlight w:val="none"/>
                    </w:rPr>
                  </w:pPr>
                  <w:r>
                    <w:rPr>
                      <w:rFonts w:hint="eastAsia"/>
                      <w:highlight w:val="none"/>
                    </w:rPr>
                    <w:t>达标</w:t>
                  </w:r>
                </w:p>
              </w:tc>
            </w:tr>
            <w:tr w14:paraId="05F7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2F4E6E97">
                  <w:pPr>
                    <w:pStyle w:val="28"/>
                    <w:rPr>
                      <w:highlight w:val="none"/>
                    </w:rPr>
                  </w:pPr>
                  <w:r>
                    <w:rPr>
                      <w:rFonts w:hint="eastAsia"/>
                      <w:highlight w:val="none"/>
                    </w:rPr>
                    <w:t>大肠埃希氏菌</w:t>
                  </w:r>
                </w:p>
              </w:tc>
              <w:tc>
                <w:tcPr>
                  <w:tcW w:w="839" w:type="pct"/>
                  <w:shd w:val="clear" w:color="auto" w:fill="auto"/>
                  <w:vAlign w:val="center"/>
                </w:tcPr>
                <w:p w14:paraId="6EF569F3">
                  <w:pPr>
                    <w:pStyle w:val="28"/>
                    <w:rPr>
                      <w:highlight w:val="none"/>
                    </w:rPr>
                  </w:pPr>
                  <w:r>
                    <w:rPr>
                      <w:rFonts w:hint="eastAsia"/>
                      <w:highlight w:val="none"/>
                    </w:rPr>
                    <w:t>MPN/100mL</w:t>
                  </w:r>
                </w:p>
              </w:tc>
              <w:tc>
                <w:tcPr>
                  <w:tcW w:w="605" w:type="pct"/>
                  <w:shd w:val="clear" w:color="auto" w:fill="auto"/>
                  <w:vAlign w:val="center"/>
                </w:tcPr>
                <w:p w14:paraId="57EE79F9">
                  <w:pPr>
                    <w:pStyle w:val="28"/>
                    <w:rPr>
                      <w:highlight w:val="none"/>
                    </w:rPr>
                  </w:pPr>
                  <w:r>
                    <w:rPr>
                      <w:rFonts w:hint="eastAsia"/>
                      <w:highlight w:val="none"/>
                    </w:rPr>
                    <w:t>未检出</w:t>
                  </w:r>
                </w:p>
              </w:tc>
              <w:tc>
                <w:tcPr>
                  <w:tcW w:w="667" w:type="pct"/>
                  <w:shd w:val="clear" w:color="auto" w:fill="auto"/>
                  <w:vAlign w:val="center"/>
                </w:tcPr>
                <w:p w14:paraId="72CA3878">
                  <w:pPr>
                    <w:pStyle w:val="28"/>
                    <w:rPr>
                      <w:highlight w:val="none"/>
                    </w:rPr>
                  </w:pPr>
                  <w:r>
                    <w:rPr>
                      <w:rFonts w:hint="eastAsia"/>
                      <w:highlight w:val="none"/>
                    </w:rPr>
                    <w:t>未检出</w:t>
                  </w:r>
                </w:p>
              </w:tc>
              <w:tc>
                <w:tcPr>
                  <w:tcW w:w="590" w:type="pct"/>
                  <w:shd w:val="clear" w:color="auto" w:fill="auto"/>
                  <w:vAlign w:val="center"/>
                </w:tcPr>
                <w:p w14:paraId="52E54CD4">
                  <w:pPr>
                    <w:pStyle w:val="28"/>
                    <w:rPr>
                      <w:highlight w:val="none"/>
                    </w:rPr>
                  </w:pPr>
                  <w:r>
                    <w:rPr>
                      <w:rFonts w:hint="eastAsia"/>
                      <w:highlight w:val="none"/>
                    </w:rPr>
                    <w:t>未检出</w:t>
                  </w:r>
                </w:p>
              </w:tc>
              <w:tc>
                <w:tcPr>
                  <w:tcW w:w="669" w:type="pct"/>
                  <w:shd w:val="clear" w:color="auto" w:fill="auto"/>
                  <w:vAlign w:val="center"/>
                </w:tcPr>
                <w:p w14:paraId="41C136F5">
                  <w:pPr>
                    <w:pStyle w:val="28"/>
                    <w:rPr>
                      <w:highlight w:val="none"/>
                    </w:rPr>
                  </w:pPr>
                  <w:r>
                    <w:rPr>
                      <w:rFonts w:hint="eastAsia"/>
                      <w:highlight w:val="none"/>
                    </w:rPr>
                    <w:t>未检出</w:t>
                  </w:r>
                </w:p>
              </w:tc>
              <w:tc>
                <w:tcPr>
                  <w:tcW w:w="547" w:type="pct"/>
                  <w:shd w:val="clear" w:color="auto" w:fill="auto"/>
                  <w:vAlign w:val="center"/>
                </w:tcPr>
                <w:p w14:paraId="2C663BF5">
                  <w:pPr>
                    <w:pStyle w:val="28"/>
                    <w:rPr>
                      <w:highlight w:val="none"/>
                    </w:rPr>
                  </w:pPr>
                  <w:r>
                    <w:rPr>
                      <w:rFonts w:hint="eastAsia"/>
                      <w:highlight w:val="none"/>
                    </w:rPr>
                    <w:t>不应</w:t>
                  </w:r>
                </w:p>
                <w:p w14:paraId="6916EF82">
                  <w:pPr>
                    <w:pStyle w:val="28"/>
                    <w:rPr>
                      <w:highlight w:val="none"/>
                    </w:rPr>
                  </w:pPr>
                  <w:r>
                    <w:rPr>
                      <w:rFonts w:hint="eastAsia"/>
                      <w:highlight w:val="none"/>
                    </w:rPr>
                    <w:t>检出</w:t>
                  </w:r>
                </w:p>
              </w:tc>
              <w:tc>
                <w:tcPr>
                  <w:tcW w:w="500" w:type="pct"/>
                  <w:shd w:val="clear" w:color="auto" w:fill="auto"/>
                  <w:vAlign w:val="center"/>
                </w:tcPr>
                <w:p w14:paraId="2FEF2F56">
                  <w:pPr>
                    <w:pStyle w:val="28"/>
                    <w:rPr>
                      <w:highlight w:val="none"/>
                    </w:rPr>
                  </w:pPr>
                  <w:r>
                    <w:rPr>
                      <w:rFonts w:hint="eastAsia"/>
                      <w:highlight w:val="none"/>
                    </w:rPr>
                    <w:t>达标</w:t>
                  </w:r>
                </w:p>
              </w:tc>
            </w:tr>
            <w:tr w14:paraId="544F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0B8CAE9F">
                  <w:pPr>
                    <w:pStyle w:val="28"/>
                    <w:rPr>
                      <w:highlight w:val="none"/>
                    </w:rPr>
                  </w:pPr>
                  <w:r>
                    <w:rPr>
                      <w:rFonts w:hint="eastAsia"/>
                      <w:highlight w:val="none"/>
                    </w:rPr>
                    <w:t>总氯</w:t>
                  </w:r>
                </w:p>
              </w:tc>
              <w:tc>
                <w:tcPr>
                  <w:tcW w:w="839" w:type="pct"/>
                  <w:shd w:val="clear" w:color="auto" w:fill="auto"/>
                  <w:vAlign w:val="center"/>
                </w:tcPr>
                <w:p w14:paraId="2F13AF9A">
                  <w:pPr>
                    <w:pStyle w:val="28"/>
                    <w:rPr>
                      <w:highlight w:val="none"/>
                    </w:rPr>
                  </w:pPr>
                  <w:r>
                    <w:rPr>
                      <w:rFonts w:hint="eastAsia"/>
                      <w:highlight w:val="none"/>
                    </w:rPr>
                    <w:t>mg/L</w:t>
                  </w:r>
                </w:p>
              </w:tc>
              <w:tc>
                <w:tcPr>
                  <w:tcW w:w="605" w:type="pct"/>
                  <w:shd w:val="clear" w:color="auto" w:fill="auto"/>
                  <w:vAlign w:val="center"/>
                </w:tcPr>
                <w:p w14:paraId="2144765F">
                  <w:pPr>
                    <w:pStyle w:val="28"/>
                    <w:rPr>
                      <w:highlight w:val="none"/>
                    </w:rPr>
                  </w:pPr>
                  <w:r>
                    <w:rPr>
                      <w:rFonts w:hint="eastAsia"/>
                      <w:highlight w:val="none"/>
                    </w:rPr>
                    <w:t>0.37</w:t>
                  </w:r>
                </w:p>
              </w:tc>
              <w:tc>
                <w:tcPr>
                  <w:tcW w:w="667" w:type="pct"/>
                  <w:shd w:val="clear" w:color="auto" w:fill="auto"/>
                  <w:vAlign w:val="center"/>
                </w:tcPr>
                <w:p w14:paraId="5A7DE2AB">
                  <w:pPr>
                    <w:pStyle w:val="28"/>
                    <w:rPr>
                      <w:highlight w:val="none"/>
                    </w:rPr>
                  </w:pPr>
                  <w:r>
                    <w:rPr>
                      <w:rFonts w:hint="eastAsia"/>
                      <w:highlight w:val="none"/>
                    </w:rPr>
                    <w:t>0.47</w:t>
                  </w:r>
                </w:p>
              </w:tc>
              <w:tc>
                <w:tcPr>
                  <w:tcW w:w="590" w:type="pct"/>
                  <w:shd w:val="clear" w:color="auto" w:fill="auto"/>
                  <w:vAlign w:val="center"/>
                </w:tcPr>
                <w:p w14:paraId="2A6D90E4">
                  <w:pPr>
                    <w:pStyle w:val="28"/>
                    <w:rPr>
                      <w:highlight w:val="none"/>
                    </w:rPr>
                  </w:pPr>
                  <w:r>
                    <w:rPr>
                      <w:rFonts w:hint="eastAsia"/>
                      <w:highlight w:val="none"/>
                    </w:rPr>
                    <w:t>0.37</w:t>
                  </w:r>
                </w:p>
              </w:tc>
              <w:tc>
                <w:tcPr>
                  <w:tcW w:w="669" w:type="pct"/>
                  <w:shd w:val="clear" w:color="auto" w:fill="auto"/>
                  <w:vAlign w:val="center"/>
                </w:tcPr>
                <w:p w14:paraId="485C3B57">
                  <w:pPr>
                    <w:pStyle w:val="28"/>
                    <w:rPr>
                      <w:highlight w:val="none"/>
                    </w:rPr>
                  </w:pPr>
                  <w:r>
                    <w:rPr>
                      <w:rFonts w:hint="eastAsia"/>
                      <w:highlight w:val="none"/>
                    </w:rPr>
                    <w:t>0.40</w:t>
                  </w:r>
                </w:p>
              </w:tc>
              <w:tc>
                <w:tcPr>
                  <w:tcW w:w="547" w:type="pct"/>
                  <w:shd w:val="clear" w:color="auto" w:fill="auto"/>
                  <w:vAlign w:val="center"/>
                </w:tcPr>
                <w:p w14:paraId="155D6182">
                  <w:pPr>
                    <w:pStyle w:val="28"/>
                    <w:rPr>
                      <w:highlight w:val="none"/>
                    </w:rPr>
                  </w:pPr>
                  <w:r>
                    <w:rPr>
                      <w:rFonts w:hint="eastAsia"/>
                      <w:highlight w:val="none"/>
                    </w:rPr>
                    <w:t>≥0.2,≤2.5</w:t>
                  </w:r>
                </w:p>
              </w:tc>
              <w:tc>
                <w:tcPr>
                  <w:tcW w:w="500" w:type="pct"/>
                  <w:shd w:val="clear" w:color="auto" w:fill="auto"/>
                  <w:vAlign w:val="center"/>
                </w:tcPr>
                <w:p w14:paraId="3A727718">
                  <w:pPr>
                    <w:pStyle w:val="28"/>
                    <w:rPr>
                      <w:highlight w:val="none"/>
                    </w:rPr>
                  </w:pPr>
                  <w:r>
                    <w:rPr>
                      <w:rFonts w:hint="eastAsia"/>
                      <w:highlight w:val="none"/>
                    </w:rPr>
                    <w:t>达标</w:t>
                  </w:r>
                </w:p>
              </w:tc>
            </w:tr>
            <w:tr w14:paraId="4FC6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0C49E096">
                  <w:pPr>
                    <w:pStyle w:val="28"/>
                    <w:rPr>
                      <w:highlight w:val="none"/>
                    </w:rPr>
                  </w:pPr>
                  <w:r>
                    <w:rPr>
                      <w:rFonts w:hint="eastAsia"/>
                      <w:highlight w:val="none"/>
                    </w:rPr>
                    <w:t>溶解性总固体</w:t>
                  </w:r>
                </w:p>
              </w:tc>
              <w:tc>
                <w:tcPr>
                  <w:tcW w:w="839" w:type="pct"/>
                  <w:shd w:val="clear" w:color="auto" w:fill="auto"/>
                  <w:vAlign w:val="center"/>
                </w:tcPr>
                <w:p w14:paraId="093994F1">
                  <w:pPr>
                    <w:pStyle w:val="28"/>
                    <w:rPr>
                      <w:highlight w:val="none"/>
                    </w:rPr>
                  </w:pPr>
                  <w:r>
                    <w:rPr>
                      <w:rFonts w:hint="eastAsia"/>
                      <w:highlight w:val="none"/>
                    </w:rPr>
                    <w:t>mg/L</w:t>
                  </w:r>
                </w:p>
              </w:tc>
              <w:tc>
                <w:tcPr>
                  <w:tcW w:w="605" w:type="pct"/>
                  <w:shd w:val="clear" w:color="auto" w:fill="auto"/>
                  <w:vAlign w:val="center"/>
                </w:tcPr>
                <w:p w14:paraId="011388BE">
                  <w:pPr>
                    <w:pStyle w:val="28"/>
                    <w:rPr>
                      <w:highlight w:val="none"/>
                    </w:rPr>
                  </w:pPr>
                  <w:r>
                    <w:rPr>
                      <w:rFonts w:hint="eastAsia"/>
                      <w:highlight w:val="none"/>
                    </w:rPr>
                    <w:t>740</w:t>
                  </w:r>
                </w:p>
              </w:tc>
              <w:tc>
                <w:tcPr>
                  <w:tcW w:w="667" w:type="pct"/>
                  <w:shd w:val="clear" w:color="auto" w:fill="auto"/>
                  <w:vAlign w:val="center"/>
                </w:tcPr>
                <w:p w14:paraId="6571946C">
                  <w:pPr>
                    <w:pStyle w:val="28"/>
                    <w:rPr>
                      <w:highlight w:val="none"/>
                    </w:rPr>
                  </w:pPr>
                  <w:r>
                    <w:rPr>
                      <w:rFonts w:hint="eastAsia"/>
                      <w:highlight w:val="none"/>
                    </w:rPr>
                    <w:t>732</w:t>
                  </w:r>
                </w:p>
              </w:tc>
              <w:tc>
                <w:tcPr>
                  <w:tcW w:w="590" w:type="pct"/>
                  <w:shd w:val="clear" w:color="auto" w:fill="auto"/>
                  <w:vAlign w:val="center"/>
                </w:tcPr>
                <w:p w14:paraId="5157E44D">
                  <w:pPr>
                    <w:pStyle w:val="28"/>
                    <w:rPr>
                      <w:highlight w:val="none"/>
                    </w:rPr>
                  </w:pPr>
                  <w:r>
                    <w:rPr>
                      <w:rFonts w:hint="eastAsia"/>
                      <w:highlight w:val="none"/>
                    </w:rPr>
                    <w:t>738</w:t>
                  </w:r>
                </w:p>
              </w:tc>
              <w:tc>
                <w:tcPr>
                  <w:tcW w:w="669" w:type="pct"/>
                  <w:shd w:val="clear" w:color="auto" w:fill="auto"/>
                  <w:vAlign w:val="center"/>
                </w:tcPr>
                <w:p w14:paraId="33DE46F3">
                  <w:pPr>
                    <w:pStyle w:val="28"/>
                    <w:rPr>
                      <w:highlight w:val="none"/>
                    </w:rPr>
                  </w:pPr>
                  <w:r>
                    <w:rPr>
                      <w:rFonts w:hint="eastAsia"/>
                      <w:highlight w:val="none"/>
                    </w:rPr>
                    <w:t>737</w:t>
                  </w:r>
                </w:p>
              </w:tc>
              <w:tc>
                <w:tcPr>
                  <w:tcW w:w="547" w:type="pct"/>
                  <w:shd w:val="clear" w:color="auto" w:fill="auto"/>
                  <w:vAlign w:val="center"/>
                </w:tcPr>
                <w:p w14:paraId="71549E1C">
                  <w:pPr>
                    <w:pStyle w:val="28"/>
                    <w:rPr>
                      <w:highlight w:val="none"/>
                    </w:rPr>
                  </w:pPr>
                  <w:r>
                    <w:rPr>
                      <w:rFonts w:hint="eastAsia"/>
                      <w:highlight w:val="none"/>
                    </w:rPr>
                    <w:t>≤1000</w:t>
                  </w:r>
                </w:p>
              </w:tc>
              <w:tc>
                <w:tcPr>
                  <w:tcW w:w="500" w:type="pct"/>
                  <w:shd w:val="clear" w:color="auto" w:fill="auto"/>
                  <w:vAlign w:val="center"/>
                </w:tcPr>
                <w:p w14:paraId="56427D19">
                  <w:pPr>
                    <w:pStyle w:val="28"/>
                    <w:rPr>
                      <w:highlight w:val="none"/>
                    </w:rPr>
                  </w:pPr>
                  <w:r>
                    <w:rPr>
                      <w:rFonts w:hint="eastAsia"/>
                      <w:highlight w:val="none"/>
                    </w:rPr>
                    <w:t>达标</w:t>
                  </w:r>
                </w:p>
              </w:tc>
            </w:tr>
            <w:tr w14:paraId="2A9B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shd w:val="clear" w:color="auto" w:fill="auto"/>
                  <w:vAlign w:val="center"/>
                </w:tcPr>
                <w:p w14:paraId="7E215FEA">
                  <w:pPr>
                    <w:pStyle w:val="28"/>
                    <w:jc w:val="left"/>
                    <w:rPr>
                      <w:highlight w:val="none"/>
                    </w:rPr>
                  </w:pPr>
                  <w:r>
                    <w:rPr>
                      <w:rFonts w:hint="eastAsia"/>
                      <w:highlight w:val="none"/>
                    </w:rPr>
                    <w:t>1、检测结果后加L表示检测结果小于方法检出限；</w:t>
                  </w:r>
                </w:p>
                <w:p w14:paraId="6169958F">
                  <w:pPr>
                    <w:pStyle w:val="28"/>
                    <w:jc w:val="left"/>
                    <w:rPr>
                      <w:highlight w:val="none"/>
                    </w:rPr>
                  </w:pPr>
                  <w:r>
                    <w:rPr>
                      <w:rFonts w:hint="eastAsia"/>
                      <w:highlight w:val="none"/>
                    </w:rPr>
                    <w:t>2、臭“0”级表示无任何臭和味；</w:t>
                  </w:r>
                </w:p>
              </w:tc>
            </w:tr>
          </w:tbl>
          <w:p w14:paraId="27661B2D">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根据上表可知，厂区现有屠宰废水达到《城市污水再生利用城市杂用水水质》GB/T 18920-2020表1城市绿化的标准。</w:t>
            </w:r>
          </w:p>
          <w:p w14:paraId="132D5E33">
            <w:pPr>
              <w:pStyle w:val="34"/>
              <w:ind w:firstLine="0" w:firstLineChars="0"/>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4.排污许可证</w:t>
            </w:r>
          </w:p>
          <w:p w14:paraId="4E837DA1">
            <w:pPr>
              <w:pStyle w:val="34"/>
              <w:rPr>
                <w:rFonts w:cs="Times New Roman"/>
                <w:color w:val="000000" w:themeColor="text1"/>
                <w:highlight w:val="none"/>
                <w:lang w:eastAsia="zh-CN"/>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云南海潮集团听牧肉牛产业股份有限公司于2018年11月26日成功申领排污许可证，有效期为：2018年11月28日至2021年11月27日，</w:t>
            </w:r>
            <w:r>
              <w:rPr>
                <w:rFonts w:hint="eastAsia" w:cs="Times New Roman"/>
                <w:color w:val="000000" w:themeColor="text1"/>
                <w:highlight w:val="yellow"/>
                <w:lang w:eastAsia="zh-CN"/>
                <w14:textFill>
                  <w14:solidFill>
                    <w14:schemeClr w14:val="tx1"/>
                  </w14:solidFill>
                </w14:textFill>
              </w:rPr>
              <w:t>许可证编号为：91530100775514867E001U</w:t>
            </w:r>
            <w:r>
              <w:rPr>
                <w:rFonts w:hint="eastAsia" w:cs="Times New Roman"/>
                <w:color w:val="000000" w:themeColor="text1"/>
                <w:highlight w:val="none"/>
                <w:lang w:eastAsia="zh-CN"/>
                <w14:textFill>
                  <w14:solidFill>
                    <w14:schemeClr w14:val="tx1"/>
                  </w14:solidFill>
                </w14:textFill>
              </w:rPr>
              <w:t>；并于2021年12月7</w:t>
            </w:r>
            <w:r>
              <w:rPr>
                <w:rFonts w:hint="eastAsia"/>
                <w:highlight w:val="none"/>
                <w:lang w:eastAsia="zh-CN"/>
              </w:rPr>
              <w:t>日</w:t>
            </w:r>
            <w:r>
              <w:rPr>
                <w:rFonts w:hint="eastAsia" w:cs="Times New Roman"/>
                <w:color w:val="000000" w:themeColor="text1"/>
                <w:highlight w:val="none"/>
                <w:lang w:eastAsia="zh-CN"/>
                <w14:textFill>
                  <w14:solidFill>
                    <w14:schemeClr w14:val="tx1"/>
                  </w14:solidFill>
                </w14:textFill>
              </w:rPr>
              <w:t>延续排污许可证，有效期为：2021年11月28日至2026年11月27日，</w:t>
            </w:r>
            <w:r>
              <w:rPr>
                <w:rFonts w:hint="eastAsia" w:cs="Times New Roman"/>
                <w:color w:val="000000" w:themeColor="text1"/>
                <w:highlight w:val="yellow"/>
                <w:lang w:eastAsia="zh-CN"/>
                <w14:textFill>
                  <w14:solidFill>
                    <w14:schemeClr w14:val="tx1"/>
                  </w14:solidFill>
                </w14:textFill>
              </w:rPr>
              <w:t>许可证编号为：91530100775514867E001U</w:t>
            </w:r>
            <w:r>
              <w:rPr>
                <w:rFonts w:hint="eastAsia" w:cs="Times New Roman"/>
                <w:color w:val="000000" w:themeColor="text1"/>
                <w:highlight w:val="none"/>
                <w:lang w:eastAsia="zh-CN"/>
                <w14:textFill>
                  <w14:solidFill>
                    <w14:schemeClr w14:val="tx1"/>
                  </w14:solidFill>
                </w14:textFill>
              </w:rPr>
              <w:t>。排污许可证见附件9。</w:t>
            </w:r>
          </w:p>
          <w:p w14:paraId="25775EAF">
            <w:pPr>
              <w:pStyle w:val="34"/>
              <w:ind w:firstLine="0" w:firstLineChars="0"/>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5.环境管理</w:t>
            </w:r>
          </w:p>
          <w:p w14:paraId="6F782734">
            <w:pPr>
              <w:pStyle w:val="34"/>
              <w:rPr>
                <w:highlight w:val="none"/>
                <w:lang w:eastAsia="zh-CN"/>
              </w:rPr>
            </w:pPr>
            <w:r>
              <w:rPr>
                <w:highlight w:val="none"/>
                <w:lang w:val="zh-CN" w:eastAsia="zh-CN"/>
              </w:rPr>
              <w:t>云南海潮集团听牧肉牛产业股份有限公司</w:t>
            </w:r>
            <w:r>
              <w:rPr>
                <w:rFonts w:hint="eastAsia"/>
                <w:highlight w:val="none"/>
                <w:lang w:eastAsia="zh-CN"/>
              </w:rPr>
              <w:t>主要从事肉牛交易、屠宰及精深加工，污染物情况较为复杂，废水处理难度大，对污染物防治有较高要求。因此，特作出以下要求：</w:t>
            </w:r>
          </w:p>
          <w:p w14:paraId="6F84E89A">
            <w:pPr>
              <w:pStyle w:val="34"/>
              <w:rPr>
                <w:highlight w:val="none"/>
                <w:lang w:val="zh-CN" w:eastAsia="zh-CN"/>
              </w:rPr>
            </w:pPr>
            <w:r>
              <w:rPr>
                <w:rFonts w:hint="eastAsia"/>
                <w:highlight w:val="none"/>
                <w:lang w:val="zh-CN" w:eastAsia="zh-CN"/>
              </w:rPr>
              <w:t>（</w:t>
            </w:r>
            <w:r>
              <w:rPr>
                <w:rFonts w:hint="eastAsia"/>
                <w:highlight w:val="none"/>
                <w:lang w:eastAsia="zh-CN"/>
              </w:rPr>
              <w:t>1</w:t>
            </w:r>
            <w:r>
              <w:rPr>
                <w:rFonts w:hint="eastAsia"/>
                <w:highlight w:val="none"/>
                <w:lang w:val="zh-CN" w:eastAsia="zh-CN"/>
              </w:rPr>
              <w:t>）</w:t>
            </w:r>
            <w:r>
              <w:rPr>
                <w:highlight w:val="none"/>
                <w:lang w:val="zh-CN" w:eastAsia="zh-CN"/>
              </w:rPr>
              <w:t>建议建设单位安排专职（或兼职）环境管理人员1人。负责建立环保档案，包括环评报告、环保工程验收报告、污染源监测报告、环保设备及运行记录以及</w:t>
            </w:r>
            <w:r>
              <w:rPr>
                <w:rFonts w:hint="eastAsia"/>
                <w:highlight w:val="none"/>
                <w:lang w:val="zh-CN" w:eastAsia="zh-CN"/>
              </w:rPr>
              <w:t>其他环境</w:t>
            </w:r>
            <w:r>
              <w:rPr>
                <w:highlight w:val="none"/>
                <w:lang w:val="zh-CN" w:eastAsia="zh-CN"/>
              </w:rPr>
              <w:t>统计资料。保证污染防治设施正常运行。</w:t>
            </w:r>
          </w:p>
          <w:p w14:paraId="58DC5FBE">
            <w:pPr>
              <w:pStyle w:val="34"/>
              <w:rPr>
                <w:highlight w:val="none"/>
                <w:lang w:val="zh-CN" w:eastAsia="zh-CN"/>
              </w:rPr>
            </w:pPr>
            <w:r>
              <w:rPr>
                <w:rFonts w:hint="eastAsia"/>
                <w:highlight w:val="none"/>
                <w:lang w:val="zh-CN" w:eastAsia="zh-CN"/>
              </w:rPr>
              <w:t>（</w:t>
            </w:r>
            <w:r>
              <w:rPr>
                <w:rFonts w:hint="eastAsia"/>
                <w:highlight w:val="none"/>
                <w:lang w:eastAsia="zh-CN"/>
              </w:rPr>
              <w:t>2</w:t>
            </w:r>
            <w:r>
              <w:rPr>
                <w:rFonts w:hint="eastAsia"/>
                <w:highlight w:val="none"/>
                <w:lang w:val="zh-CN" w:eastAsia="zh-CN"/>
              </w:rPr>
              <w:t>）</w:t>
            </w:r>
            <w:r>
              <w:rPr>
                <w:highlight w:val="none"/>
                <w:lang w:val="zh-CN" w:eastAsia="zh-CN"/>
              </w:rPr>
              <w:t>搞好所有环保设施与主体设备的协调管理，使污染防治设施的配备与主体设备相适应，并与主体设备同时运行及检修；</w:t>
            </w:r>
          </w:p>
          <w:p w14:paraId="1951E959">
            <w:pPr>
              <w:pStyle w:val="34"/>
              <w:rPr>
                <w:rFonts w:cs="Times New Roman"/>
                <w:color w:val="000000" w:themeColor="text1"/>
                <w:highlight w:val="none"/>
                <w:lang w:eastAsia="zh-CN"/>
                <w14:textFill>
                  <w14:solidFill>
                    <w14:schemeClr w14:val="tx1"/>
                  </w14:solidFill>
                </w14:textFill>
              </w:rPr>
            </w:pPr>
            <w:r>
              <w:rPr>
                <w:rFonts w:hint="eastAsia"/>
                <w:highlight w:val="none"/>
                <w:lang w:val="zh-CN" w:eastAsia="zh-CN"/>
              </w:rPr>
              <w:t>（</w:t>
            </w:r>
            <w:r>
              <w:rPr>
                <w:rFonts w:hint="eastAsia"/>
                <w:highlight w:val="none"/>
                <w:lang w:eastAsia="zh-CN"/>
              </w:rPr>
              <w:t>3</w:t>
            </w:r>
            <w:r>
              <w:rPr>
                <w:rFonts w:hint="eastAsia"/>
                <w:highlight w:val="none"/>
                <w:lang w:val="zh-CN" w:eastAsia="zh-CN"/>
              </w:rPr>
              <w:t>）</w:t>
            </w:r>
            <w:r>
              <w:rPr>
                <w:highlight w:val="none"/>
                <w:lang w:val="zh-CN" w:eastAsia="zh-CN"/>
              </w:rPr>
              <w:t>污染防治设施出现故障时，环境管理机构应立即与各部门共同采取措施，严防污染扩大</w:t>
            </w:r>
            <w:r>
              <w:rPr>
                <w:rFonts w:hint="eastAsia"/>
                <w:highlight w:val="none"/>
                <w:lang w:val="zh-CN" w:eastAsia="zh-CN"/>
              </w:rPr>
              <w:t>。</w:t>
            </w:r>
          </w:p>
        </w:tc>
      </w:tr>
    </w:tbl>
    <w:p w14:paraId="02602BF8">
      <w:pPr>
        <w:pStyle w:val="16"/>
        <w:jc w:val="center"/>
        <w:rPr>
          <w:rFonts w:ascii="Times New Roman" w:hAnsi="Times New Roman"/>
          <w:snapToGrid w:val="0"/>
          <w:color w:val="000000" w:themeColor="text1"/>
          <w:sz w:val="36"/>
          <w:szCs w:val="36"/>
          <w14:textFill>
            <w14:solidFill>
              <w14:schemeClr w14:val="tx1"/>
            </w14:solidFill>
          </w14:textFill>
        </w:rPr>
        <w:sectPr>
          <w:footerReference r:id="rId8" w:type="default"/>
          <w:pgSz w:w="11906" w:h="16838"/>
          <w:pgMar w:top="1701" w:right="1531" w:bottom="1701" w:left="1531" w:header="851" w:footer="851" w:gutter="0"/>
          <w:cols w:space="720" w:num="1"/>
          <w:docGrid w:linePitch="312" w:charSpace="0"/>
        </w:sectPr>
      </w:pPr>
    </w:p>
    <w:p w14:paraId="3E8385B6">
      <w:pPr>
        <w:pStyle w:val="16"/>
        <w:spacing w:before="0" w:beforeAutospacing="0" w:after="0" w:afterAutospacing="0"/>
        <w:jc w:val="center"/>
        <w:outlineLvl w:val="0"/>
        <w:rPr>
          <w:rFonts w:ascii="Times New Roman" w:hAnsi="Times New Roman"/>
          <w:snapToGrid w:val="0"/>
          <w:color w:val="000000" w:themeColor="text1"/>
          <w:sz w:val="36"/>
          <w:szCs w:val="36"/>
          <w14:textFill>
            <w14:solidFill>
              <w14:schemeClr w14:val="tx1"/>
            </w14:solidFill>
          </w14:textFill>
        </w:rPr>
      </w:pPr>
      <w:bookmarkStart w:id="6" w:name="_Toc21103"/>
      <w:r>
        <w:rPr>
          <w:rFonts w:hint="eastAsia" w:ascii="Times New Roman" w:hAnsi="Times New Roman"/>
          <w:snapToGrid w:val="0"/>
          <w:color w:val="000000" w:themeColor="text1"/>
          <w:sz w:val="36"/>
          <w:szCs w:val="36"/>
          <w14:textFill>
            <w14:solidFill>
              <w14:schemeClr w14:val="tx1"/>
            </w14:solidFill>
          </w14:textFill>
        </w:rPr>
        <w:t>三、区域环境质量现状、环境保护目标及评价标准</w:t>
      </w:r>
      <w:bookmarkEnd w:id="6"/>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531"/>
      </w:tblGrid>
      <w:tr w14:paraId="479CE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vAlign w:val="center"/>
          </w:tcPr>
          <w:p w14:paraId="56AD6EEF">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区域环境质量现状</w:t>
            </w:r>
          </w:p>
        </w:tc>
        <w:tc>
          <w:tcPr>
            <w:tcW w:w="8531" w:type="dxa"/>
            <w:vAlign w:val="center"/>
          </w:tcPr>
          <w:p w14:paraId="5685B32B">
            <w:pPr>
              <w:widowControl/>
              <w:spacing w:line="360" w:lineRule="auto"/>
              <w:jc w:val="left"/>
              <w:rPr>
                <w:b/>
                <w:bCs/>
                <w:color w:val="000000" w:themeColor="text1"/>
                <w:kern w:val="0"/>
                <w:sz w:val="28"/>
                <w:szCs w:val="28"/>
                <w:highlight w:val="none"/>
                <w:lang w:bidi="ar"/>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1</w:t>
            </w:r>
            <w:r>
              <w:rPr>
                <w:rFonts w:hint="eastAsia"/>
                <w:b/>
                <w:bCs/>
                <w:color w:val="000000" w:themeColor="text1"/>
                <w:kern w:val="0"/>
                <w:sz w:val="28"/>
                <w:szCs w:val="28"/>
                <w:highlight w:val="none"/>
                <w:lang w:bidi="ar"/>
                <w14:textFill>
                  <w14:solidFill>
                    <w14:schemeClr w14:val="tx1"/>
                  </w14:solidFill>
                </w14:textFill>
              </w:rPr>
              <w:t>.环境空气质量现状</w:t>
            </w:r>
          </w:p>
          <w:p w14:paraId="62376B7C">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项目位于云南省昆明市寻甸县羊街镇龙池村，</w:t>
            </w:r>
            <w:r>
              <w:rPr>
                <w:rFonts w:hint="eastAsia"/>
                <w:color w:val="000000" w:themeColor="text1"/>
                <w:kern w:val="0"/>
                <w:highlight w:val="none"/>
                <w:lang w:eastAsia="zh-CN" w:bidi="ar"/>
                <w14:textFill>
                  <w14:solidFill>
                    <w14:schemeClr w14:val="tx1"/>
                  </w14:solidFill>
                </w14:textFill>
              </w:rPr>
              <w:t>在现有牛屠宰车间的基础上，将急宰间改建为肉羊屠宰线，项目总建筑面积为2314m</w:t>
            </w:r>
            <w:r>
              <w:rPr>
                <w:rFonts w:hint="eastAsia"/>
                <w:color w:val="000000" w:themeColor="text1"/>
                <w:kern w:val="0"/>
                <w:highlight w:val="none"/>
                <w:vertAlign w:val="superscript"/>
                <w:lang w:eastAsia="zh-CN" w:bidi="ar"/>
                <w14:textFill>
                  <w14:solidFill>
                    <w14:schemeClr w14:val="tx1"/>
                  </w14:solidFill>
                </w14:textFill>
              </w:rPr>
              <w:t>2</w:t>
            </w:r>
            <w:r>
              <w:rPr>
                <w:rFonts w:hint="eastAsia"/>
                <w:color w:val="000000" w:themeColor="text1"/>
                <w:kern w:val="0"/>
                <w:highlight w:val="none"/>
                <w:lang w:eastAsia="zh-CN" w:bidi="ar"/>
                <w14:textFill>
                  <w14:solidFill>
                    <w14:schemeClr w14:val="tx1"/>
                  </w14:solidFill>
                </w14:textFill>
              </w:rPr>
              <w:t>。</w:t>
            </w:r>
            <w:r>
              <w:rPr>
                <w:rFonts w:hint="eastAsia"/>
                <w:color w:val="000000" w:themeColor="text1"/>
                <w:highlight w:val="none"/>
                <w:lang w:eastAsia="zh-CN"/>
                <w14:textFill>
                  <w14:solidFill>
                    <w14:schemeClr w14:val="tx1"/>
                  </w14:solidFill>
                </w14:textFill>
              </w:rPr>
              <w:t>项目所在区域环境空气质量功能区划为二类区，环境空气质量执行《环境空气质量标准》（</w:t>
            </w:r>
            <w:r>
              <w:rPr>
                <w:color w:val="000000" w:themeColor="text1"/>
                <w:highlight w:val="none"/>
                <w:lang w:eastAsia="zh-CN"/>
                <w14:textFill>
                  <w14:solidFill>
                    <w14:schemeClr w14:val="tx1"/>
                  </w14:solidFill>
                </w14:textFill>
              </w:rPr>
              <w:t>GB3095-2012</w:t>
            </w:r>
            <w:r>
              <w:rPr>
                <w:rFonts w:hint="eastAsia"/>
                <w:color w:val="000000" w:themeColor="text1"/>
                <w:highlight w:val="none"/>
                <w:lang w:eastAsia="zh-CN"/>
                <w14:textFill>
                  <w14:solidFill>
                    <w14:schemeClr w14:val="tx1"/>
                  </w14:solidFill>
                </w14:textFill>
              </w:rPr>
              <w:t>）二级标准。</w:t>
            </w:r>
          </w:p>
          <w:p w14:paraId="03235F5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）环境空气质量达标区判定</w:t>
            </w:r>
          </w:p>
          <w:p w14:paraId="7F0D9100">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根据昆明市生态环境局</w:t>
            </w:r>
            <w:r>
              <w:rPr>
                <w:color w:val="000000" w:themeColor="text1"/>
                <w:highlight w:val="none"/>
                <w:lang w:eastAsia="zh-CN"/>
                <w14:textFill>
                  <w14:solidFill>
                    <w14:schemeClr w14:val="tx1"/>
                  </w14:solidFill>
                </w14:textFill>
              </w:rPr>
              <w:t>202</w:t>
            </w:r>
            <w:r>
              <w:rPr>
                <w:rFonts w:hint="eastAsia"/>
                <w:color w:val="000000" w:themeColor="text1"/>
                <w:highlight w:val="none"/>
                <w:lang w:eastAsia="zh-CN"/>
                <w14:textFill>
                  <w14:solidFill>
                    <w14:schemeClr w14:val="tx1"/>
                  </w14:solidFill>
                </w14:textFill>
              </w:rPr>
              <w:t>4年6月发布的《2023年度昆明市生态环境状况公报》，2023年，各县（市）区环境空气质量总体保持良好，各项污染物平均浓度均达到二级空气质量标准。与2022年相比，各县（市）区环境空气综合污染指数均上升。</w:t>
            </w:r>
          </w:p>
          <w:p w14:paraId="4680ABA2">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综上，项目区域属于环境空气达标区。</w:t>
            </w:r>
          </w:p>
          <w:p w14:paraId="51452F5B">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（2）特征污染物环境质量现状</w:t>
            </w:r>
          </w:p>
          <w:p w14:paraId="6636972A">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针对本项目特点，项目运营期排放的特征污染物主要为</w:t>
            </w:r>
            <w:r>
              <w:rPr>
                <w:rFonts w:hint="eastAsia" w:cs="Times New Roman"/>
                <w:highlight w:val="none"/>
                <w:lang w:eastAsia="zh-CN"/>
              </w:rPr>
              <w:t>H</w:t>
            </w:r>
            <w:r>
              <w:rPr>
                <w:rFonts w:hint="eastAsia" w:cs="Times New Roman"/>
                <w:highlight w:val="none"/>
                <w:vertAlign w:val="subscript"/>
                <w:lang w:eastAsia="zh-CN"/>
              </w:rPr>
              <w:t>2</w:t>
            </w:r>
            <w:r>
              <w:rPr>
                <w:rFonts w:hint="eastAsia" w:cs="Times New Roman"/>
                <w:highlight w:val="none"/>
                <w:lang w:eastAsia="zh-CN"/>
              </w:rPr>
              <w:t>S、NH</w:t>
            </w:r>
            <w:r>
              <w:rPr>
                <w:rFonts w:hint="eastAsia" w:cs="Times New Roman"/>
                <w:highlight w:val="none"/>
                <w:vertAlign w:val="subscript"/>
                <w:lang w:eastAsia="zh-CN"/>
              </w:rPr>
              <w:t>3</w:t>
            </w:r>
            <w:r>
              <w:rPr>
                <w:rFonts w:hint="eastAsia" w:cs="Times New Roman"/>
                <w:highlight w:val="none"/>
                <w:lang w:eastAsia="zh-CN"/>
              </w:rPr>
              <w:t>、臭气浓度，并对其特征污染物进行监测，</w:t>
            </w:r>
            <w:r>
              <w:rPr>
                <w:rFonts w:hint="eastAsia" w:cs="Times New Roman"/>
                <w:highlight w:val="none"/>
                <w:lang w:val="en-US" w:eastAsia="zh-CN"/>
              </w:rPr>
              <w:t>且项目厂界</w:t>
            </w:r>
            <w:r>
              <w:rPr>
                <w:rFonts w:hint="eastAsia"/>
                <w:color w:val="000000" w:themeColor="text1"/>
                <w:highlight w:val="none"/>
                <w:lang w:val="en-US" w:eastAsia="zh-CN"/>
                <w14:textFill>
                  <w14:solidFill>
                    <w14:schemeClr w14:val="tx1"/>
                  </w14:solidFill>
                </w14:textFill>
              </w:rPr>
              <w:t>为大厂中包含的小厂厂界，</w:t>
            </w:r>
            <w:r>
              <w:rPr>
                <w:rFonts w:hint="eastAsia" w:cs="Times New Roman"/>
                <w:highlight w:val="none"/>
                <w:lang w:eastAsia="zh-CN"/>
              </w:rPr>
              <w:t>监测时间为2025年2月17日～2025年2月19日，监测单位为云南高科环境保护科技有限公司。</w:t>
            </w:r>
            <w:r>
              <w:rPr>
                <w:rFonts w:hint="eastAsia"/>
                <w:highlight w:val="none"/>
                <w:lang w:eastAsia="zh-CN"/>
              </w:rPr>
              <w:t>监测数据结果详见下表3-1所示。</w:t>
            </w:r>
          </w:p>
          <w:p w14:paraId="57520FAE">
            <w:pPr>
              <w:pStyle w:val="30"/>
              <w:rPr>
                <w:rFonts w:hint="default"/>
                <w:highlight w:val="none"/>
              </w:rPr>
            </w:pPr>
            <w:r>
              <w:rPr>
                <w:rFonts w:hint="default"/>
                <w:highlight w:val="none"/>
              </w:rPr>
              <w:t>表3-1</w:t>
            </w:r>
            <w:r>
              <w:rPr>
                <w:highlight w:val="none"/>
              </w:rPr>
              <w:t>特征污染物现状监测结果</w:t>
            </w:r>
            <w:r>
              <w:rPr>
                <w:rFonts w:hint="default"/>
                <w:highlight w:val="none"/>
              </w:rPr>
              <w:t>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073"/>
              <w:gridCol w:w="1493"/>
              <w:gridCol w:w="1762"/>
              <w:gridCol w:w="1521"/>
            </w:tblGrid>
            <w:tr w14:paraId="329F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restart"/>
                  <w:tcBorders>
                    <w:tl2br w:val="nil"/>
                    <w:tr2bl w:val="nil"/>
                  </w:tcBorders>
                  <w:vAlign w:val="center"/>
                </w:tcPr>
                <w:p w14:paraId="023075DC">
                  <w:pPr>
                    <w:pStyle w:val="28"/>
                    <w:rPr>
                      <w:highlight w:val="none"/>
                    </w:rPr>
                  </w:pPr>
                  <w:r>
                    <w:rPr>
                      <w:rFonts w:hint="eastAsia"/>
                      <w:highlight w:val="none"/>
                    </w:rPr>
                    <w:t>检测时间</w:t>
                  </w:r>
                </w:p>
              </w:tc>
              <w:tc>
                <w:tcPr>
                  <w:tcW w:w="1248" w:type="pct"/>
                  <w:vMerge w:val="restart"/>
                  <w:tcBorders>
                    <w:tl2br w:val="nil"/>
                    <w:tr2bl w:val="nil"/>
                  </w:tcBorders>
                  <w:vAlign w:val="center"/>
                </w:tcPr>
                <w:p w14:paraId="18261EC3">
                  <w:pPr>
                    <w:pStyle w:val="28"/>
                    <w:rPr>
                      <w:highlight w:val="none"/>
                    </w:rPr>
                  </w:pPr>
                  <w:r>
                    <w:rPr>
                      <w:rFonts w:hint="eastAsia"/>
                      <w:highlight w:val="none"/>
                    </w:rPr>
                    <w:t>监测点位</w:t>
                  </w:r>
                </w:p>
              </w:tc>
              <w:tc>
                <w:tcPr>
                  <w:tcW w:w="2876" w:type="pct"/>
                  <w:gridSpan w:val="3"/>
                  <w:tcBorders>
                    <w:tl2br w:val="nil"/>
                    <w:tr2bl w:val="nil"/>
                  </w:tcBorders>
                  <w:vAlign w:val="center"/>
                </w:tcPr>
                <w:p w14:paraId="0976EE45">
                  <w:pPr>
                    <w:pStyle w:val="28"/>
                    <w:rPr>
                      <w:highlight w:val="none"/>
                    </w:rPr>
                  </w:pPr>
                  <w:r>
                    <w:rPr>
                      <w:rFonts w:hint="eastAsia"/>
                      <w:highlight w:val="none"/>
                    </w:rPr>
                    <w:t>检测项目</w:t>
                  </w:r>
                </w:p>
              </w:tc>
            </w:tr>
            <w:tr w14:paraId="6D81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2CDF3CFD">
                  <w:pPr>
                    <w:pStyle w:val="28"/>
                    <w:rPr>
                      <w:highlight w:val="none"/>
                    </w:rPr>
                  </w:pPr>
                </w:p>
              </w:tc>
              <w:tc>
                <w:tcPr>
                  <w:tcW w:w="1248" w:type="pct"/>
                  <w:vMerge w:val="continue"/>
                  <w:tcBorders>
                    <w:tl2br w:val="nil"/>
                    <w:tr2bl w:val="nil"/>
                  </w:tcBorders>
                  <w:vAlign w:val="center"/>
                </w:tcPr>
                <w:p w14:paraId="0B337740">
                  <w:pPr>
                    <w:pStyle w:val="28"/>
                    <w:rPr>
                      <w:highlight w:val="none"/>
                    </w:rPr>
                  </w:pPr>
                </w:p>
              </w:tc>
              <w:tc>
                <w:tcPr>
                  <w:tcW w:w="899" w:type="pct"/>
                  <w:tcBorders>
                    <w:tl2br w:val="nil"/>
                    <w:tr2bl w:val="nil"/>
                  </w:tcBorders>
                  <w:vAlign w:val="center"/>
                </w:tcPr>
                <w:p w14:paraId="507294B6">
                  <w:pPr>
                    <w:pStyle w:val="28"/>
                    <w:rPr>
                      <w:highlight w:val="none"/>
                    </w:rPr>
                  </w:pPr>
                  <w:r>
                    <w:rPr>
                      <w:rFonts w:hint="eastAsia"/>
                      <w:highlight w:val="none"/>
                    </w:rPr>
                    <w:t>氨</w:t>
                  </w:r>
                </w:p>
                <w:p w14:paraId="56BFE860">
                  <w:pPr>
                    <w:pStyle w:val="28"/>
                    <w:rPr>
                      <w:highlight w:val="none"/>
                    </w:rPr>
                  </w:pPr>
                  <w:r>
                    <w:rPr>
                      <w:rFonts w:hint="eastAsia"/>
                      <w:highlight w:val="none"/>
                    </w:rPr>
                    <w:t>（mg/m</w:t>
                  </w:r>
                  <w:r>
                    <w:rPr>
                      <w:rFonts w:hint="eastAsia"/>
                      <w:highlight w:val="none"/>
                      <w:vertAlign w:val="superscript"/>
                    </w:rPr>
                    <w:t>3</w:t>
                  </w:r>
                  <w:r>
                    <w:rPr>
                      <w:rFonts w:hint="eastAsia"/>
                      <w:highlight w:val="none"/>
                    </w:rPr>
                    <w:t>）</w:t>
                  </w:r>
                </w:p>
              </w:tc>
              <w:tc>
                <w:tcPr>
                  <w:tcW w:w="1061" w:type="pct"/>
                  <w:tcBorders>
                    <w:tl2br w:val="nil"/>
                    <w:tr2bl w:val="nil"/>
                  </w:tcBorders>
                  <w:vAlign w:val="center"/>
                </w:tcPr>
                <w:p w14:paraId="1B42980C">
                  <w:pPr>
                    <w:pStyle w:val="28"/>
                    <w:rPr>
                      <w:highlight w:val="none"/>
                    </w:rPr>
                  </w:pPr>
                  <w:r>
                    <w:rPr>
                      <w:rFonts w:hint="eastAsia"/>
                      <w:highlight w:val="none"/>
                    </w:rPr>
                    <w:t>硫化氢</w:t>
                  </w:r>
                </w:p>
                <w:p w14:paraId="64CFD0C9">
                  <w:pPr>
                    <w:pStyle w:val="28"/>
                    <w:rPr>
                      <w:highlight w:val="none"/>
                    </w:rPr>
                  </w:pPr>
                  <w:r>
                    <w:rPr>
                      <w:rFonts w:hint="eastAsia"/>
                      <w:highlight w:val="none"/>
                    </w:rPr>
                    <w:t>（mg/m</w:t>
                  </w:r>
                  <w:r>
                    <w:rPr>
                      <w:rFonts w:hint="eastAsia"/>
                      <w:highlight w:val="none"/>
                      <w:vertAlign w:val="superscript"/>
                    </w:rPr>
                    <w:t>3</w:t>
                  </w:r>
                  <w:r>
                    <w:rPr>
                      <w:rFonts w:hint="eastAsia"/>
                      <w:highlight w:val="none"/>
                    </w:rPr>
                    <w:t>）</w:t>
                  </w:r>
                </w:p>
              </w:tc>
              <w:tc>
                <w:tcPr>
                  <w:tcW w:w="915" w:type="pct"/>
                  <w:tcBorders>
                    <w:tl2br w:val="nil"/>
                    <w:tr2bl w:val="nil"/>
                  </w:tcBorders>
                  <w:vAlign w:val="center"/>
                </w:tcPr>
                <w:p w14:paraId="1389935A">
                  <w:pPr>
                    <w:pStyle w:val="28"/>
                    <w:rPr>
                      <w:highlight w:val="none"/>
                    </w:rPr>
                  </w:pPr>
                  <w:r>
                    <w:rPr>
                      <w:rFonts w:hint="eastAsia"/>
                      <w:highlight w:val="none"/>
                    </w:rPr>
                    <w:t>臭气浓度</w:t>
                  </w:r>
                </w:p>
                <w:p w14:paraId="1FE69F7E">
                  <w:pPr>
                    <w:pStyle w:val="28"/>
                    <w:rPr>
                      <w:highlight w:val="none"/>
                    </w:rPr>
                  </w:pPr>
                  <w:r>
                    <w:rPr>
                      <w:rFonts w:hint="eastAsia"/>
                      <w:highlight w:val="none"/>
                    </w:rPr>
                    <w:t>（无量纲）</w:t>
                  </w:r>
                </w:p>
              </w:tc>
            </w:tr>
            <w:tr w14:paraId="4E50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restart"/>
                  <w:tcBorders>
                    <w:tl2br w:val="nil"/>
                    <w:tr2bl w:val="nil"/>
                  </w:tcBorders>
                  <w:vAlign w:val="center"/>
                </w:tcPr>
                <w:p w14:paraId="15D8A44A">
                  <w:pPr>
                    <w:pStyle w:val="28"/>
                    <w:rPr>
                      <w:highlight w:val="none"/>
                    </w:rPr>
                  </w:pPr>
                  <w:r>
                    <w:rPr>
                      <w:rFonts w:hint="eastAsia"/>
                      <w:highlight w:val="none"/>
                    </w:rPr>
                    <w:t>2025年2月17日</w:t>
                  </w:r>
                </w:p>
              </w:tc>
              <w:tc>
                <w:tcPr>
                  <w:tcW w:w="1248" w:type="pct"/>
                  <w:vMerge w:val="restart"/>
                  <w:tcBorders>
                    <w:tl2br w:val="nil"/>
                    <w:tr2bl w:val="nil"/>
                  </w:tcBorders>
                  <w:vAlign w:val="center"/>
                </w:tcPr>
                <w:p w14:paraId="332355F8">
                  <w:pPr>
                    <w:pStyle w:val="28"/>
                    <w:rPr>
                      <w:highlight w:val="none"/>
                    </w:rPr>
                  </w:pPr>
                  <w:r>
                    <w:rPr>
                      <w:rFonts w:hint="eastAsia"/>
                      <w:highlight w:val="none"/>
                    </w:rPr>
                    <w:t>厂界上风向2米处（参照点）</w:t>
                  </w:r>
                </w:p>
              </w:tc>
              <w:tc>
                <w:tcPr>
                  <w:tcW w:w="1493" w:type="dxa"/>
                  <w:tcBorders>
                    <w:tl2br w:val="nil"/>
                    <w:tr2bl w:val="nil"/>
                  </w:tcBorders>
                  <w:vAlign w:val="center"/>
                </w:tcPr>
                <w:p w14:paraId="6DA5CF93">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0.10</w:t>
                  </w:r>
                </w:p>
              </w:tc>
              <w:tc>
                <w:tcPr>
                  <w:tcW w:w="1762" w:type="dxa"/>
                  <w:tcBorders>
                    <w:tl2br w:val="nil"/>
                    <w:tr2bl w:val="nil"/>
                  </w:tcBorders>
                  <w:vAlign w:val="center"/>
                </w:tcPr>
                <w:p w14:paraId="0D193B5B">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7.97×10</w:t>
                  </w:r>
                  <w:r>
                    <w:rPr>
                      <w:rFonts w:hint="default" w:ascii="Times New Roman" w:hAnsi="Times New Roman" w:eastAsia="宋体" w:cs="Times New Roman"/>
                      <w:kern w:val="2"/>
                      <w:sz w:val="21"/>
                      <w:szCs w:val="21"/>
                      <w:vertAlign w:val="superscript"/>
                      <w:lang w:val="en-US" w:eastAsia="zh-CN" w:bidi="ar-SA"/>
                    </w:rPr>
                    <w:t>-4</w:t>
                  </w:r>
                </w:p>
              </w:tc>
              <w:tc>
                <w:tcPr>
                  <w:tcW w:w="1521" w:type="dxa"/>
                  <w:tcBorders>
                    <w:tl2br w:val="nil"/>
                    <w:tr2bl w:val="nil"/>
                  </w:tcBorders>
                  <w:vAlign w:val="center"/>
                </w:tcPr>
                <w:p w14:paraId="1C06DCC4">
                  <w:pPr>
                    <w:pStyle w:val="28"/>
                    <w:rPr>
                      <w:rFonts w:hint="eastAsia" w:ascii="Times New Roman" w:hAnsi="Times New Roman" w:eastAsia="宋体" w:cs="Times New Roman"/>
                      <w:highlight w:val="none"/>
                    </w:rPr>
                  </w:pPr>
                  <w:r>
                    <w:rPr>
                      <w:rFonts w:hint="eastAsia" w:cs="Times New Roman"/>
                      <w:highlight w:val="none"/>
                      <w:lang w:val="en-US" w:eastAsia="zh-CN"/>
                    </w:rPr>
                    <w:t>&lt;</w:t>
                  </w:r>
                  <w:r>
                    <w:rPr>
                      <w:rFonts w:hint="eastAsia" w:ascii="Times New Roman" w:hAnsi="Times New Roman" w:eastAsia="宋体" w:cs="Times New Roman"/>
                      <w:highlight w:val="none"/>
                      <w:lang w:val="en-US" w:eastAsia="zh-CN"/>
                    </w:rPr>
                    <w:t>10</w:t>
                  </w:r>
                </w:p>
              </w:tc>
            </w:tr>
            <w:tr w14:paraId="5E87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6E77048B">
                  <w:pPr>
                    <w:pStyle w:val="28"/>
                    <w:rPr>
                      <w:highlight w:val="none"/>
                    </w:rPr>
                  </w:pPr>
                </w:p>
              </w:tc>
              <w:tc>
                <w:tcPr>
                  <w:tcW w:w="1248" w:type="pct"/>
                  <w:vMerge w:val="continue"/>
                  <w:tcBorders>
                    <w:tl2br w:val="nil"/>
                    <w:tr2bl w:val="nil"/>
                  </w:tcBorders>
                  <w:vAlign w:val="center"/>
                </w:tcPr>
                <w:p w14:paraId="66F63E22">
                  <w:pPr>
                    <w:pStyle w:val="28"/>
                    <w:rPr>
                      <w:highlight w:val="none"/>
                    </w:rPr>
                  </w:pPr>
                </w:p>
              </w:tc>
              <w:tc>
                <w:tcPr>
                  <w:tcW w:w="1493" w:type="dxa"/>
                  <w:tcBorders>
                    <w:tl2br w:val="nil"/>
                    <w:tr2bl w:val="nil"/>
                  </w:tcBorders>
                  <w:vAlign w:val="center"/>
                </w:tcPr>
                <w:p w14:paraId="0FBA7F16">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0.10</w:t>
                  </w:r>
                </w:p>
              </w:tc>
              <w:tc>
                <w:tcPr>
                  <w:tcW w:w="1762" w:type="dxa"/>
                  <w:tcBorders>
                    <w:tl2br w:val="nil"/>
                    <w:tr2bl w:val="nil"/>
                  </w:tcBorders>
                  <w:vAlign w:val="center"/>
                </w:tcPr>
                <w:p w14:paraId="00AA3594">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1.10×10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1CD6264A">
                  <w:pPr>
                    <w:pStyle w:val="28"/>
                    <w:rPr>
                      <w:rFonts w:hint="eastAsia" w:ascii="Times New Roman" w:hAnsi="Times New Roman" w:eastAsia="宋体" w:cs="Times New Roman"/>
                      <w:highlight w:val="none"/>
                    </w:rPr>
                  </w:pPr>
                  <w:r>
                    <w:rPr>
                      <w:rFonts w:hint="eastAsia" w:cs="Times New Roman"/>
                      <w:highlight w:val="none"/>
                      <w:lang w:val="en-US" w:eastAsia="zh-CN"/>
                    </w:rPr>
                    <w:t>&lt;</w:t>
                  </w:r>
                  <w:r>
                    <w:rPr>
                      <w:rFonts w:hint="eastAsia" w:ascii="Times New Roman" w:hAnsi="Times New Roman" w:eastAsia="宋体" w:cs="Times New Roman"/>
                      <w:highlight w:val="none"/>
                      <w:lang w:val="en-US" w:eastAsia="zh-CN"/>
                    </w:rPr>
                    <w:t>10</w:t>
                  </w:r>
                </w:p>
              </w:tc>
            </w:tr>
            <w:tr w14:paraId="1B02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16599727">
                  <w:pPr>
                    <w:pStyle w:val="28"/>
                    <w:rPr>
                      <w:highlight w:val="none"/>
                    </w:rPr>
                  </w:pPr>
                </w:p>
              </w:tc>
              <w:tc>
                <w:tcPr>
                  <w:tcW w:w="1248" w:type="pct"/>
                  <w:vMerge w:val="continue"/>
                  <w:tcBorders>
                    <w:tl2br w:val="nil"/>
                    <w:tr2bl w:val="nil"/>
                  </w:tcBorders>
                  <w:vAlign w:val="center"/>
                </w:tcPr>
                <w:p w14:paraId="06087DF3">
                  <w:pPr>
                    <w:pStyle w:val="28"/>
                    <w:rPr>
                      <w:highlight w:val="none"/>
                    </w:rPr>
                  </w:pPr>
                </w:p>
              </w:tc>
              <w:tc>
                <w:tcPr>
                  <w:tcW w:w="1493" w:type="dxa"/>
                  <w:tcBorders>
                    <w:tl2br w:val="nil"/>
                    <w:tr2bl w:val="nil"/>
                  </w:tcBorders>
                  <w:vAlign w:val="center"/>
                </w:tcPr>
                <w:p w14:paraId="0ED49165">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0.11</w:t>
                  </w:r>
                </w:p>
              </w:tc>
              <w:tc>
                <w:tcPr>
                  <w:tcW w:w="1762" w:type="dxa"/>
                  <w:tcBorders>
                    <w:tl2br w:val="nil"/>
                    <w:tr2bl w:val="nil"/>
                  </w:tcBorders>
                  <w:vAlign w:val="center"/>
                </w:tcPr>
                <w:p w14:paraId="0BDA996D">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1.71×10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5C3C93E2">
                  <w:pPr>
                    <w:pStyle w:val="28"/>
                    <w:rPr>
                      <w:rFonts w:hint="eastAsia" w:ascii="Times New Roman" w:hAnsi="Times New Roman" w:eastAsia="宋体" w:cs="Times New Roman"/>
                      <w:highlight w:val="none"/>
                    </w:rPr>
                  </w:pPr>
                  <w:r>
                    <w:rPr>
                      <w:rFonts w:hint="eastAsia" w:cs="Times New Roman"/>
                      <w:highlight w:val="none"/>
                      <w:lang w:val="en-US" w:eastAsia="zh-CN"/>
                    </w:rPr>
                    <w:t>&lt;</w:t>
                  </w:r>
                  <w:r>
                    <w:rPr>
                      <w:rFonts w:hint="eastAsia" w:ascii="Times New Roman" w:hAnsi="Times New Roman" w:eastAsia="宋体" w:cs="Times New Roman"/>
                      <w:highlight w:val="none"/>
                      <w:lang w:val="en-US" w:eastAsia="zh-CN"/>
                    </w:rPr>
                    <w:t>10</w:t>
                  </w:r>
                </w:p>
              </w:tc>
            </w:tr>
            <w:tr w14:paraId="422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3BE56FAA">
                  <w:pPr>
                    <w:pStyle w:val="28"/>
                    <w:rPr>
                      <w:highlight w:val="none"/>
                    </w:rPr>
                  </w:pPr>
                </w:p>
              </w:tc>
              <w:tc>
                <w:tcPr>
                  <w:tcW w:w="1248" w:type="pct"/>
                  <w:vMerge w:val="continue"/>
                  <w:tcBorders>
                    <w:tl2br w:val="nil"/>
                    <w:tr2bl w:val="nil"/>
                  </w:tcBorders>
                  <w:vAlign w:val="center"/>
                </w:tcPr>
                <w:p w14:paraId="6BF98E65">
                  <w:pPr>
                    <w:pStyle w:val="28"/>
                    <w:rPr>
                      <w:highlight w:val="none"/>
                    </w:rPr>
                  </w:pPr>
                </w:p>
              </w:tc>
              <w:tc>
                <w:tcPr>
                  <w:tcW w:w="1493" w:type="dxa"/>
                  <w:tcBorders>
                    <w:tl2br w:val="nil"/>
                    <w:tr2bl w:val="nil"/>
                  </w:tcBorders>
                  <w:vAlign w:val="center"/>
                </w:tcPr>
                <w:p w14:paraId="5FD89706">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0.09</w:t>
                  </w:r>
                </w:p>
              </w:tc>
              <w:tc>
                <w:tcPr>
                  <w:tcW w:w="1762" w:type="dxa"/>
                  <w:tcBorders>
                    <w:tl2br w:val="nil"/>
                    <w:tr2bl w:val="nil"/>
                  </w:tcBorders>
                  <w:vAlign w:val="center"/>
                </w:tcPr>
                <w:p w14:paraId="1326B566">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2.32×10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4F09B2F7">
                  <w:pPr>
                    <w:pStyle w:val="28"/>
                    <w:rPr>
                      <w:rFonts w:hint="eastAsia" w:ascii="Times New Roman" w:hAnsi="Times New Roman" w:eastAsia="宋体" w:cs="Times New Roman"/>
                      <w:highlight w:val="none"/>
                    </w:rPr>
                  </w:pPr>
                  <w:r>
                    <w:rPr>
                      <w:rFonts w:hint="eastAsia" w:cs="Times New Roman"/>
                      <w:highlight w:val="none"/>
                      <w:lang w:val="en-US" w:eastAsia="zh-CN"/>
                    </w:rPr>
                    <w:t>&lt;</w:t>
                  </w:r>
                  <w:r>
                    <w:rPr>
                      <w:rFonts w:hint="eastAsia" w:ascii="Times New Roman" w:hAnsi="Times New Roman" w:eastAsia="宋体" w:cs="Times New Roman"/>
                      <w:highlight w:val="none"/>
                      <w:lang w:val="en-US" w:eastAsia="zh-CN"/>
                    </w:rPr>
                    <w:t>10</w:t>
                  </w:r>
                </w:p>
              </w:tc>
            </w:tr>
            <w:tr w14:paraId="0B97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69177212">
                  <w:pPr>
                    <w:pStyle w:val="28"/>
                    <w:rPr>
                      <w:highlight w:val="none"/>
                    </w:rPr>
                  </w:pPr>
                </w:p>
              </w:tc>
              <w:tc>
                <w:tcPr>
                  <w:tcW w:w="1248" w:type="pct"/>
                  <w:vMerge w:val="restart"/>
                  <w:tcBorders>
                    <w:tl2br w:val="nil"/>
                    <w:tr2bl w:val="nil"/>
                  </w:tcBorders>
                  <w:vAlign w:val="center"/>
                </w:tcPr>
                <w:p w14:paraId="438002AB">
                  <w:pPr>
                    <w:pStyle w:val="28"/>
                    <w:rPr>
                      <w:highlight w:val="none"/>
                    </w:rPr>
                  </w:pPr>
                  <w:r>
                    <w:rPr>
                      <w:rFonts w:hint="eastAsia"/>
                      <w:highlight w:val="none"/>
                    </w:rPr>
                    <w:t>厂界下风向2米处（1#）</w:t>
                  </w:r>
                </w:p>
              </w:tc>
              <w:tc>
                <w:tcPr>
                  <w:tcW w:w="1493" w:type="dxa"/>
                  <w:tcBorders>
                    <w:tl2br w:val="nil"/>
                    <w:tr2bl w:val="nil"/>
                  </w:tcBorders>
                  <w:vAlign w:val="center"/>
                </w:tcPr>
                <w:p w14:paraId="20F323B4">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0.17</w:t>
                  </w:r>
                </w:p>
              </w:tc>
              <w:tc>
                <w:tcPr>
                  <w:tcW w:w="1762" w:type="dxa"/>
                  <w:tcBorders>
                    <w:tl2br w:val="nil"/>
                    <w:tr2bl w:val="nil"/>
                  </w:tcBorders>
                  <w:vAlign w:val="center"/>
                </w:tcPr>
                <w:p w14:paraId="2AAD721B">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5.34×10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5AFF34BF">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16</w:t>
                  </w:r>
                </w:p>
              </w:tc>
            </w:tr>
            <w:tr w14:paraId="407A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4C332576">
                  <w:pPr>
                    <w:pStyle w:val="28"/>
                    <w:rPr>
                      <w:highlight w:val="none"/>
                    </w:rPr>
                  </w:pPr>
                </w:p>
              </w:tc>
              <w:tc>
                <w:tcPr>
                  <w:tcW w:w="1248" w:type="pct"/>
                  <w:vMerge w:val="continue"/>
                  <w:tcBorders>
                    <w:tl2br w:val="nil"/>
                    <w:tr2bl w:val="nil"/>
                  </w:tcBorders>
                  <w:vAlign w:val="center"/>
                </w:tcPr>
                <w:p w14:paraId="6131010C">
                  <w:pPr>
                    <w:pStyle w:val="28"/>
                    <w:rPr>
                      <w:highlight w:val="none"/>
                    </w:rPr>
                  </w:pPr>
                </w:p>
              </w:tc>
              <w:tc>
                <w:tcPr>
                  <w:tcW w:w="1493" w:type="dxa"/>
                  <w:tcBorders>
                    <w:tl2br w:val="nil"/>
                    <w:tr2bl w:val="nil"/>
                  </w:tcBorders>
                  <w:vAlign w:val="center"/>
                </w:tcPr>
                <w:p w14:paraId="300219C1">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0.16</w:t>
                  </w:r>
                </w:p>
              </w:tc>
              <w:tc>
                <w:tcPr>
                  <w:tcW w:w="1762" w:type="dxa"/>
                  <w:tcBorders>
                    <w:tl2br w:val="nil"/>
                    <w:tr2bl w:val="nil"/>
                  </w:tcBorders>
                  <w:vAlign w:val="center"/>
                </w:tcPr>
                <w:p w14:paraId="5BA2C645">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5.67×10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0E9D3802">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17</w:t>
                  </w:r>
                </w:p>
              </w:tc>
            </w:tr>
            <w:tr w14:paraId="5EE0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343FAA67">
                  <w:pPr>
                    <w:pStyle w:val="28"/>
                    <w:rPr>
                      <w:highlight w:val="none"/>
                    </w:rPr>
                  </w:pPr>
                </w:p>
              </w:tc>
              <w:tc>
                <w:tcPr>
                  <w:tcW w:w="1248" w:type="pct"/>
                  <w:vMerge w:val="continue"/>
                  <w:tcBorders>
                    <w:tl2br w:val="nil"/>
                    <w:tr2bl w:val="nil"/>
                  </w:tcBorders>
                  <w:vAlign w:val="center"/>
                </w:tcPr>
                <w:p w14:paraId="09790A10">
                  <w:pPr>
                    <w:pStyle w:val="28"/>
                    <w:rPr>
                      <w:highlight w:val="none"/>
                    </w:rPr>
                  </w:pPr>
                </w:p>
              </w:tc>
              <w:tc>
                <w:tcPr>
                  <w:tcW w:w="1493" w:type="dxa"/>
                  <w:tcBorders>
                    <w:tl2br w:val="nil"/>
                    <w:tr2bl w:val="nil"/>
                  </w:tcBorders>
                  <w:vAlign w:val="center"/>
                </w:tcPr>
                <w:p w14:paraId="0383B6B9">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0.15</w:t>
                  </w:r>
                </w:p>
              </w:tc>
              <w:tc>
                <w:tcPr>
                  <w:tcW w:w="1762" w:type="dxa"/>
                  <w:tcBorders>
                    <w:tl2br w:val="nil"/>
                    <w:tr2bl w:val="nil"/>
                  </w:tcBorders>
                  <w:vAlign w:val="center"/>
                </w:tcPr>
                <w:p w14:paraId="6F057F71">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4.45×10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40F700A5">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16</w:t>
                  </w:r>
                </w:p>
              </w:tc>
            </w:tr>
            <w:tr w14:paraId="0EF5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6927AA9A">
                  <w:pPr>
                    <w:pStyle w:val="28"/>
                    <w:rPr>
                      <w:highlight w:val="none"/>
                    </w:rPr>
                  </w:pPr>
                </w:p>
              </w:tc>
              <w:tc>
                <w:tcPr>
                  <w:tcW w:w="1248" w:type="pct"/>
                  <w:vMerge w:val="continue"/>
                  <w:tcBorders>
                    <w:tl2br w:val="nil"/>
                    <w:tr2bl w:val="nil"/>
                  </w:tcBorders>
                  <w:vAlign w:val="center"/>
                </w:tcPr>
                <w:p w14:paraId="31C8BF39">
                  <w:pPr>
                    <w:pStyle w:val="28"/>
                    <w:rPr>
                      <w:highlight w:val="none"/>
                    </w:rPr>
                  </w:pPr>
                </w:p>
              </w:tc>
              <w:tc>
                <w:tcPr>
                  <w:tcW w:w="1493" w:type="dxa"/>
                  <w:tcBorders>
                    <w:tl2br w:val="nil"/>
                    <w:tr2bl w:val="nil"/>
                  </w:tcBorders>
                  <w:vAlign w:val="center"/>
                </w:tcPr>
                <w:p w14:paraId="7D5CA90C">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0.15</w:t>
                  </w:r>
                </w:p>
              </w:tc>
              <w:tc>
                <w:tcPr>
                  <w:tcW w:w="1762" w:type="dxa"/>
                  <w:tcBorders>
                    <w:tl2br w:val="nil"/>
                    <w:tr2bl w:val="nil"/>
                  </w:tcBorders>
                  <w:vAlign w:val="center"/>
                </w:tcPr>
                <w:p w14:paraId="66CE2C2A">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6.28×10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0E813C60">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15</w:t>
                  </w:r>
                </w:p>
              </w:tc>
            </w:tr>
            <w:tr w14:paraId="2B88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096C8EB5">
                  <w:pPr>
                    <w:pStyle w:val="28"/>
                    <w:rPr>
                      <w:highlight w:val="none"/>
                    </w:rPr>
                  </w:pPr>
                </w:p>
              </w:tc>
              <w:tc>
                <w:tcPr>
                  <w:tcW w:w="1248" w:type="pct"/>
                  <w:vMerge w:val="restart"/>
                  <w:tcBorders>
                    <w:tl2br w:val="nil"/>
                    <w:tr2bl w:val="nil"/>
                  </w:tcBorders>
                  <w:vAlign w:val="center"/>
                </w:tcPr>
                <w:p w14:paraId="24AB72E6">
                  <w:pPr>
                    <w:pStyle w:val="28"/>
                    <w:rPr>
                      <w:highlight w:val="none"/>
                    </w:rPr>
                  </w:pPr>
                  <w:r>
                    <w:rPr>
                      <w:rFonts w:hint="eastAsia"/>
                      <w:highlight w:val="none"/>
                    </w:rPr>
                    <w:t>厂界下风向2米处（2#）</w:t>
                  </w:r>
                </w:p>
              </w:tc>
              <w:tc>
                <w:tcPr>
                  <w:tcW w:w="1493" w:type="dxa"/>
                  <w:tcBorders>
                    <w:tl2br w:val="nil"/>
                    <w:tr2bl w:val="nil"/>
                  </w:tcBorders>
                  <w:vAlign w:val="center"/>
                </w:tcPr>
                <w:p w14:paraId="60639D6C">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0.16</w:t>
                  </w:r>
                </w:p>
              </w:tc>
              <w:tc>
                <w:tcPr>
                  <w:tcW w:w="1762" w:type="dxa"/>
                  <w:tcBorders>
                    <w:tl2br w:val="nil"/>
                    <w:tr2bl w:val="nil"/>
                  </w:tcBorders>
                  <w:vAlign w:val="center"/>
                </w:tcPr>
                <w:p w14:paraId="689B1717">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7.77×10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20D1CBE9">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17</w:t>
                  </w:r>
                </w:p>
              </w:tc>
            </w:tr>
            <w:tr w14:paraId="04BC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2DF56B8F">
                  <w:pPr>
                    <w:pStyle w:val="28"/>
                    <w:rPr>
                      <w:highlight w:val="none"/>
                    </w:rPr>
                  </w:pPr>
                </w:p>
              </w:tc>
              <w:tc>
                <w:tcPr>
                  <w:tcW w:w="1248" w:type="pct"/>
                  <w:vMerge w:val="continue"/>
                  <w:tcBorders>
                    <w:tl2br w:val="nil"/>
                    <w:tr2bl w:val="nil"/>
                  </w:tcBorders>
                  <w:vAlign w:val="center"/>
                </w:tcPr>
                <w:p w14:paraId="3B2C12EF">
                  <w:pPr>
                    <w:pStyle w:val="28"/>
                    <w:rPr>
                      <w:highlight w:val="none"/>
                    </w:rPr>
                  </w:pPr>
                </w:p>
              </w:tc>
              <w:tc>
                <w:tcPr>
                  <w:tcW w:w="1493" w:type="dxa"/>
                  <w:tcBorders>
                    <w:tl2br w:val="nil"/>
                    <w:tr2bl w:val="nil"/>
                  </w:tcBorders>
                  <w:vAlign w:val="center"/>
                </w:tcPr>
                <w:p w14:paraId="24DF2754">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0.16</w:t>
                  </w:r>
                </w:p>
              </w:tc>
              <w:tc>
                <w:tcPr>
                  <w:tcW w:w="1762" w:type="dxa"/>
                  <w:tcBorders>
                    <w:tl2br w:val="nil"/>
                    <w:tr2bl w:val="nil"/>
                  </w:tcBorders>
                  <w:vAlign w:val="center"/>
                </w:tcPr>
                <w:p w14:paraId="1FF48674">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8.41×10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02D6C7D1">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16</w:t>
                  </w:r>
                </w:p>
              </w:tc>
            </w:tr>
            <w:tr w14:paraId="052B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4728F3CF">
                  <w:pPr>
                    <w:pStyle w:val="28"/>
                    <w:rPr>
                      <w:highlight w:val="none"/>
                    </w:rPr>
                  </w:pPr>
                </w:p>
              </w:tc>
              <w:tc>
                <w:tcPr>
                  <w:tcW w:w="1248" w:type="pct"/>
                  <w:vMerge w:val="continue"/>
                  <w:tcBorders>
                    <w:tl2br w:val="nil"/>
                    <w:tr2bl w:val="nil"/>
                  </w:tcBorders>
                  <w:vAlign w:val="center"/>
                </w:tcPr>
                <w:p w14:paraId="091E200A">
                  <w:pPr>
                    <w:pStyle w:val="28"/>
                    <w:rPr>
                      <w:highlight w:val="none"/>
                    </w:rPr>
                  </w:pPr>
                </w:p>
              </w:tc>
              <w:tc>
                <w:tcPr>
                  <w:tcW w:w="1493" w:type="dxa"/>
                  <w:tcBorders>
                    <w:tl2br w:val="nil"/>
                    <w:tr2bl w:val="nil"/>
                  </w:tcBorders>
                  <w:vAlign w:val="center"/>
                </w:tcPr>
                <w:p w14:paraId="63BFCDA3">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0.15</w:t>
                  </w:r>
                </w:p>
              </w:tc>
              <w:tc>
                <w:tcPr>
                  <w:tcW w:w="1762" w:type="dxa"/>
                  <w:tcBorders>
                    <w:tl2br w:val="nil"/>
                    <w:tr2bl w:val="nil"/>
                  </w:tcBorders>
                  <w:vAlign w:val="center"/>
                </w:tcPr>
                <w:p w14:paraId="5040D449">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7.19×10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621CC7D7">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17</w:t>
                  </w:r>
                </w:p>
              </w:tc>
            </w:tr>
            <w:tr w14:paraId="34F4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6B82829E">
                  <w:pPr>
                    <w:pStyle w:val="28"/>
                    <w:rPr>
                      <w:highlight w:val="none"/>
                    </w:rPr>
                  </w:pPr>
                </w:p>
              </w:tc>
              <w:tc>
                <w:tcPr>
                  <w:tcW w:w="1248" w:type="pct"/>
                  <w:vMerge w:val="continue"/>
                  <w:tcBorders>
                    <w:tl2br w:val="nil"/>
                    <w:tr2bl w:val="nil"/>
                  </w:tcBorders>
                  <w:vAlign w:val="center"/>
                </w:tcPr>
                <w:p w14:paraId="08D9E1C3">
                  <w:pPr>
                    <w:pStyle w:val="28"/>
                    <w:rPr>
                      <w:highlight w:val="none"/>
                    </w:rPr>
                  </w:pPr>
                </w:p>
              </w:tc>
              <w:tc>
                <w:tcPr>
                  <w:tcW w:w="1493" w:type="dxa"/>
                  <w:tcBorders>
                    <w:tl2br w:val="nil"/>
                    <w:tr2bl w:val="nil"/>
                  </w:tcBorders>
                  <w:vAlign w:val="center"/>
                </w:tcPr>
                <w:p w14:paraId="29B69AC8">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0.15</w:t>
                  </w:r>
                </w:p>
              </w:tc>
              <w:tc>
                <w:tcPr>
                  <w:tcW w:w="1762" w:type="dxa"/>
                  <w:tcBorders>
                    <w:tl2br w:val="nil"/>
                    <w:tr2bl w:val="nil"/>
                  </w:tcBorders>
                  <w:vAlign w:val="center"/>
                </w:tcPr>
                <w:p w14:paraId="5D5CB32F">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9.63×10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48530BAF">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14</w:t>
                  </w:r>
                </w:p>
              </w:tc>
            </w:tr>
            <w:tr w14:paraId="2081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1150EB3F">
                  <w:pPr>
                    <w:pStyle w:val="28"/>
                    <w:rPr>
                      <w:highlight w:val="none"/>
                    </w:rPr>
                  </w:pPr>
                </w:p>
              </w:tc>
              <w:tc>
                <w:tcPr>
                  <w:tcW w:w="1248" w:type="pct"/>
                  <w:vMerge w:val="restart"/>
                  <w:tcBorders>
                    <w:tl2br w:val="nil"/>
                    <w:tr2bl w:val="nil"/>
                  </w:tcBorders>
                  <w:vAlign w:val="center"/>
                </w:tcPr>
                <w:p w14:paraId="685D7D24">
                  <w:pPr>
                    <w:pStyle w:val="28"/>
                    <w:rPr>
                      <w:highlight w:val="none"/>
                    </w:rPr>
                  </w:pPr>
                  <w:r>
                    <w:rPr>
                      <w:rFonts w:hint="eastAsia"/>
                      <w:highlight w:val="none"/>
                    </w:rPr>
                    <w:t>厂界下风向2米处（3#）</w:t>
                  </w:r>
                </w:p>
              </w:tc>
              <w:tc>
                <w:tcPr>
                  <w:tcW w:w="1493" w:type="dxa"/>
                  <w:tcBorders>
                    <w:tl2br w:val="nil"/>
                    <w:tr2bl w:val="nil"/>
                  </w:tcBorders>
                  <w:vAlign w:val="center"/>
                </w:tcPr>
                <w:p w14:paraId="6596C330">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0.18</w:t>
                  </w:r>
                </w:p>
              </w:tc>
              <w:tc>
                <w:tcPr>
                  <w:tcW w:w="1762" w:type="dxa"/>
                  <w:tcBorders>
                    <w:tl2br w:val="nil"/>
                    <w:tr2bl w:val="nil"/>
                  </w:tcBorders>
                  <w:vAlign w:val="center"/>
                </w:tcPr>
                <w:p w14:paraId="63CB04F7">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7.77×10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7E8A7395">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16</w:t>
                  </w:r>
                </w:p>
              </w:tc>
            </w:tr>
            <w:tr w14:paraId="3341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15752CDF">
                  <w:pPr>
                    <w:pStyle w:val="28"/>
                    <w:rPr>
                      <w:highlight w:val="none"/>
                    </w:rPr>
                  </w:pPr>
                </w:p>
              </w:tc>
              <w:tc>
                <w:tcPr>
                  <w:tcW w:w="1248" w:type="pct"/>
                  <w:vMerge w:val="continue"/>
                  <w:tcBorders>
                    <w:tl2br w:val="nil"/>
                    <w:tr2bl w:val="nil"/>
                  </w:tcBorders>
                  <w:vAlign w:val="center"/>
                </w:tcPr>
                <w:p w14:paraId="4B471F82">
                  <w:pPr>
                    <w:pStyle w:val="28"/>
                    <w:rPr>
                      <w:highlight w:val="none"/>
                    </w:rPr>
                  </w:pPr>
                </w:p>
              </w:tc>
              <w:tc>
                <w:tcPr>
                  <w:tcW w:w="1493" w:type="dxa"/>
                  <w:tcBorders>
                    <w:tl2br w:val="nil"/>
                    <w:tr2bl w:val="nil"/>
                  </w:tcBorders>
                  <w:vAlign w:val="center"/>
                </w:tcPr>
                <w:p w14:paraId="0290966C">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0.17</w:t>
                  </w:r>
                </w:p>
              </w:tc>
              <w:tc>
                <w:tcPr>
                  <w:tcW w:w="1762" w:type="dxa"/>
                  <w:tcBorders>
                    <w:tl2br w:val="nil"/>
                    <w:tr2bl w:val="nil"/>
                  </w:tcBorders>
                  <w:vAlign w:val="center"/>
                </w:tcPr>
                <w:p w14:paraId="7FE758B0">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7.19×10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694265A1">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15</w:t>
                  </w:r>
                </w:p>
              </w:tc>
            </w:tr>
            <w:tr w14:paraId="2FC8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79CF41C1">
                  <w:pPr>
                    <w:pStyle w:val="28"/>
                    <w:rPr>
                      <w:highlight w:val="none"/>
                    </w:rPr>
                  </w:pPr>
                </w:p>
              </w:tc>
              <w:tc>
                <w:tcPr>
                  <w:tcW w:w="1248" w:type="pct"/>
                  <w:vMerge w:val="continue"/>
                  <w:tcBorders>
                    <w:tl2br w:val="nil"/>
                    <w:tr2bl w:val="nil"/>
                  </w:tcBorders>
                  <w:vAlign w:val="center"/>
                </w:tcPr>
                <w:p w14:paraId="1F1A753D">
                  <w:pPr>
                    <w:pStyle w:val="28"/>
                    <w:rPr>
                      <w:highlight w:val="none"/>
                    </w:rPr>
                  </w:pPr>
                </w:p>
              </w:tc>
              <w:tc>
                <w:tcPr>
                  <w:tcW w:w="1493" w:type="dxa"/>
                  <w:tcBorders>
                    <w:tl2br w:val="nil"/>
                    <w:tr2bl w:val="nil"/>
                  </w:tcBorders>
                  <w:vAlign w:val="center"/>
                </w:tcPr>
                <w:p w14:paraId="55105CD5">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0.19</w:t>
                  </w:r>
                </w:p>
              </w:tc>
              <w:tc>
                <w:tcPr>
                  <w:tcW w:w="1762" w:type="dxa"/>
                  <w:tcBorders>
                    <w:tl2br w:val="nil"/>
                    <w:tr2bl w:val="nil"/>
                  </w:tcBorders>
                  <w:vAlign w:val="center"/>
                </w:tcPr>
                <w:p w14:paraId="6FC62FA4">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6.28×10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211EA5BC">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16</w:t>
                  </w:r>
                </w:p>
              </w:tc>
            </w:tr>
            <w:tr w14:paraId="5324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47683D4E">
                  <w:pPr>
                    <w:pStyle w:val="28"/>
                    <w:rPr>
                      <w:highlight w:val="none"/>
                    </w:rPr>
                  </w:pPr>
                </w:p>
              </w:tc>
              <w:tc>
                <w:tcPr>
                  <w:tcW w:w="1248" w:type="pct"/>
                  <w:vMerge w:val="continue"/>
                  <w:tcBorders>
                    <w:tl2br w:val="nil"/>
                    <w:tr2bl w:val="nil"/>
                  </w:tcBorders>
                  <w:vAlign w:val="center"/>
                </w:tcPr>
                <w:p w14:paraId="0504C490">
                  <w:pPr>
                    <w:pStyle w:val="28"/>
                    <w:rPr>
                      <w:highlight w:val="none"/>
                    </w:rPr>
                  </w:pPr>
                </w:p>
              </w:tc>
              <w:tc>
                <w:tcPr>
                  <w:tcW w:w="1493" w:type="dxa"/>
                  <w:tcBorders>
                    <w:tl2br w:val="nil"/>
                    <w:tr2bl w:val="nil"/>
                  </w:tcBorders>
                  <w:vAlign w:val="center"/>
                </w:tcPr>
                <w:p w14:paraId="22F57905">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0.18</w:t>
                  </w:r>
                </w:p>
              </w:tc>
              <w:tc>
                <w:tcPr>
                  <w:tcW w:w="1762" w:type="dxa"/>
                  <w:tcBorders>
                    <w:tl2br w:val="nil"/>
                    <w:tr2bl w:val="nil"/>
                  </w:tcBorders>
                  <w:vAlign w:val="center"/>
                </w:tcPr>
                <w:p w14:paraId="3E306AD7">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kern w:val="2"/>
                      <w:sz w:val="21"/>
                      <w:szCs w:val="21"/>
                      <w:lang w:val="en-US" w:eastAsia="zh-CN" w:bidi="ar-SA"/>
                    </w:rPr>
                    <w:t>8.71×10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627F9285">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16</w:t>
                  </w:r>
                </w:p>
              </w:tc>
            </w:tr>
            <w:tr w14:paraId="75E5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restart"/>
                  <w:tcBorders>
                    <w:tl2br w:val="nil"/>
                    <w:tr2bl w:val="nil"/>
                  </w:tcBorders>
                  <w:vAlign w:val="center"/>
                </w:tcPr>
                <w:p w14:paraId="488D83F5">
                  <w:pPr>
                    <w:pStyle w:val="28"/>
                    <w:rPr>
                      <w:highlight w:val="none"/>
                    </w:rPr>
                  </w:pPr>
                  <w:r>
                    <w:rPr>
                      <w:rFonts w:hint="eastAsia"/>
                      <w:highlight w:val="none"/>
                    </w:rPr>
                    <w:t>2025年2月18日</w:t>
                  </w:r>
                </w:p>
              </w:tc>
              <w:tc>
                <w:tcPr>
                  <w:tcW w:w="1248" w:type="pct"/>
                  <w:vMerge w:val="restart"/>
                  <w:tcBorders>
                    <w:tl2br w:val="nil"/>
                    <w:tr2bl w:val="nil"/>
                  </w:tcBorders>
                  <w:vAlign w:val="center"/>
                </w:tcPr>
                <w:p w14:paraId="780C3B79">
                  <w:pPr>
                    <w:pStyle w:val="28"/>
                    <w:rPr>
                      <w:highlight w:val="none"/>
                    </w:rPr>
                  </w:pPr>
                  <w:r>
                    <w:rPr>
                      <w:rFonts w:hint="eastAsia"/>
                      <w:highlight w:val="none"/>
                    </w:rPr>
                    <w:t>厂界上风向2米处（参照点）</w:t>
                  </w:r>
                </w:p>
              </w:tc>
              <w:tc>
                <w:tcPr>
                  <w:tcW w:w="1493" w:type="dxa"/>
                  <w:tcBorders>
                    <w:tl2br w:val="nil"/>
                    <w:tr2bl w:val="nil"/>
                  </w:tcBorders>
                  <w:vAlign w:val="center"/>
                </w:tcPr>
                <w:p w14:paraId="08527943">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0.09</w:t>
                  </w:r>
                </w:p>
              </w:tc>
              <w:tc>
                <w:tcPr>
                  <w:tcW w:w="1762" w:type="dxa"/>
                  <w:tcBorders>
                    <w:tl2br w:val="nil"/>
                    <w:tr2bl w:val="nil"/>
                  </w:tcBorders>
                  <w:vAlign w:val="center"/>
                </w:tcPr>
                <w:p w14:paraId="5F02ACD2">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4.15×10</w:t>
                  </w:r>
                  <w:r>
                    <w:rPr>
                      <w:rFonts w:hint="default" w:ascii="Times New Roman" w:hAnsi="Times New Roman" w:eastAsia="宋体" w:cs="Times New Roman"/>
                      <w:kern w:val="2"/>
                      <w:sz w:val="21"/>
                      <w:szCs w:val="21"/>
                      <w:vertAlign w:val="superscript"/>
                      <w:lang w:val="en-US" w:eastAsia="zh-CN" w:bidi="ar-SA"/>
                    </w:rPr>
                    <w:t>-4</w:t>
                  </w:r>
                </w:p>
              </w:tc>
              <w:tc>
                <w:tcPr>
                  <w:tcW w:w="1521" w:type="dxa"/>
                  <w:tcBorders>
                    <w:tl2br w:val="nil"/>
                    <w:tr2bl w:val="nil"/>
                  </w:tcBorders>
                  <w:vAlign w:val="center"/>
                </w:tcPr>
                <w:p w14:paraId="04ACD7F3">
                  <w:pPr>
                    <w:pStyle w:val="28"/>
                    <w:rPr>
                      <w:rFonts w:hint="default" w:ascii="Times New Roman" w:hAnsi="Times New Roman" w:eastAsia="宋体" w:cs="Times New Roman"/>
                      <w:highlight w:val="none"/>
                      <w:lang w:val="en-US" w:eastAsia="zh-CN"/>
                    </w:rPr>
                  </w:pPr>
                  <w:r>
                    <w:rPr>
                      <w:rFonts w:hint="eastAsia" w:cs="Times New Roman"/>
                      <w:highlight w:val="none"/>
                      <w:lang w:val="en-US" w:eastAsia="zh-CN"/>
                    </w:rPr>
                    <w:t>&lt;</w:t>
                  </w:r>
                  <w:r>
                    <w:rPr>
                      <w:rFonts w:hint="eastAsia" w:ascii="Times New Roman" w:hAnsi="Times New Roman" w:eastAsia="宋体" w:cs="Times New Roman"/>
                      <w:highlight w:val="none"/>
                      <w:lang w:val="en-US" w:eastAsia="zh-CN"/>
                    </w:rPr>
                    <w:t>10</w:t>
                  </w:r>
                </w:p>
              </w:tc>
            </w:tr>
            <w:tr w14:paraId="558B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7357F175">
                  <w:pPr>
                    <w:pStyle w:val="28"/>
                    <w:rPr>
                      <w:highlight w:val="none"/>
                    </w:rPr>
                  </w:pPr>
                </w:p>
              </w:tc>
              <w:tc>
                <w:tcPr>
                  <w:tcW w:w="1248" w:type="pct"/>
                  <w:vMerge w:val="continue"/>
                  <w:tcBorders>
                    <w:tl2br w:val="nil"/>
                    <w:tr2bl w:val="nil"/>
                  </w:tcBorders>
                  <w:vAlign w:val="center"/>
                </w:tcPr>
                <w:p w14:paraId="0FD714CF">
                  <w:pPr>
                    <w:pStyle w:val="28"/>
                    <w:rPr>
                      <w:highlight w:val="none"/>
                    </w:rPr>
                  </w:pPr>
                </w:p>
              </w:tc>
              <w:tc>
                <w:tcPr>
                  <w:tcW w:w="1493" w:type="dxa"/>
                  <w:tcBorders>
                    <w:tl2br w:val="nil"/>
                    <w:tr2bl w:val="nil"/>
                  </w:tcBorders>
                  <w:vAlign w:val="center"/>
                </w:tcPr>
                <w:p w14:paraId="4946140D">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0.10</w:t>
                  </w:r>
                </w:p>
              </w:tc>
              <w:tc>
                <w:tcPr>
                  <w:tcW w:w="1762" w:type="dxa"/>
                  <w:tcBorders>
                    <w:tl2br w:val="nil"/>
                    <w:tr2bl w:val="nil"/>
                  </w:tcBorders>
                  <w:vAlign w:val="center"/>
                </w:tcPr>
                <w:p w14:paraId="207C222C">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1.02×10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5537B797">
                  <w:pPr>
                    <w:pStyle w:val="28"/>
                    <w:rPr>
                      <w:rFonts w:hint="default" w:ascii="Times New Roman" w:hAnsi="Times New Roman" w:eastAsia="宋体" w:cs="Times New Roman"/>
                      <w:highlight w:val="none"/>
                      <w:lang w:val="en-US" w:eastAsia="zh-CN"/>
                    </w:rPr>
                  </w:pPr>
                  <w:r>
                    <w:rPr>
                      <w:rFonts w:hint="eastAsia" w:cs="Times New Roman"/>
                      <w:highlight w:val="none"/>
                      <w:lang w:val="en-US" w:eastAsia="zh-CN"/>
                    </w:rPr>
                    <w:t>&lt;</w:t>
                  </w:r>
                  <w:r>
                    <w:rPr>
                      <w:rFonts w:hint="eastAsia" w:ascii="Times New Roman" w:hAnsi="Times New Roman" w:eastAsia="宋体" w:cs="Times New Roman"/>
                      <w:highlight w:val="none"/>
                      <w:lang w:val="en-US" w:eastAsia="zh-CN"/>
                    </w:rPr>
                    <w:t>10</w:t>
                  </w:r>
                </w:p>
              </w:tc>
            </w:tr>
            <w:tr w14:paraId="07A8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5347AE10">
                  <w:pPr>
                    <w:pStyle w:val="28"/>
                    <w:rPr>
                      <w:highlight w:val="none"/>
                    </w:rPr>
                  </w:pPr>
                </w:p>
              </w:tc>
              <w:tc>
                <w:tcPr>
                  <w:tcW w:w="1248" w:type="pct"/>
                  <w:vMerge w:val="continue"/>
                  <w:tcBorders>
                    <w:tl2br w:val="nil"/>
                    <w:tr2bl w:val="nil"/>
                  </w:tcBorders>
                  <w:vAlign w:val="center"/>
                </w:tcPr>
                <w:p w14:paraId="7FED77F9">
                  <w:pPr>
                    <w:pStyle w:val="28"/>
                    <w:rPr>
                      <w:highlight w:val="none"/>
                    </w:rPr>
                  </w:pPr>
                </w:p>
              </w:tc>
              <w:tc>
                <w:tcPr>
                  <w:tcW w:w="1493" w:type="dxa"/>
                  <w:tcBorders>
                    <w:tl2br w:val="nil"/>
                    <w:tr2bl w:val="nil"/>
                  </w:tcBorders>
                  <w:vAlign w:val="center"/>
                </w:tcPr>
                <w:p w14:paraId="54207554">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0.09</w:t>
                  </w:r>
                </w:p>
              </w:tc>
              <w:tc>
                <w:tcPr>
                  <w:tcW w:w="1762" w:type="dxa"/>
                  <w:tcBorders>
                    <w:tl2br w:val="nil"/>
                    <w:tr2bl w:val="nil"/>
                  </w:tcBorders>
                  <w:vAlign w:val="center"/>
                </w:tcPr>
                <w:p w14:paraId="7C420AAD">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1.15×10</w:t>
                  </w:r>
                  <w:r>
                    <w:rPr>
                      <w:rFonts w:hint="default" w:ascii="Times New Roman" w:hAnsi="Times New Roman" w:eastAsia="宋体" w:cs="Times New Roman"/>
                      <w:kern w:val="2"/>
                      <w:sz w:val="21"/>
                      <w:szCs w:val="21"/>
                      <w:vertAlign w:val="superscript"/>
                      <w:lang w:val="en-US" w:eastAsia="zh-CN" w:bidi="ar-SA"/>
                    </w:rPr>
                    <w:t>-4</w:t>
                  </w:r>
                </w:p>
              </w:tc>
              <w:tc>
                <w:tcPr>
                  <w:tcW w:w="1521" w:type="dxa"/>
                  <w:tcBorders>
                    <w:tl2br w:val="nil"/>
                    <w:tr2bl w:val="nil"/>
                  </w:tcBorders>
                  <w:vAlign w:val="center"/>
                </w:tcPr>
                <w:p w14:paraId="0CA09606">
                  <w:pPr>
                    <w:pStyle w:val="28"/>
                    <w:rPr>
                      <w:rFonts w:hint="default" w:ascii="Times New Roman" w:hAnsi="Times New Roman" w:eastAsia="宋体" w:cs="Times New Roman"/>
                      <w:highlight w:val="none"/>
                      <w:lang w:val="en-US" w:eastAsia="zh-CN"/>
                    </w:rPr>
                  </w:pPr>
                  <w:r>
                    <w:rPr>
                      <w:rFonts w:hint="eastAsia" w:cs="Times New Roman"/>
                      <w:highlight w:val="none"/>
                      <w:lang w:val="en-US" w:eastAsia="zh-CN"/>
                    </w:rPr>
                    <w:t>&lt;</w:t>
                  </w:r>
                  <w:r>
                    <w:rPr>
                      <w:rFonts w:hint="eastAsia" w:ascii="Times New Roman" w:hAnsi="Times New Roman" w:eastAsia="宋体" w:cs="Times New Roman"/>
                      <w:highlight w:val="none"/>
                      <w:lang w:val="en-US" w:eastAsia="zh-CN"/>
                    </w:rPr>
                    <w:t>10</w:t>
                  </w:r>
                </w:p>
              </w:tc>
            </w:tr>
            <w:tr w14:paraId="4F72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54C8EEE9">
                  <w:pPr>
                    <w:pStyle w:val="28"/>
                    <w:rPr>
                      <w:highlight w:val="none"/>
                    </w:rPr>
                  </w:pPr>
                </w:p>
              </w:tc>
              <w:tc>
                <w:tcPr>
                  <w:tcW w:w="1248" w:type="pct"/>
                  <w:vMerge w:val="continue"/>
                  <w:tcBorders>
                    <w:tl2br w:val="nil"/>
                    <w:tr2bl w:val="nil"/>
                  </w:tcBorders>
                  <w:vAlign w:val="center"/>
                </w:tcPr>
                <w:p w14:paraId="3B8251B6">
                  <w:pPr>
                    <w:pStyle w:val="28"/>
                    <w:rPr>
                      <w:highlight w:val="none"/>
                    </w:rPr>
                  </w:pPr>
                </w:p>
              </w:tc>
              <w:tc>
                <w:tcPr>
                  <w:tcW w:w="1493" w:type="dxa"/>
                  <w:tcBorders>
                    <w:tl2br w:val="nil"/>
                    <w:tr2bl w:val="nil"/>
                  </w:tcBorders>
                  <w:vAlign w:val="center"/>
                </w:tcPr>
                <w:p w14:paraId="118590A1">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0.10</w:t>
                  </w:r>
                </w:p>
              </w:tc>
              <w:tc>
                <w:tcPr>
                  <w:tcW w:w="1762" w:type="dxa"/>
                  <w:tcBorders>
                    <w:tl2br w:val="nil"/>
                    <w:tr2bl w:val="nil"/>
                  </w:tcBorders>
                  <w:vAlign w:val="center"/>
                </w:tcPr>
                <w:p w14:paraId="4C0A3E57">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1.63×10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40065EE1">
                  <w:pPr>
                    <w:pStyle w:val="28"/>
                    <w:rPr>
                      <w:rFonts w:hint="default" w:ascii="Times New Roman" w:hAnsi="Times New Roman" w:eastAsia="宋体" w:cs="Times New Roman"/>
                      <w:highlight w:val="none"/>
                      <w:lang w:val="en-US" w:eastAsia="zh-CN"/>
                    </w:rPr>
                  </w:pPr>
                  <w:r>
                    <w:rPr>
                      <w:rFonts w:hint="eastAsia" w:cs="Times New Roman"/>
                      <w:highlight w:val="none"/>
                      <w:lang w:val="en-US" w:eastAsia="zh-CN"/>
                    </w:rPr>
                    <w:t>&lt;</w:t>
                  </w:r>
                  <w:r>
                    <w:rPr>
                      <w:rFonts w:hint="eastAsia" w:ascii="Times New Roman" w:hAnsi="Times New Roman" w:eastAsia="宋体" w:cs="Times New Roman"/>
                      <w:highlight w:val="none"/>
                      <w:lang w:val="en-US" w:eastAsia="zh-CN"/>
                    </w:rPr>
                    <w:t>10</w:t>
                  </w:r>
                </w:p>
              </w:tc>
            </w:tr>
            <w:tr w14:paraId="3BAB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7FFC2ECB">
                  <w:pPr>
                    <w:pStyle w:val="28"/>
                    <w:rPr>
                      <w:highlight w:val="none"/>
                    </w:rPr>
                  </w:pPr>
                </w:p>
              </w:tc>
              <w:tc>
                <w:tcPr>
                  <w:tcW w:w="1248" w:type="pct"/>
                  <w:vMerge w:val="restart"/>
                  <w:tcBorders>
                    <w:tl2br w:val="nil"/>
                    <w:tr2bl w:val="nil"/>
                  </w:tcBorders>
                  <w:vAlign w:val="center"/>
                </w:tcPr>
                <w:p w14:paraId="089C2E3E">
                  <w:pPr>
                    <w:pStyle w:val="28"/>
                    <w:rPr>
                      <w:highlight w:val="none"/>
                    </w:rPr>
                  </w:pPr>
                  <w:r>
                    <w:rPr>
                      <w:rFonts w:hint="eastAsia"/>
                      <w:highlight w:val="none"/>
                    </w:rPr>
                    <w:t>厂界下风向2米处（1#）</w:t>
                  </w:r>
                </w:p>
              </w:tc>
              <w:tc>
                <w:tcPr>
                  <w:tcW w:w="1493" w:type="dxa"/>
                  <w:tcBorders>
                    <w:tl2br w:val="nil"/>
                    <w:tr2bl w:val="nil"/>
                  </w:tcBorders>
                  <w:vAlign w:val="center"/>
                </w:tcPr>
                <w:p w14:paraId="6AA6A3D0">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0.18</w:t>
                  </w:r>
                </w:p>
              </w:tc>
              <w:tc>
                <w:tcPr>
                  <w:tcW w:w="1762" w:type="dxa"/>
                  <w:tcBorders>
                    <w:tl2br w:val="nil"/>
                    <w:tr2bl w:val="nil"/>
                  </w:tcBorders>
                  <w:vAlign w:val="center"/>
                </w:tcPr>
                <w:p w14:paraId="15E7519C">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9.44×10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6632887D">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15</w:t>
                  </w:r>
                </w:p>
              </w:tc>
            </w:tr>
            <w:tr w14:paraId="36EF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2D238AFF">
                  <w:pPr>
                    <w:pStyle w:val="28"/>
                    <w:rPr>
                      <w:highlight w:val="none"/>
                    </w:rPr>
                  </w:pPr>
                </w:p>
              </w:tc>
              <w:tc>
                <w:tcPr>
                  <w:tcW w:w="1248" w:type="pct"/>
                  <w:vMerge w:val="continue"/>
                  <w:tcBorders>
                    <w:tl2br w:val="nil"/>
                    <w:tr2bl w:val="nil"/>
                  </w:tcBorders>
                  <w:vAlign w:val="center"/>
                </w:tcPr>
                <w:p w14:paraId="47982537">
                  <w:pPr>
                    <w:pStyle w:val="28"/>
                    <w:rPr>
                      <w:highlight w:val="none"/>
                    </w:rPr>
                  </w:pPr>
                </w:p>
              </w:tc>
              <w:tc>
                <w:tcPr>
                  <w:tcW w:w="1493" w:type="dxa"/>
                  <w:tcBorders>
                    <w:tl2br w:val="nil"/>
                    <w:tr2bl w:val="nil"/>
                  </w:tcBorders>
                  <w:vAlign w:val="center"/>
                </w:tcPr>
                <w:p w14:paraId="32D87AE2">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0.17</w:t>
                  </w:r>
                </w:p>
              </w:tc>
              <w:tc>
                <w:tcPr>
                  <w:tcW w:w="1762" w:type="dxa"/>
                  <w:tcBorders>
                    <w:tl2br w:val="nil"/>
                    <w:tr2bl w:val="nil"/>
                  </w:tcBorders>
                  <w:vAlign w:val="center"/>
                </w:tcPr>
                <w:p w14:paraId="35EF0A04">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8.54×10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2E601418">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16</w:t>
                  </w:r>
                </w:p>
              </w:tc>
            </w:tr>
            <w:tr w14:paraId="45E9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248C0583">
                  <w:pPr>
                    <w:pStyle w:val="28"/>
                    <w:rPr>
                      <w:highlight w:val="none"/>
                    </w:rPr>
                  </w:pPr>
                </w:p>
              </w:tc>
              <w:tc>
                <w:tcPr>
                  <w:tcW w:w="1248" w:type="pct"/>
                  <w:vMerge w:val="continue"/>
                  <w:tcBorders>
                    <w:tl2br w:val="nil"/>
                    <w:tr2bl w:val="nil"/>
                  </w:tcBorders>
                  <w:vAlign w:val="center"/>
                </w:tcPr>
                <w:p w14:paraId="2ABC3AD3">
                  <w:pPr>
                    <w:pStyle w:val="28"/>
                    <w:rPr>
                      <w:highlight w:val="none"/>
                    </w:rPr>
                  </w:pPr>
                </w:p>
              </w:tc>
              <w:tc>
                <w:tcPr>
                  <w:tcW w:w="1493" w:type="dxa"/>
                  <w:tcBorders>
                    <w:tl2br w:val="nil"/>
                    <w:tr2bl w:val="nil"/>
                  </w:tcBorders>
                  <w:vAlign w:val="center"/>
                </w:tcPr>
                <w:p w14:paraId="12296807">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0.17</w:t>
                  </w:r>
                </w:p>
              </w:tc>
              <w:tc>
                <w:tcPr>
                  <w:tcW w:w="1762" w:type="dxa"/>
                  <w:tcBorders>
                    <w:tl2br w:val="nil"/>
                    <w:tr2bl w:val="nil"/>
                  </w:tcBorders>
                  <w:vAlign w:val="center"/>
                </w:tcPr>
                <w:p w14:paraId="598890EF">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9.79×10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672D0A19">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16</w:t>
                  </w:r>
                </w:p>
              </w:tc>
            </w:tr>
            <w:tr w14:paraId="2798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20B413D4">
                  <w:pPr>
                    <w:pStyle w:val="28"/>
                    <w:rPr>
                      <w:highlight w:val="none"/>
                    </w:rPr>
                  </w:pPr>
                </w:p>
              </w:tc>
              <w:tc>
                <w:tcPr>
                  <w:tcW w:w="1248" w:type="pct"/>
                  <w:vMerge w:val="continue"/>
                  <w:tcBorders>
                    <w:tl2br w:val="nil"/>
                    <w:tr2bl w:val="nil"/>
                  </w:tcBorders>
                  <w:vAlign w:val="center"/>
                </w:tcPr>
                <w:p w14:paraId="37697AB1">
                  <w:pPr>
                    <w:pStyle w:val="28"/>
                    <w:rPr>
                      <w:highlight w:val="none"/>
                    </w:rPr>
                  </w:pPr>
                </w:p>
              </w:tc>
              <w:tc>
                <w:tcPr>
                  <w:tcW w:w="1493" w:type="dxa"/>
                  <w:tcBorders>
                    <w:tl2br w:val="nil"/>
                    <w:tr2bl w:val="nil"/>
                  </w:tcBorders>
                  <w:vAlign w:val="center"/>
                </w:tcPr>
                <w:p w14:paraId="6494A780">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0.19</w:t>
                  </w:r>
                </w:p>
              </w:tc>
              <w:tc>
                <w:tcPr>
                  <w:tcW w:w="1762" w:type="dxa"/>
                  <w:tcBorders>
                    <w:tl2br w:val="nil"/>
                    <w:tr2bl w:val="nil"/>
                  </w:tcBorders>
                  <w:vAlign w:val="center"/>
                </w:tcPr>
                <w:p w14:paraId="35EAB31D">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8.28×10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07E642AB">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17</w:t>
                  </w:r>
                </w:p>
              </w:tc>
            </w:tr>
            <w:tr w14:paraId="771F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1AAEC3B2">
                  <w:pPr>
                    <w:pStyle w:val="28"/>
                    <w:rPr>
                      <w:highlight w:val="none"/>
                    </w:rPr>
                  </w:pPr>
                </w:p>
              </w:tc>
              <w:tc>
                <w:tcPr>
                  <w:tcW w:w="1248" w:type="pct"/>
                  <w:vMerge w:val="restart"/>
                  <w:tcBorders>
                    <w:tl2br w:val="nil"/>
                    <w:tr2bl w:val="nil"/>
                  </w:tcBorders>
                  <w:vAlign w:val="center"/>
                </w:tcPr>
                <w:p w14:paraId="3D96339E">
                  <w:pPr>
                    <w:pStyle w:val="28"/>
                    <w:rPr>
                      <w:highlight w:val="none"/>
                    </w:rPr>
                  </w:pPr>
                  <w:r>
                    <w:rPr>
                      <w:rFonts w:hint="eastAsia"/>
                      <w:highlight w:val="none"/>
                    </w:rPr>
                    <w:t>厂界下风向2米处（2#）</w:t>
                  </w:r>
                </w:p>
              </w:tc>
              <w:tc>
                <w:tcPr>
                  <w:tcW w:w="1493" w:type="dxa"/>
                  <w:tcBorders>
                    <w:tl2br w:val="nil"/>
                    <w:tr2bl w:val="nil"/>
                  </w:tcBorders>
                  <w:vAlign w:val="center"/>
                </w:tcPr>
                <w:p w14:paraId="464717D4">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0.20</w:t>
                  </w:r>
                </w:p>
              </w:tc>
              <w:tc>
                <w:tcPr>
                  <w:tcW w:w="1762" w:type="dxa"/>
                  <w:tcBorders>
                    <w:tl2br w:val="nil"/>
                    <w:tr2bl w:val="nil"/>
                  </w:tcBorders>
                  <w:vAlign w:val="center"/>
                </w:tcPr>
                <w:p w14:paraId="3069FB48">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4.63×10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6CD9B5C5">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17</w:t>
                  </w:r>
                </w:p>
              </w:tc>
            </w:tr>
            <w:tr w14:paraId="5FB7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059D28BC">
                  <w:pPr>
                    <w:pStyle w:val="28"/>
                    <w:rPr>
                      <w:highlight w:val="none"/>
                    </w:rPr>
                  </w:pPr>
                </w:p>
              </w:tc>
              <w:tc>
                <w:tcPr>
                  <w:tcW w:w="1248" w:type="pct"/>
                  <w:vMerge w:val="continue"/>
                  <w:tcBorders>
                    <w:tl2br w:val="nil"/>
                    <w:tr2bl w:val="nil"/>
                  </w:tcBorders>
                  <w:vAlign w:val="center"/>
                </w:tcPr>
                <w:p w14:paraId="79306393">
                  <w:pPr>
                    <w:pStyle w:val="28"/>
                    <w:rPr>
                      <w:highlight w:val="none"/>
                    </w:rPr>
                  </w:pPr>
                </w:p>
              </w:tc>
              <w:tc>
                <w:tcPr>
                  <w:tcW w:w="1493" w:type="dxa"/>
                  <w:tcBorders>
                    <w:tl2br w:val="nil"/>
                    <w:tr2bl w:val="nil"/>
                  </w:tcBorders>
                  <w:vAlign w:val="center"/>
                </w:tcPr>
                <w:p w14:paraId="5068EFD8">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0.19</w:t>
                  </w:r>
                </w:p>
              </w:tc>
              <w:tc>
                <w:tcPr>
                  <w:tcW w:w="1762" w:type="dxa"/>
                  <w:tcBorders>
                    <w:tl2br w:val="nil"/>
                    <w:tr2bl w:val="nil"/>
                  </w:tcBorders>
                  <w:vAlign w:val="center"/>
                </w:tcPr>
                <w:p w14:paraId="64C60B9B">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5.23×10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1CB826DB">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18</w:t>
                  </w:r>
                </w:p>
              </w:tc>
            </w:tr>
            <w:tr w14:paraId="4910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1A2F6CF5">
                  <w:pPr>
                    <w:pStyle w:val="28"/>
                    <w:rPr>
                      <w:highlight w:val="none"/>
                    </w:rPr>
                  </w:pPr>
                </w:p>
              </w:tc>
              <w:tc>
                <w:tcPr>
                  <w:tcW w:w="1248" w:type="pct"/>
                  <w:vMerge w:val="continue"/>
                  <w:tcBorders>
                    <w:tl2br w:val="nil"/>
                    <w:tr2bl w:val="nil"/>
                  </w:tcBorders>
                  <w:vAlign w:val="center"/>
                </w:tcPr>
                <w:p w14:paraId="2873B0AC">
                  <w:pPr>
                    <w:pStyle w:val="28"/>
                    <w:rPr>
                      <w:highlight w:val="none"/>
                    </w:rPr>
                  </w:pPr>
                </w:p>
              </w:tc>
              <w:tc>
                <w:tcPr>
                  <w:tcW w:w="1493" w:type="dxa"/>
                  <w:tcBorders>
                    <w:tl2br w:val="nil"/>
                    <w:tr2bl w:val="nil"/>
                  </w:tcBorders>
                  <w:vAlign w:val="center"/>
                </w:tcPr>
                <w:p w14:paraId="794D7CC4">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0.17</w:t>
                  </w:r>
                </w:p>
              </w:tc>
              <w:tc>
                <w:tcPr>
                  <w:tcW w:w="1762" w:type="dxa"/>
                  <w:tcBorders>
                    <w:tl2br w:val="nil"/>
                    <w:tr2bl w:val="nil"/>
                  </w:tcBorders>
                  <w:vAlign w:val="center"/>
                </w:tcPr>
                <w:p w14:paraId="2CB85394">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4.04×10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366B2FA8">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16</w:t>
                  </w:r>
                </w:p>
              </w:tc>
            </w:tr>
            <w:tr w14:paraId="0DBE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05E35E0C">
                  <w:pPr>
                    <w:pStyle w:val="28"/>
                    <w:rPr>
                      <w:highlight w:val="none"/>
                    </w:rPr>
                  </w:pPr>
                </w:p>
              </w:tc>
              <w:tc>
                <w:tcPr>
                  <w:tcW w:w="1248" w:type="pct"/>
                  <w:vMerge w:val="continue"/>
                  <w:tcBorders>
                    <w:tl2br w:val="nil"/>
                    <w:tr2bl w:val="nil"/>
                  </w:tcBorders>
                  <w:vAlign w:val="center"/>
                </w:tcPr>
                <w:p w14:paraId="7E9B9F76">
                  <w:pPr>
                    <w:pStyle w:val="28"/>
                    <w:rPr>
                      <w:highlight w:val="none"/>
                    </w:rPr>
                  </w:pPr>
                </w:p>
              </w:tc>
              <w:tc>
                <w:tcPr>
                  <w:tcW w:w="1493" w:type="dxa"/>
                  <w:tcBorders>
                    <w:tl2br w:val="nil"/>
                    <w:tr2bl w:val="nil"/>
                  </w:tcBorders>
                  <w:vAlign w:val="center"/>
                </w:tcPr>
                <w:p w14:paraId="33417F68">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0.17</w:t>
                  </w:r>
                </w:p>
              </w:tc>
              <w:tc>
                <w:tcPr>
                  <w:tcW w:w="1762" w:type="dxa"/>
                  <w:tcBorders>
                    <w:tl2br w:val="nil"/>
                    <w:tr2bl w:val="nil"/>
                  </w:tcBorders>
                  <w:vAlign w:val="center"/>
                </w:tcPr>
                <w:p w14:paraId="72C19743">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5.86×10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07D4E76B">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17</w:t>
                  </w:r>
                </w:p>
              </w:tc>
            </w:tr>
            <w:tr w14:paraId="0E44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6809BD46">
                  <w:pPr>
                    <w:pStyle w:val="28"/>
                    <w:rPr>
                      <w:highlight w:val="none"/>
                    </w:rPr>
                  </w:pPr>
                </w:p>
              </w:tc>
              <w:tc>
                <w:tcPr>
                  <w:tcW w:w="1248" w:type="pct"/>
                  <w:vMerge w:val="restart"/>
                  <w:tcBorders>
                    <w:tl2br w:val="nil"/>
                    <w:tr2bl w:val="nil"/>
                  </w:tcBorders>
                  <w:vAlign w:val="center"/>
                </w:tcPr>
                <w:p w14:paraId="58AF2462">
                  <w:pPr>
                    <w:pStyle w:val="28"/>
                    <w:rPr>
                      <w:highlight w:val="none"/>
                    </w:rPr>
                  </w:pPr>
                  <w:r>
                    <w:rPr>
                      <w:rFonts w:hint="eastAsia"/>
                      <w:highlight w:val="none"/>
                    </w:rPr>
                    <w:t>厂界下风向2米处（3#）</w:t>
                  </w:r>
                </w:p>
              </w:tc>
              <w:tc>
                <w:tcPr>
                  <w:tcW w:w="1493" w:type="dxa"/>
                  <w:tcBorders>
                    <w:tl2br w:val="nil"/>
                    <w:tr2bl w:val="nil"/>
                  </w:tcBorders>
                  <w:vAlign w:val="center"/>
                </w:tcPr>
                <w:p w14:paraId="5213AA67">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0.15</w:t>
                  </w:r>
                </w:p>
              </w:tc>
              <w:tc>
                <w:tcPr>
                  <w:tcW w:w="1762" w:type="dxa"/>
                  <w:tcBorders>
                    <w:tl2br w:val="nil"/>
                    <w:tr2bl w:val="nil"/>
                  </w:tcBorders>
                  <w:vAlign w:val="center"/>
                </w:tcPr>
                <w:p w14:paraId="577D1359">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7.34×10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745C26AE">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17</w:t>
                  </w:r>
                </w:p>
              </w:tc>
            </w:tr>
            <w:tr w14:paraId="1D9A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0001D9DE">
                  <w:pPr>
                    <w:pStyle w:val="28"/>
                    <w:rPr>
                      <w:highlight w:val="none"/>
                    </w:rPr>
                  </w:pPr>
                </w:p>
              </w:tc>
              <w:tc>
                <w:tcPr>
                  <w:tcW w:w="1248" w:type="pct"/>
                  <w:vMerge w:val="continue"/>
                  <w:tcBorders>
                    <w:tl2br w:val="nil"/>
                    <w:tr2bl w:val="nil"/>
                  </w:tcBorders>
                  <w:vAlign w:val="center"/>
                </w:tcPr>
                <w:p w14:paraId="620FC94D">
                  <w:pPr>
                    <w:pStyle w:val="28"/>
                    <w:rPr>
                      <w:highlight w:val="none"/>
                    </w:rPr>
                  </w:pPr>
                </w:p>
              </w:tc>
              <w:tc>
                <w:tcPr>
                  <w:tcW w:w="1493" w:type="dxa"/>
                  <w:tcBorders>
                    <w:tl2br w:val="nil"/>
                    <w:tr2bl w:val="nil"/>
                  </w:tcBorders>
                  <w:vAlign w:val="center"/>
                </w:tcPr>
                <w:p w14:paraId="12AA7CE6">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0.13</w:t>
                  </w:r>
                </w:p>
              </w:tc>
              <w:tc>
                <w:tcPr>
                  <w:tcW w:w="1762" w:type="dxa"/>
                  <w:tcBorders>
                    <w:tl2br w:val="nil"/>
                    <w:tr2bl w:val="nil"/>
                  </w:tcBorders>
                  <w:vAlign w:val="center"/>
                </w:tcPr>
                <w:p w14:paraId="31863070">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9.44×10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03FD0AF6">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16</w:t>
                  </w:r>
                </w:p>
              </w:tc>
            </w:tr>
            <w:tr w14:paraId="6847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4226FCEA">
                  <w:pPr>
                    <w:pStyle w:val="28"/>
                    <w:rPr>
                      <w:highlight w:val="none"/>
                    </w:rPr>
                  </w:pPr>
                </w:p>
              </w:tc>
              <w:tc>
                <w:tcPr>
                  <w:tcW w:w="1248" w:type="pct"/>
                  <w:vMerge w:val="continue"/>
                  <w:tcBorders>
                    <w:tl2br w:val="nil"/>
                    <w:tr2bl w:val="nil"/>
                  </w:tcBorders>
                  <w:vAlign w:val="center"/>
                </w:tcPr>
                <w:p w14:paraId="6CC16BC1">
                  <w:pPr>
                    <w:pStyle w:val="28"/>
                    <w:rPr>
                      <w:highlight w:val="none"/>
                    </w:rPr>
                  </w:pPr>
                </w:p>
              </w:tc>
              <w:tc>
                <w:tcPr>
                  <w:tcW w:w="1493" w:type="dxa"/>
                  <w:tcBorders>
                    <w:tl2br w:val="nil"/>
                    <w:tr2bl w:val="nil"/>
                  </w:tcBorders>
                  <w:vAlign w:val="center"/>
                </w:tcPr>
                <w:p w14:paraId="534FC7A5">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0.14</w:t>
                  </w:r>
                </w:p>
              </w:tc>
              <w:tc>
                <w:tcPr>
                  <w:tcW w:w="1762" w:type="dxa"/>
                  <w:tcBorders>
                    <w:tl2br w:val="nil"/>
                    <w:tr2bl w:val="nil"/>
                  </w:tcBorders>
                  <w:vAlign w:val="center"/>
                </w:tcPr>
                <w:p w14:paraId="36AADA96">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8.58×10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53907792">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16</w:t>
                  </w:r>
                </w:p>
              </w:tc>
            </w:tr>
            <w:tr w14:paraId="52AF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2BB64A27">
                  <w:pPr>
                    <w:pStyle w:val="28"/>
                    <w:rPr>
                      <w:highlight w:val="none"/>
                    </w:rPr>
                  </w:pPr>
                </w:p>
              </w:tc>
              <w:tc>
                <w:tcPr>
                  <w:tcW w:w="1248" w:type="pct"/>
                  <w:vMerge w:val="continue"/>
                  <w:tcBorders>
                    <w:tl2br w:val="nil"/>
                    <w:tr2bl w:val="nil"/>
                  </w:tcBorders>
                  <w:vAlign w:val="center"/>
                </w:tcPr>
                <w:p w14:paraId="0B478B52">
                  <w:pPr>
                    <w:pStyle w:val="28"/>
                    <w:rPr>
                      <w:highlight w:val="none"/>
                    </w:rPr>
                  </w:pPr>
                </w:p>
              </w:tc>
              <w:tc>
                <w:tcPr>
                  <w:tcW w:w="1493" w:type="dxa"/>
                  <w:tcBorders>
                    <w:tl2br w:val="nil"/>
                    <w:tr2bl w:val="nil"/>
                  </w:tcBorders>
                  <w:vAlign w:val="center"/>
                </w:tcPr>
                <w:p w14:paraId="52B87166">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0.13</w:t>
                  </w:r>
                </w:p>
              </w:tc>
              <w:tc>
                <w:tcPr>
                  <w:tcW w:w="1762" w:type="dxa"/>
                  <w:tcBorders>
                    <w:tl2br w:val="nil"/>
                    <w:tr2bl w:val="nil"/>
                  </w:tcBorders>
                  <w:vAlign w:val="center"/>
                </w:tcPr>
                <w:p w14:paraId="08E34122">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6.77×10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1146581F">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17</w:t>
                  </w:r>
                </w:p>
              </w:tc>
            </w:tr>
            <w:tr w14:paraId="7A68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restart"/>
                  <w:tcBorders>
                    <w:tl2br w:val="nil"/>
                    <w:tr2bl w:val="nil"/>
                  </w:tcBorders>
                  <w:vAlign w:val="center"/>
                </w:tcPr>
                <w:p w14:paraId="2C5721B6">
                  <w:pPr>
                    <w:pStyle w:val="28"/>
                    <w:rPr>
                      <w:highlight w:val="none"/>
                    </w:rPr>
                  </w:pPr>
                  <w:r>
                    <w:rPr>
                      <w:rFonts w:hint="eastAsia"/>
                      <w:highlight w:val="none"/>
                    </w:rPr>
                    <w:t>2025年2月19日</w:t>
                  </w:r>
                </w:p>
              </w:tc>
              <w:tc>
                <w:tcPr>
                  <w:tcW w:w="1248" w:type="pct"/>
                  <w:vMerge w:val="restart"/>
                  <w:tcBorders>
                    <w:tl2br w:val="nil"/>
                    <w:tr2bl w:val="nil"/>
                  </w:tcBorders>
                  <w:vAlign w:val="center"/>
                </w:tcPr>
                <w:p w14:paraId="25B50A87">
                  <w:pPr>
                    <w:pStyle w:val="28"/>
                    <w:rPr>
                      <w:highlight w:val="none"/>
                    </w:rPr>
                  </w:pPr>
                  <w:r>
                    <w:rPr>
                      <w:rFonts w:hint="eastAsia"/>
                      <w:highlight w:val="none"/>
                    </w:rPr>
                    <w:t>厂界上风向2米处（参照点）</w:t>
                  </w:r>
                </w:p>
              </w:tc>
              <w:tc>
                <w:tcPr>
                  <w:tcW w:w="1493" w:type="dxa"/>
                  <w:tcBorders>
                    <w:tl2br w:val="nil"/>
                    <w:tr2bl w:val="nil"/>
                  </w:tcBorders>
                  <w:vAlign w:val="center"/>
                </w:tcPr>
                <w:p w14:paraId="2D61947E">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0.09</w:t>
                  </w:r>
                </w:p>
              </w:tc>
              <w:tc>
                <w:tcPr>
                  <w:tcW w:w="1762" w:type="dxa"/>
                  <w:tcBorders>
                    <w:tl2br w:val="nil"/>
                    <w:tr2bl w:val="nil"/>
                  </w:tcBorders>
                  <w:vAlign w:val="center"/>
                </w:tcPr>
                <w:p w14:paraId="138A6923">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1.43×10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3FF02281">
                  <w:pPr>
                    <w:pStyle w:val="28"/>
                    <w:rPr>
                      <w:rFonts w:hint="default" w:ascii="Times New Roman" w:hAnsi="Times New Roman" w:eastAsia="宋体" w:cs="Times New Roman"/>
                      <w:highlight w:val="none"/>
                    </w:rPr>
                  </w:pPr>
                  <w:r>
                    <w:rPr>
                      <w:rFonts w:hint="eastAsia" w:cs="Times New Roman"/>
                      <w:highlight w:val="none"/>
                      <w:lang w:val="en-US" w:eastAsia="zh-CN"/>
                    </w:rPr>
                    <w:t>&lt;</w:t>
                  </w:r>
                  <w:r>
                    <w:rPr>
                      <w:rFonts w:hint="default" w:ascii="Times New Roman" w:hAnsi="Times New Roman" w:eastAsia="宋体" w:cs="Times New Roman"/>
                      <w:highlight w:val="none"/>
                      <w:lang w:val="en-US" w:eastAsia="zh-CN"/>
                    </w:rPr>
                    <w:t>10</w:t>
                  </w:r>
                </w:p>
              </w:tc>
            </w:tr>
            <w:tr w14:paraId="678C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188D64D7">
                  <w:pPr>
                    <w:pStyle w:val="28"/>
                    <w:rPr>
                      <w:highlight w:val="none"/>
                    </w:rPr>
                  </w:pPr>
                </w:p>
              </w:tc>
              <w:tc>
                <w:tcPr>
                  <w:tcW w:w="1248" w:type="pct"/>
                  <w:vMerge w:val="continue"/>
                  <w:tcBorders>
                    <w:tl2br w:val="nil"/>
                    <w:tr2bl w:val="nil"/>
                  </w:tcBorders>
                  <w:vAlign w:val="center"/>
                </w:tcPr>
                <w:p w14:paraId="0362462E">
                  <w:pPr>
                    <w:pStyle w:val="28"/>
                    <w:rPr>
                      <w:highlight w:val="none"/>
                    </w:rPr>
                  </w:pPr>
                </w:p>
              </w:tc>
              <w:tc>
                <w:tcPr>
                  <w:tcW w:w="1493" w:type="dxa"/>
                  <w:tcBorders>
                    <w:tl2br w:val="nil"/>
                    <w:tr2bl w:val="nil"/>
                  </w:tcBorders>
                  <w:vAlign w:val="center"/>
                </w:tcPr>
                <w:p w14:paraId="6C2AFD6B">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0.07</w:t>
                  </w:r>
                </w:p>
              </w:tc>
              <w:tc>
                <w:tcPr>
                  <w:tcW w:w="1762" w:type="dxa"/>
                  <w:tcBorders>
                    <w:tl2br w:val="nil"/>
                    <w:tr2bl w:val="nil"/>
                  </w:tcBorders>
                  <w:vAlign w:val="center"/>
                </w:tcPr>
                <w:p w14:paraId="4848E03E">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2.63×10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2ECF736E">
                  <w:pPr>
                    <w:pStyle w:val="28"/>
                    <w:rPr>
                      <w:rFonts w:hint="default" w:ascii="Times New Roman" w:hAnsi="Times New Roman" w:eastAsia="宋体" w:cs="Times New Roman"/>
                      <w:highlight w:val="none"/>
                    </w:rPr>
                  </w:pPr>
                  <w:r>
                    <w:rPr>
                      <w:rFonts w:hint="eastAsia" w:cs="Times New Roman"/>
                      <w:highlight w:val="none"/>
                      <w:lang w:val="en-US" w:eastAsia="zh-CN"/>
                    </w:rPr>
                    <w:t>&lt;</w:t>
                  </w:r>
                  <w:r>
                    <w:rPr>
                      <w:rFonts w:hint="default" w:ascii="Times New Roman" w:hAnsi="Times New Roman" w:eastAsia="宋体" w:cs="Times New Roman"/>
                      <w:highlight w:val="none"/>
                      <w:lang w:val="en-US" w:eastAsia="zh-CN"/>
                    </w:rPr>
                    <w:t>10</w:t>
                  </w:r>
                </w:p>
              </w:tc>
            </w:tr>
            <w:tr w14:paraId="78C1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03B5A79C">
                  <w:pPr>
                    <w:pStyle w:val="28"/>
                    <w:rPr>
                      <w:highlight w:val="none"/>
                    </w:rPr>
                  </w:pPr>
                </w:p>
              </w:tc>
              <w:tc>
                <w:tcPr>
                  <w:tcW w:w="1248" w:type="pct"/>
                  <w:vMerge w:val="continue"/>
                  <w:tcBorders>
                    <w:tl2br w:val="nil"/>
                    <w:tr2bl w:val="nil"/>
                  </w:tcBorders>
                  <w:vAlign w:val="center"/>
                </w:tcPr>
                <w:p w14:paraId="6AEBAB97">
                  <w:pPr>
                    <w:pStyle w:val="28"/>
                    <w:rPr>
                      <w:highlight w:val="none"/>
                    </w:rPr>
                  </w:pPr>
                </w:p>
              </w:tc>
              <w:tc>
                <w:tcPr>
                  <w:tcW w:w="1493" w:type="dxa"/>
                  <w:tcBorders>
                    <w:tl2br w:val="nil"/>
                    <w:tr2bl w:val="nil"/>
                  </w:tcBorders>
                  <w:vAlign w:val="center"/>
                </w:tcPr>
                <w:p w14:paraId="6E22A83A">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0.08</w:t>
                  </w:r>
                </w:p>
              </w:tc>
              <w:tc>
                <w:tcPr>
                  <w:tcW w:w="1762" w:type="dxa"/>
                  <w:tcBorders>
                    <w:tl2br w:val="nil"/>
                    <w:tr2bl w:val="nil"/>
                  </w:tcBorders>
                  <w:vAlign w:val="center"/>
                </w:tcPr>
                <w:p w14:paraId="429CBA52">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1.74×10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11A4C25E">
                  <w:pPr>
                    <w:pStyle w:val="28"/>
                    <w:rPr>
                      <w:rFonts w:hint="default" w:ascii="Times New Roman" w:hAnsi="Times New Roman" w:eastAsia="宋体" w:cs="Times New Roman"/>
                      <w:highlight w:val="none"/>
                    </w:rPr>
                  </w:pPr>
                  <w:r>
                    <w:rPr>
                      <w:rFonts w:hint="eastAsia" w:cs="Times New Roman"/>
                      <w:highlight w:val="none"/>
                      <w:lang w:val="en-US" w:eastAsia="zh-CN"/>
                    </w:rPr>
                    <w:t>&lt;</w:t>
                  </w:r>
                  <w:r>
                    <w:rPr>
                      <w:rFonts w:hint="default" w:ascii="Times New Roman" w:hAnsi="Times New Roman" w:eastAsia="宋体" w:cs="Times New Roman"/>
                      <w:highlight w:val="none"/>
                      <w:lang w:val="en-US" w:eastAsia="zh-CN"/>
                    </w:rPr>
                    <w:t>10</w:t>
                  </w:r>
                </w:p>
              </w:tc>
            </w:tr>
            <w:tr w14:paraId="1909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2D2056B3">
                  <w:pPr>
                    <w:pStyle w:val="28"/>
                    <w:rPr>
                      <w:highlight w:val="none"/>
                    </w:rPr>
                  </w:pPr>
                </w:p>
              </w:tc>
              <w:tc>
                <w:tcPr>
                  <w:tcW w:w="1248" w:type="pct"/>
                  <w:vMerge w:val="continue"/>
                  <w:tcBorders>
                    <w:tl2br w:val="nil"/>
                    <w:tr2bl w:val="nil"/>
                  </w:tcBorders>
                  <w:vAlign w:val="center"/>
                </w:tcPr>
                <w:p w14:paraId="4CAAD24A">
                  <w:pPr>
                    <w:pStyle w:val="28"/>
                    <w:rPr>
                      <w:highlight w:val="none"/>
                    </w:rPr>
                  </w:pPr>
                </w:p>
              </w:tc>
              <w:tc>
                <w:tcPr>
                  <w:tcW w:w="1493" w:type="dxa"/>
                  <w:tcBorders>
                    <w:tl2br w:val="nil"/>
                    <w:tr2bl w:val="nil"/>
                  </w:tcBorders>
                  <w:vAlign w:val="center"/>
                </w:tcPr>
                <w:p w14:paraId="505242BD">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0.09</w:t>
                  </w:r>
                </w:p>
              </w:tc>
              <w:tc>
                <w:tcPr>
                  <w:tcW w:w="1762" w:type="dxa"/>
                  <w:tcBorders>
                    <w:tl2br w:val="nil"/>
                    <w:tr2bl w:val="nil"/>
                  </w:tcBorders>
                  <w:vAlign w:val="center"/>
                </w:tcPr>
                <w:p w14:paraId="7ED72F0A">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1.13×10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20347F6E">
                  <w:pPr>
                    <w:pStyle w:val="28"/>
                    <w:rPr>
                      <w:rFonts w:hint="default" w:ascii="Times New Roman" w:hAnsi="Times New Roman" w:eastAsia="宋体" w:cs="Times New Roman"/>
                      <w:highlight w:val="none"/>
                    </w:rPr>
                  </w:pPr>
                  <w:r>
                    <w:rPr>
                      <w:rFonts w:hint="eastAsia" w:cs="Times New Roman"/>
                      <w:highlight w:val="none"/>
                      <w:lang w:val="en-US" w:eastAsia="zh-CN"/>
                    </w:rPr>
                    <w:t>&lt;</w:t>
                  </w:r>
                  <w:r>
                    <w:rPr>
                      <w:rFonts w:hint="default" w:ascii="Times New Roman" w:hAnsi="Times New Roman" w:eastAsia="宋体" w:cs="Times New Roman"/>
                      <w:highlight w:val="none"/>
                      <w:lang w:val="en-US" w:eastAsia="zh-CN"/>
                    </w:rPr>
                    <w:t>10</w:t>
                  </w:r>
                </w:p>
              </w:tc>
            </w:tr>
            <w:tr w14:paraId="77B4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19F0B338">
                  <w:pPr>
                    <w:pStyle w:val="28"/>
                    <w:rPr>
                      <w:highlight w:val="none"/>
                    </w:rPr>
                  </w:pPr>
                </w:p>
              </w:tc>
              <w:tc>
                <w:tcPr>
                  <w:tcW w:w="1248" w:type="pct"/>
                  <w:vMerge w:val="restart"/>
                  <w:tcBorders>
                    <w:tl2br w:val="nil"/>
                    <w:tr2bl w:val="nil"/>
                  </w:tcBorders>
                  <w:vAlign w:val="center"/>
                </w:tcPr>
                <w:p w14:paraId="42182543">
                  <w:pPr>
                    <w:pStyle w:val="28"/>
                    <w:rPr>
                      <w:highlight w:val="none"/>
                    </w:rPr>
                  </w:pPr>
                  <w:r>
                    <w:rPr>
                      <w:rFonts w:hint="eastAsia"/>
                      <w:highlight w:val="none"/>
                    </w:rPr>
                    <w:t>厂界下风向2米处（1#）</w:t>
                  </w:r>
                </w:p>
              </w:tc>
              <w:tc>
                <w:tcPr>
                  <w:tcW w:w="1493" w:type="dxa"/>
                  <w:tcBorders>
                    <w:tl2br w:val="nil"/>
                    <w:tr2bl w:val="nil"/>
                  </w:tcBorders>
                  <w:vAlign w:val="center"/>
                </w:tcPr>
                <w:p w14:paraId="335A64D7">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0.15</w:t>
                  </w:r>
                </w:p>
              </w:tc>
              <w:tc>
                <w:tcPr>
                  <w:tcW w:w="1762" w:type="dxa"/>
                  <w:tcBorders>
                    <w:tl2br w:val="nil"/>
                    <w:tr2bl w:val="nil"/>
                  </w:tcBorders>
                  <w:vAlign w:val="center"/>
                </w:tcPr>
                <w:p w14:paraId="2DDB5C5B">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8.95×10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5372D724">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15</w:t>
                  </w:r>
                </w:p>
              </w:tc>
            </w:tr>
            <w:tr w14:paraId="5048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5B692F5F">
                  <w:pPr>
                    <w:pStyle w:val="28"/>
                    <w:rPr>
                      <w:highlight w:val="none"/>
                    </w:rPr>
                  </w:pPr>
                </w:p>
              </w:tc>
              <w:tc>
                <w:tcPr>
                  <w:tcW w:w="1248" w:type="pct"/>
                  <w:vMerge w:val="continue"/>
                  <w:tcBorders>
                    <w:tl2br w:val="nil"/>
                    <w:tr2bl w:val="nil"/>
                  </w:tcBorders>
                  <w:vAlign w:val="center"/>
                </w:tcPr>
                <w:p w14:paraId="6D4B3809">
                  <w:pPr>
                    <w:pStyle w:val="28"/>
                    <w:rPr>
                      <w:highlight w:val="none"/>
                    </w:rPr>
                  </w:pPr>
                </w:p>
              </w:tc>
              <w:tc>
                <w:tcPr>
                  <w:tcW w:w="1493" w:type="dxa"/>
                  <w:tcBorders>
                    <w:tl2br w:val="nil"/>
                    <w:tr2bl w:val="nil"/>
                  </w:tcBorders>
                  <w:vAlign w:val="center"/>
                </w:tcPr>
                <w:p w14:paraId="79B19A04">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0.16</w:t>
                  </w:r>
                </w:p>
              </w:tc>
              <w:tc>
                <w:tcPr>
                  <w:tcW w:w="1762" w:type="dxa"/>
                  <w:tcBorders>
                    <w:tl2br w:val="nil"/>
                    <w:tr2bl w:val="nil"/>
                  </w:tcBorders>
                  <w:vAlign w:val="center"/>
                </w:tcPr>
                <w:p w14:paraId="2D6E8942">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8.65×10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049481EC">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14</w:t>
                  </w:r>
                </w:p>
              </w:tc>
            </w:tr>
            <w:tr w14:paraId="6B41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16A59949">
                  <w:pPr>
                    <w:pStyle w:val="28"/>
                    <w:rPr>
                      <w:highlight w:val="none"/>
                    </w:rPr>
                  </w:pPr>
                </w:p>
              </w:tc>
              <w:tc>
                <w:tcPr>
                  <w:tcW w:w="1248" w:type="pct"/>
                  <w:vMerge w:val="continue"/>
                  <w:tcBorders>
                    <w:tl2br w:val="nil"/>
                    <w:tr2bl w:val="nil"/>
                  </w:tcBorders>
                  <w:vAlign w:val="center"/>
                </w:tcPr>
                <w:p w14:paraId="69F64F3F">
                  <w:pPr>
                    <w:pStyle w:val="28"/>
                    <w:rPr>
                      <w:highlight w:val="none"/>
                    </w:rPr>
                  </w:pPr>
                </w:p>
              </w:tc>
              <w:tc>
                <w:tcPr>
                  <w:tcW w:w="1493" w:type="dxa"/>
                  <w:tcBorders>
                    <w:tl2br w:val="nil"/>
                    <w:tr2bl w:val="nil"/>
                  </w:tcBorders>
                  <w:vAlign w:val="center"/>
                </w:tcPr>
                <w:p w14:paraId="294B19E7">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0.17</w:t>
                  </w:r>
                </w:p>
              </w:tc>
              <w:tc>
                <w:tcPr>
                  <w:tcW w:w="1762" w:type="dxa"/>
                  <w:tcBorders>
                    <w:tl2br w:val="nil"/>
                    <w:tr2bl w:val="nil"/>
                  </w:tcBorders>
                  <w:vAlign w:val="center"/>
                </w:tcPr>
                <w:p w14:paraId="412D699E">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9.90×10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06399CCE">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15</w:t>
                  </w:r>
                </w:p>
              </w:tc>
            </w:tr>
            <w:tr w14:paraId="2C58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431F9C4B">
                  <w:pPr>
                    <w:pStyle w:val="28"/>
                    <w:rPr>
                      <w:highlight w:val="none"/>
                    </w:rPr>
                  </w:pPr>
                </w:p>
              </w:tc>
              <w:tc>
                <w:tcPr>
                  <w:tcW w:w="1248" w:type="pct"/>
                  <w:vMerge w:val="continue"/>
                  <w:tcBorders>
                    <w:tl2br w:val="nil"/>
                    <w:tr2bl w:val="nil"/>
                  </w:tcBorders>
                  <w:vAlign w:val="center"/>
                </w:tcPr>
                <w:p w14:paraId="2EBBB719">
                  <w:pPr>
                    <w:pStyle w:val="28"/>
                    <w:rPr>
                      <w:highlight w:val="none"/>
                    </w:rPr>
                  </w:pPr>
                </w:p>
              </w:tc>
              <w:tc>
                <w:tcPr>
                  <w:tcW w:w="1493" w:type="dxa"/>
                  <w:tcBorders>
                    <w:tl2br w:val="nil"/>
                    <w:tr2bl w:val="nil"/>
                  </w:tcBorders>
                  <w:vAlign w:val="center"/>
                </w:tcPr>
                <w:p w14:paraId="726C095A">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0.16</w:t>
                  </w:r>
                </w:p>
              </w:tc>
              <w:tc>
                <w:tcPr>
                  <w:tcW w:w="1762" w:type="dxa"/>
                  <w:tcBorders>
                    <w:tl2br w:val="nil"/>
                    <w:tr2bl w:val="nil"/>
                  </w:tcBorders>
                  <w:vAlign w:val="center"/>
                </w:tcPr>
                <w:p w14:paraId="35AFC8A4">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8.69×10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33B11AAA">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16</w:t>
                  </w:r>
                </w:p>
              </w:tc>
            </w:tr>
            <w:tr w14:paraId="1BDC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61C4513B">
                  <w:pPr>
                    <w:pStyle w:val="28"/>
                    <w:rPr>
                      <w:highlight w:val="none"/>
                    </w:rPr>
                  </w:pPr>
                </w:p>
              </w:tc>
              <w:tc>
                <w:tcPr>
                  <w:tcW w:w="1248" w:type="pct"/>
                  <w:vMerge w:val="restart"/>
                  <w:tcBorders>
                    <w:tl2br w:val="nil"/>
                    <w:tr2bl w:val="nil"/>
                  </w:tcBorders>
                  <w:vAlign w:val="center"/>
                </w:tcPr>
                <w:p w14:paraId="436D2CE2">
                  <w:pPr>
                    <w:pStyle w:val="28"/>
                    <w:rPr>
                      <w:highlight w:val="none"/>
                    </w:rPr>
                  </w:pPr>
                  <w:r>
                    <w:rPr>
                      <w:rFonts w:hint="eastAsia"/>
                      <w:highlight w:val="none"/>
                    </w:rPr>
                    <w:t>厂界下风向2米处（2#）</w:t>
                  </w:r>
                </w:p>
              </w:tc>
              <w:tc>
                <w:tcPr>
                  <w:tcW w:w="1493" w:type="dxa"/>
                  <w:tcBorders>
                    <w:tl2br w:val="nil"/>
                    <w:tr2bl w:val="nil"/>
                  </w:tcBorders>
                  <w:vAlign w:val="center"/>
                </w:tcPr>
                <w:p w14:paraId="4E5FBBE2">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0.13</w:t>
                  </w:r>
                </w:p>
              </w:tc>
              <w:tc>
                <w:tcPr>
                  <w:tcW w:w="1762" w:type="dxa"/>
                  <w:tcBorders>
                    <w:tl2br w:val="nil"/>
                    <w:tr2bl w:val="nil"/>
                  </w:tcBorders>
                  <w:vAlign w:val="center"/>
                </w:tcPr>
                <w:p w14:paraId="49B7A884">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7.45×10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25C89A82">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16</w:t>
                  </w:r>
                </w:p>
              </w:tc>
            </w:tr>
            <w:tr w14:paraId="77CD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6B155A90">
                  <w:pPr>
                    <w:pStyle w:val="28"/>
                    <w:rPr>
                      <w:highlight w:val="none"/>
                    </w:rPr>
                  </w:pPr>
                </w:p>
              </w:tc>
              <w:tc>
                <w:tcPr>
                  <w:tcW w:w="1248" w:type="pct"/>
                  <w:vMerge w:val="continue"/>
                  <w:tcBorders>
                    <w:tl2br w:val="nil"/>
                    <w:tr2bl w:val="nil"/>
                  </w:tcBorders>
                  <w:vAlign w:val="center"/>
                </w:tcPr>
                <w:p w14:paraId="2D403B34">
                  <w:pPr>
                    <w:pStyle w:val="28"/>
                    <w:rPr>
                      <w:highlight w:val="none"/>
                    </w:rPr>
                  </w:pPr>
                </w:p>
              </w:tc>
              <w:tc>
                <w:tcPr>
                  <w:tcW w:w="1493" w:type="dxa"/>
                  <w:tcBorders>
                    <w:tl2br w:val="nil"/>
                    <w:tr2bl w:val="nil"/>
                  </w:tcBorders>
                  <w:vAlign w:val="center"/>
                </w:tcPr>
                <w:p w14:paraId="142BFB28">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0.14</w:t>
                  </w:r>
                </w:p>
              </w:tc>
              <w:tc>
                <w:tcPr>
                  <w:tcW w:w="1762" w:type="dxa"/>
                  <w:tcBorders>
                    <w:tl2br w:val="nil"/>
                    <w:tr2bl w:val="nil"/>
                  </w:tcBorders>
                  <w:vAlign w:val="center"/>
                </w:tcPr>
                <w:p w14:paraId="764EE905">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8.35×10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4C4E6D8F">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17</w:t>
                  </w:r>
                </w:p>
              </w:tc>
            </w:tr>
            <w:tr w14:paraId="61A7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330F9635">
                  <w:pPr>
                    <w:pStyle w:val="28"/>
                    <w:rPr>
                      <w:highlight w:val="none"/>
                    </w:rPr>
                  </w:pPr>
                </w:p>
              </w:tc>
              <w:tc>
                <w:tcPr>
                  <w:tcW w:w="1248" w:type="pct"/>
                  <w:vMerge w:val="continue"/>
                  <w:tcBorders>
                    <w:tl2br w:val="nil"/>
                    <w:tr2bl w:val="nil"/>
                  </w:tcBorders>
                  <w:vAlign w:val="center"/>
                </w:tcPr>
                <w:p w14:paraId="78023DB3">
                  <w:pPr>
                    <w:pStyle w:val="28"/>
                    <w:rPr>
                      <w:highlight w:val="none"/>
                    </w:rPr>
                  </w:pPr>
                </w:p>
              </w:tc>
              <w:tc>
                <w:tcPr>
                  <w:tcW w:w="1493" w:type="dxa"/>
                  <w:tcBorders>
                    <w:tl2br w:val="nil"/>
                    <w:tr2bl w:val="nil"/>
                  </w:tcBorders>
                  <w:vAlign w:val="center"/>
                </w:tcPr>
                <w:p w14:paraId="0906030D">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0.14</w:t>
                  </w:r>
                </w:p>
              </w:tc>
              <w:tc>
                <w:tcPr>
                  <w:tcW w:w="1762" w:type="dxa"/>
                  <w:tcBorders>
                    <w:tl2br w:val="nil"/>
                    <w:tr2bl w:val="nil"/>
                  </w:tcBorders>
                  <w:vAlign w:val="center"/>
                </w:tcPr>
                <w:p w14:paraId="46AFC97D">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6.87×10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60D189FD">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15</w:t>
                  </w:r>
                </w:p>
              </w:tc>
            </w:tr>
            <w:tr w14:paraId="3CBE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755826D9">
                  <w:pPr>
                    <w:pStyle w:val="28"/>
                    <w:rPr>
                      <w:highlight w:val="none"/>
                    </w:rPr>
                  </w:pPr>
                </w:p>
              </w:tc>
              <w:tc>
                <w:tcPr>
                  <w:tcW w:w="1248" w:type="pct"/>
                  <w:vMerge w:val="continue"/>
                  <w:tcBorders>
                    <w:tl2br w:val="nil"/>
                    <w:tr2bl w:val="nil"/>
                  </w:tcBorders>
                  <w:vAlign w:val="center"/>
                </w:tcPr>
                <w:p w14:paraId="51D742D9">
                  <w:pPr>
                    <w:pStyle w:val="28"/>
                    <w:rPr>
                      <w:highlight w:val="none"/>
                    </w:rPr>
                  </w:pPr>
                </w:p>
              </w:tc>
              <w:tc>
                <w:tcPr>
                  <w:tcW w:w="1493" w:type="dxa"/>
                  <w:tcBorders>
                    <w:tl2br w:val="nil"/>
                    <w:tr2bl w:val="nil"/>
                  </w:tcBorders>
                  <w:vAlign w:val="center"/>
                </w:tcPr>
                <w:p w14:paraId="4A2C6DF3">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0.14</w:t>
                  </w:r>
                </w:p>
              </w:tc>
              <w:tc>
                <w:tcPr>
                  <w:tcW w:w="1762" w:type="dxa"/>
                  <w:tcBorders>
                    <w:tl2br w:val="nil"/>
                    <w:tr2bl w:val="nil"/>
                  </w:tcBorders>
                  <w:vAlign w:val="center"/>
                </w:tcPr>
                <w:p w14:paraId="2582EB6E">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6.27×10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2A8EA0DF">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18</w:t>
                  </w:r>
                </w:p>
              </w:tc>
            </w:tr>
            <w:tr w14:paraId="253F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6C24D3E9">
                  <w:pPr>
                    <w:pStyle w:val="28"/>
                    <w:rPr>
                      <w:highlight w:val="none"/>
                    </w:rPr>
                  </w:pPr>
                </w:p>
              </w:tc>
              <w:tc>
                <w:tcPr>
                  <w:tcW w:w="1248" w:type="pct"/>
                  <w:vMerge w:val="restart"/>
                  <w:tcBorders>
                    <w:tl2br w:val="nil"/>
                    <w:tr2bl w:val="nil"/>
                  </w:tcBorders>
                  <w:vAlign w:val="center"/>
                </w:tcPr>
                <w:p w14:paraId="5BE295AB">
                  <w:pPr>
                    <w:pStyle w:val="28"/>
                    <w:rPr>
                      <w:highlight w:val="none"/>
                    </w:rPr>
                  </w:pPr>
                  <w:r>
                    <w:rPr>
                      <w:rFonts w:hint="eastAsia"/>
                      <w:highlight w:val="none"/>
                    </w:rPr>
                    <w:t>厂界下风向2米处（3#）</w:t>
                  </w:r>
                </w:p>
              </w:tc>
              <w:tc>
                <w:tcPr>
                  <w:tcW w:w="1493" w:type="dxa"/>
                  <w:tcBorders>
                    <w:tl2br w:val="nil"/>
                    <w:tr2bl w:val="nil"/>
                  </w:tcBorders>
                  <w:vAlign w:val="center"/>
                </w:tcPr>
                <w:p w14:paraId="1E949D0F">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0.18</w:t>
                  </w:r>
                </w:p>
              </w:tc>
              <w:tc>
                <w:tcPr>
                  <w:tcW w:w="1762" w:type="dxa"/>
                  <w:tcBorders>
                    <w:tl2br w:val="nil"/>
                    <w:tr2bl w:val="nil"/>
                  </w:tcBorders>
                  <w:vAlign w:val="center"/>
                </w:tcPr>
                <w:p w14:paraId="465A1D6B">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9.25×10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0A276AF7">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16</w:t>
                  </w:r>
                </w:p>
              </w:tc>
            </w:tr>
            <w:tr w14:paraId="6F3E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055759DF">
                  <w:pPr>
                    <w:pStyle w:val="28"/>
                    <w:rPr>
                      <w:highlight w:val="none"/>
                    </w:rPr>
                  </w:pPr>
                </w:p>
              </w:tc>
              <w:tc>
                <w:tcPr>
                  <w:tcW w:w="1248" w:type="pct"/>
                  <w:vMerge w:val="continue"/>
                  <w:tcBorders>
                    <w:tl2br w:val="nil"/>
                    <w:tr2bl w:val="nil"/>
                  </w:tcBorders>
                  <w:vAlign w:val="center"/>
                </w:tcPr>
                <w:p w14:paraId="031F6422">
                  <w:pPr>
                    <w:pStyle w:val="28"/>
                    <w:rPr>
                      <w:highlight w:val="none"/>
                    </w:rPr>
                  </w:pPr>
                </w:p>
              </w:tc>
              <w:tc>
                <w:tcPr>
                  <w:tcW w:w="1493" w:type="dxa"/>
                  <w:tcBorders>
                    <w:tl2br w:val="nil"/>
                    <w:tr2bl w:val="nil"/>
                  </w:tcBorders>
                  <w:vAlign w:val="center"/>
                </w:tcPr>
                <w:p w14:paraId="66510E97">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0.20</w:t>
                  </w:r>
                </w:p>
              </w:tc>
              <w:tc>
                <w:tcPr>
                  <w:tcW w:w="1762" w:type="dxa"/>
                  <w:tcBorders>
                    <w:tl2br w:val="nil"/>
                    <w:tr2bl w:val="nil"/>
                  </w:tcBorders>
                  <w:vAlign w:val="center"/>
                </w:tcPr>
                <w:p w14:paraId="4EA9B76F">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8.95×10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5FEF027A">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17</w:t>
                  </w:r>
                </w:p>
              </w:tc>
            </w:tr>
            <w:tr w14:paraId="0C12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5ACD1457">
                  <w:pPr>
                    <w:pStyle w:val="28"/>
                    <w:rPr>
                      <w:highlight w:val="none"/>
                    </w:rPr>
                  </w:pPr>
                </w:p>
              </w:tc>
              <w:tc>
                <w:tcPr>
                  <w:tcW w:w="1248" w:type="pct"/>
                  <w:vMerge w:val="continue"/>
                  <w:tcBorders>
                    <w:tl2br w:val="nil"/>
                    <w:tr2bl w:val="nil"/>
                  </w:tcBorders>
                  <w:vAlign w:val="center"/>
                </w:tcPr>
                <w:p w14:paraId="08922E0B">
                  <w:pPr>
                    <w:pStyle w:val="28"/>
                    <w:rPr>
                      <w:highlight w:val="none"/>
                    </w:rPr>
                  </w:pPr>
                </w:p>
              </w:tc>
              <w:tc>
                <w:tcPr>
                  <w:tcW w:w="1493" w:type="dxa"/>
                  <w:tcBorders>
                    <w:tl2br w:val="nil"/>
                    <w:tr2bl w:val="nil"/>
                  </w:tcBorders>
                  <w:vAlign w:val="center"/>
                </w:tcPr>
                <w:p w14:paraId="6AFD06B4">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0.18</w:t>
                  </w:r>
                </w:p>
              </w:tc>
              <w:tc>
                <w:tcPr>
                  <w:tcW w:w="1762" w:type="dxa"/>
                  <w:tcBorders>
                    <w:tl2br w:val="nil"/>
                    <w:tr2bl w:val="nil"/>
                  </w:tcBorders>
                  <w:vAlign w:val="center"/>
                </w:tcPr>
                <w:p w14:paraId="07F715C4">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8.08×10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2D0AA2BF">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18</w:t>
                  </w:r>
                </w:p>
              </w:tc>
            </w:tr>
            <w:tr w14:paraId="38B6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vMerge w:val="continue"/>
                  <w:tcBorders>
                    <w:tl2br w:val="nil"/>
                    <w:tr2bl w:val="nil"/>
                  </w:tcBorders>
                  <w:vAlign w:val="center"/>
                </w:tcPr>
                <w:p w14:paraId="348B9B34">
                  <w:pPr>
                    <w:pStyle w:val="28"/>
                    <w:rPr>
                      <w:highlight w:val="none"/>
                    </w:rPr>
                  </w:pPr>
                </w:p>
              </w:tc>
              <w:tc>
                <w:tcPr>
                  <w:tcW w:w="1248" w:type="pct"/>
                  <w:vMerge w:val="continue"/>
                  <w:tcBorders>
                    <w:tl2br w:val="nil"/>
                    <w:tr2bl w:val="nil"/>
                  </w:tcBorders>
                  <w:vAlign w:val="center"/>
                </w:tcPr>
                <w:p w14:paraId="6ACDE02C">
                  <w:pPr>
                    <w:pStyle w:val="28"/>
                    <w:rPr>
                      <w:highlight w:val="none"/>
                    </w:rPr>
                  </w:pPr>
                </w:p>
              </w:tc>
              <w:tc>
                <w:tcPr>
                  <w:tcW w:w="1493" w:type="dxa"/>
                  <w:tcBorders>
                    <w:tl2br w:val="nil"/>
                    <w:tr2bl w:val="nil"/>
                  </w:tcBorders>
                  <w:vAlign w:val="center"/>
                </w:tcPr>
                <w:p w14:paraId="771DE05B">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0.16</w:t>
                  </w:r>
                </w:p>
              </w:tc>
              <w:tc>
                <w:tcPr>
                  <w:tcW w:w="1762" w:type="dxa"/>
                  <w:tcBorders>
                    <w:tl2br w:val="nil"/>
                    <w:tr2bl w:val="nil"/>
                  </w:tcBorders>
                  <w:vAlign w:val="center"/>
                </w:tcPr>
                <w:p w14:paraId="5035044F">
                  <w:pPr>
                    <w:keepNext w:val="0"/>
                    <w:keepLines w:val="0"/>
                    <w:widowControl/>
                    <w:suppressLineNumbers w:val="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kern w:val="2"/>
                      <w:sz w:val="21"/>
                      <w:szCs w:val="21"/>
                      <w:lang w:val="en-US" w:eastAsia="zh-CN" w:bidi="ar-SA"/>
                    </w:rPr>
                    <w:t>9.60×10</w:t>
                  </w:r>
                  <w:r>
                    <w:rPr>
                      <w:rFonts w:hint="default" w:ascii="Times New Roman" w:hAnsi="Times New Roman" w:eastAsia="宋体" w:cs="Times New Roman"/>
                      <w:kern w:val="2"/>
                      <w:sz w:val="21"/>
                      <w:szCs w:val="21"/>
                      <w:vertAlign w:val="superscript"/>
                      <w:lang w:val="en-US" w:eastAsia="zh-CN" w:bidi="ar-SA"/>
                    </w:rPr>
                    <w:t>-3</w:t>
                  </w:r>
                </w:p>
              </w:tc>
              <w:tc>
                <w:tcPr>
                  <w:tcW w:w="1521" w:type="dxa"/>
                  <w:tcBorders>
                    <w:tl2br w:val="nil"/>
                    <w:tr2bl w:val="nil"/>
                  </w:tcBorders>
                  <w:vAlign w:val="center"/>
                </w:tcPr>
                <w:p w14:paraId="1CF33147">
                  <w:pPr>
                    <w:pStyle w:val="28"/>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16</w:t>
                  </w:r>
                </w:p>
              </w:tc>
            </w:tr>
            <w:tr w14:paraId="7991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tcBorders>
                    <w:tl2br w:val="nil"/>
                    <w:tr2bl w:val="nil"/>
                  </w:tcBorders>
                  <w:vAlign w:val="center"/>
                </w:tcPr>
                <w:p w14:paraId="426E70A3">
                  <w:pPr>
                    <w:pStyle w:val="28"/>
                    <w:rPr>
                      <w:highlight w:val="none"/>
                    </w:rPr>
                  </w:pPr>
                  <w:r>
                    <w:rPr>
                      <w:rFonts w:hint="eastAsia"/>
                      <w:highlight w:val="none"/>
                    </w:rPr>
                    <w:t>执行标准</w:t>
                  </w:r>
                </w:p>
              </w:tc>
              <w:tc>
                <w:tcPr>
                  <w:tcW w:w="1248" w:type="pct"/>
                  <w:tcBorders>
                    <w:tl2br w:val="nil"/>
                    <w:tr2bl w:val="nil"/>
                  </w:tcBorders>
                  <w:vAlign w:val="center"/>
                </w:tcPr>
                <w:p w14:paraId="21E404C5">
                  <w:pPr>
                    <w:pStyle w:val="28"/>
                    <w:rPr>
                      <w:highlight w:val="none"/>
                    </w:rPr>
                  </w:pPr>
                  <w:r>
                    <w:rPr>
                      <w:rFonts w:hint="eastAsia"/>
                      <w:highlight w:val="none"/>
                    </w:rPr>
                    <w:t>/</w:t>
                  </w:r>
                </w:p>
              </w:tc>
              <w:tc>
                <w:tcPr>
                  <w:tcW w:w="899" w:type="pct"/>
                  <w:tcBorders>
                    <w:tl2br w:val="nil"/>
                    <w:tr2bl w:val="nil"/>
                  </w:tcBorders>
                  <w:vAlign w:val="center"/>
                </w:tcPr>
                <w:p w14:paraId="4397AE17">
                  <w:pPr>
                    <w:pStyle w:val="28"/>
                    <w:rPr>
                      <w:highlight w:val="none"/>
                    </w:rPr>
                  </w:pPr>
                  <w:r>
                    <w:rPr>
                      <w:rFonts w:hint="eastAsia"/>
                      <w:highlight w:val="none"/>
                    </w:rPr>
                    <w:t>0.2</w:t>
                  </w:r>
                </w:p>
              </w:tc>
              <w:tc>
                <w:tcPr>
                  <w:tcW w:w="1061" w:type="pct"/>
                  <w:tcBorders>
                    <w:tl2br w:val="nil"/>
                    <w:tr2bl w:val="nil"/>
                  </w:tcBorders>
                  <w:vAlign w:val="center"/>
                </w:tcPr>
                <w:p w14:paraId="2CFE8EDC">
                  <w:pPr>
                    <w:pStyle w:val="28"/>
                    <w:rPr>
                      <w:rFonts w:hint="default" w:eastAsia="宋体"/>
                      <w:highlight w:val="none"/>
                      <w:lang w:val="en-US" w:eastAsia="zh-CN"/>
                    </w:rPr>
                  </w:pPr>
                  <w:r>
                    <w:rPr>
                      <w:rFonts w:hint="eastAsia"/>
                      <w:highlight w:val="none"/>
                      <w:lang w:val="en-US" w:eastAsia="zh-CN"/>
                    </w:rPr>
                    <w:t>0.01</w:t>
                  </w:r>
                </w:p>
              </w:tc>
              <w:tc>
                <w:tcPr>
                  <w:tcW w:w="915" w:type="pct"/>
                  <w:tcBorders>
                    <w:tl2br w:val="nil"/>
                    <w:tr2bl w:val="nil"/>
                  </w:tcBorders>
                  <w:vAlign w:val="center"/>
                </w:tcPr>
                <w:p w14:paraId="3CBB53FB">
                  <w:pPr>
                    <w:pStyle w:val="28"/>
                    <w:rPr>
                      <w:highlight w:val="none"/>
                    </w:rPr>
                  </w:pPr>
                  <w:r>
                    <w:rPr>
                      <w:rFonts w:hint="eastAsia"/>
                      <w:highlight w:val="none"/>
                    </w:rPr>
                    <w:t>/</w:t>
                  </w:r>
                </w:p>
              </w:tc>
            </w:tr>
            <w:tr w14:paraId="654B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75" w:type="pct"/>
                  <w:tcBorders>
                    <w:tl2br w:val="nil"/>
                    <w:tr2bl w:val="nil"/>
                  </w:tcBorders>
                  <w:vAlign w:val="center"/>
                </w:tcPr>
                <w:p w14:paraId="6173C8D8">
                  <w:pPr>
                    <w:pStyle w:val="28"/>
                    <w:rPr>
                      <w:highlight w:val="none"/>
                    </w:rPr>
                  </w:pPr>
                  <w:r>
                    <w:rPr>
                      <w:rFonts w:hint="eastAsia"/>
                      <w:highlight w:val="none"/>
                    </w:rPr>
                    <w:t>达标情况</w:t>
                  </w:r>
                </w:p>
              </w:tc>
              <w:tc>
                <w:tcPr>
                  <w:tcW w:w="1248" w:type="pct"/>
                  <w:tcBorders>
                    <w:tl2br w:val="nil"/>
                    <w:tr2bl w:val="nil"/>
                  </w:tcBorders>
                  <w:vAlign w:val="center"/>
                </w:tcPr>
                <w:p w14:paraId="31ECE4F4">
                  <w:pPr>
                    <w:pStyle w:val="28"/>
                    <w:rPr>
                      <w:highlight w:val="none"/>
                    </w:rPr>
                  </w:pPr>
                  <w:r>
                    <w:rPr>
                      <w:rFonts w:hint="eastAsia"/>
                      <w:highlight w:val="none"/>
                    </w:rPr>
                    <w:t>/</w:t>
                  </w:r>
                </w:p>
              </w:tc>
              <w:tc>
                <w:tcPr>
                  <w:tcW w:w="899" w:type="pct"/>
                  <w:tcBorders>
                    <w:tl2br w:val="nil"/>
                    <w:tr2bl w:val="nil"/>
                  </w:tcBorders>
                  <w:vAlign w:val="center"/>
                </w:tcPr>
                <w:p w14:paraId="6818405A">
                  <w:pPr>
                    <w:pStyle w:val="28"/>
                    <w:rPr>
                      <w:highlight w:val="none"/>
                    </w:rPr>
                  </w:pPr>
                  <w:r>
                    <w:rPr>
                      <w:rFonts w:hint="eastAsia"/>
                      <w:highlight w:val="none"/>
                    </w:rPr>
                    <w:t>达标</w:t>
                  </w:r>
                </w:p>
              </w:tc>
              <w:tc>
                <w:tcPr>
                  <w:tcW w:w="1061" w:type="pct"/>
                  <w:tcBorders>
                    <w:tl2br w:val="nil"/>
                    <w:tr2bl w:val="nil"/>
                  </w:tcBorders>
                  <w:vAlign w:val="center"/>
                </w:tcPr>
                <w:p w14:paraId="0569A320">
                  <w:pPr>
                    <w:pStyle w:val="28"/>
                    <w:rPr>
                      <w:highlight w:val="none"/>
                    </w:rPr>
                  </w:pPr>
                  <w:r>
                    <w:rPr>
                      <w:rFonts w:hint="eastAsia"/>
                      <w:highlight w:val="none"/>
                    </w:rPr>
                    <w:t>达标</w:t>
                  </w:r>
                </w:p>
              </w:tc>
              <w:tc>
                <w:tcPr>
                  <w:tcW w:w="915" w:type="pct"/>
                  <w:tcBorders>
                    <w:tl2br w:val="nil"/>
                    <w:tr2bl w:val="nil"/>
                  </w:tcBorders>
                  <w:vAlign w:val="center"/>
                </w:tcPr>
                <w:p w14:paraId="40A3C1B7">
                  <w:pPr>
                    <w:pStyle w:val="28"/>
                    <w:rPr>
                      <w:highlight w:val="none"/>
                    </w:rPr>
                  </w:pPr>
                  <w:r>
                    <w:rPr>
                      <w:rFonts w:hint="eastAsia"/>
                      <w:highlight w:val="none"/>
                    </w:rPr>
                    <w:t>/</w:t>
                  </w:r>
                </w:p>
              </w:tc>
            </w:tr>
          </w:tbl>
          <w:p w14:paraId="17D7D658">
            <w:pPr>
              <w:pStyle w:val="34"/>
              <w:rPr>
                <w:color w:val="0000FF"/>
                <w:highlight w:val="none"/>
                <w:lang w:eastAsia="zh-CN"/>
              </w:rPr>
            </w:pPr>
            <w:r>
              <w:rPr>
                <w:rFonts w:hint="eastAsia"/>
                <w:color w:val="000000" w:themeColor="text1"/>
                <w:highlight w:val="none"/>
                <w:lang w:eastAsia="zh-CN"/>
                <w14:textFill>
                  <w14:solidFill>
                    <w14:schemeClr w14:val="tx1"/>
                  </w14:solidFill>
                </w14:textFill>
              </w:rPr>
              <w:t>监测结果显示，本项目所在区域氨</w:t>
            </w:r>
            <w:r>
              <w:rPr>
                <w:rFonts w:hint="eastAsia"/>
                <w:color w:val="000000" w:themeColor="text1"/>
                <w:highlight w:val="none"/>
                <w:lang w:val="en-US" w:eastAsia="zh-CN"/>
                <w14:textFill>
                  <w14:solidFill>
                    <w14:schemeClr w14:val="tx1"/>
                  </w14:solidFill>
                </w14:textFill>
              </w:rPr>
              <w:t>和</w:t>
            </w:r>
            <w:r>
              <w:rPr>
                <w:rFonts w:hint="eastAsia"/>
                <w:color w:val="000000" w:themeColor="text1"/>
                <w:highlight w:val="none"/>
                <w:lang w:eastAsia="zh-CN"/>
                <w14:textFill>
                  <w14:solidFill>
                    <w14:schemeClr w14:val="tx1"/>
                  </w14:solidFill>
                </w14:textFill>
              </w:rPr>
              <w:t>硫化氢现状监测浓度满足《环境影响评价技术导则-大气环境》附录 D 中标准限值要求，区域环境质量现状较好。</w:t>
            </w:r>
          </w:p>
          <w:p w14:paraId="4E46A989">
            <w:pPr>
              <w:widowControl/>
              <w:spacing w:line="360" w:lineRule="auto"/>
              <w:jc w:val="left"/>
              <w:rPr>
                <w:b/>
                <w:bCs/>
                <w:color w:val="000000" w:themeColor="text1"/>
                <w:kern w:val="0"/>
                <w:sz w:val="28"/>
                <w:szCs w:val="28"/>
                <w:highlight w:val="none"/>
                <w:lang w:bidi="ar"/>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2</w:t>
            </w:r>
            <w:r>
              <w:rPr>
                <w:rFonts w:hint="eastAsia"/>
                <w:b/>
                <w:bCs/>
                <w:color w:val="000000" w:themeColor="text1"/>
                <w:kern w:val="0"/>
                <w:sz w:val="28"/>
                <w:szCs w:val="28"/>
                <w:highlight w:val="none"/>
                <w:lang w:bidi="ar"/>
                <w14:textFill>
                  <w14:solidFill>
                    <w14:schemeClr w14:val="tx1"/>
                  </w14:solidFill>
                </w14:textFill>
              </w:rPr>
              <w:t>.地表水环境质量现状</w:t>
            </w:r>
          </w:p>
          <w:p w14:paraId="07E2D61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项目位于云南省昆明市寻甸县羊街镇龙池村，污水依托现有污水收集管网进入污水处理系统（250m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d）处理后回用。根据现场踏勘及调查，项目最近地表水体果马河。根据《寻甸县2024年第四季度环境质量公报》可知，羊街河（果马河）共设1个监控断面，监测结果显示：李家坝断面水质未达到《地表水环境质量标准》（GB3838-2002）Ⅲ类水质量标准，水质类别为Ⅲ类水，与2023年同期相比无明显变化，均为Ⅲ类。根据云南省水利厅</w:t>
            </w:r>
            <w:r>
              <w:rPr>
                <w:color w:val="000000" w:themeColor="text1"/>
                <w:highlight w:val="none"/>
                <w:lang w:eastAsia="zh-CN"/>
                <w14:textFill>
                  <w14:solidFill>
                    <w14:schemeClr w14:val="tx1"/>
                  </w14:solidFill>
                </w14:textFill>
              </w:rPr>
              <w:t>2014</w:t>
            </w:r>
            <w:r>
              <w:rPr>
                <w:rFonts w:hint="eastAsia"/>
                <w:color w:val="000000" w:themeColor="text1"/>
                <w:highlight w:val="none"/>
                <w:lang w:eastAsia="zh-CN"/>
                <w14:textFill>
                  <w14:solidFill>
                    <w14:schemeClr w14:val="tx1"/>
                  </w14:solidFill>
                </w14:textFill>
              </w:rPr>
              <w:t>年</w:t>
            </w:r>
            <w:r>
              <w:rPr>
                <w:color w:val="000000" w:themeColor="text1"/>
                <w:highlight w:val="none"/>
                <w:lang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月发布的《云南省水功能区划》（</w:t>
            </w:r>
            <w:r>
              <w:rPr>
                <w:color w:val="000000" w:themeColor="text1"/>
                <w:highlight w:val="none"/>
                <w:lang w:eastAsia="zh-CN"/>
                <w14:textFill>
                  <w14:solidFill>
                    <w14:schemeClr w14:val="tx1"/>
                  </w14:solidFill>
                </w14:textFill>
              </w:rPr>
              <w:t>2014</w:t>
            </w:r>
            <w:r>
              <w:rPr>
                <w:rFonts w:hint="eastAsia"/>
                <w:color w:val="000000" w:themeColor="text1"/>
                <w:highlight w:val="none"/>
                <w:lang w:eastAsia="zh-CN"/>
                <w14:textFill>
                  <w14:solidFill>
                    <w14:schemeClr w14:val="tx1"/>
                  </w14:solidFill>
                </w14:textFill>
              </w:rPr>
              <w:t>年修订），项目所属河段为“牛栏江-滇池补水水源保护区”，由寻甸县河源至沾益县德泽水库坝址，全长161.5km。现状水质为</w:t>
            </w:r>
            <w:r>
              <w:rPr>
                <w:rFonts w:cs="Times New Roman"/>
                <w:color w:val="000000" w:themeColor="text1"/>
                <w:highlight w:val="none"/>
                <w:lang w:eastAsia="zh-CN"/>
                <w14:textFill>
                  <w14:solidFill>
                    <w14:schemeClr w14:val="tx1"/>
                  </w14:solidFill>
                </w14:textFill>
              </w:rPr>
              <w:t>Ⅲ～Ⅴ</w:t>
            </w:r>
            <w:r>
              <w:rPr>
                <w:rFonts w:hint="eastAsia"/>
                <w:color w:val="000000" w:themeColor="text1"/>
                <w:highlight w:val="none"/>
                <w:lang w:eastAsia="zh-CN"/>
                <w14:textFill>
                  <w14:solidFill>
                    <w14:schemeClr w14:val="tx1"/>
                  </w14:solidFill>
                </w14:textFill>
              </w:rPr>
              <w:t>类，2030年水质目标为</w:t>
            </w:r>
            <w:r>
              <w:rPr>
                <w:rFonts w:cs="Times New Roman"/>
                <w:color w:val="000000" w:themeColor="text1"/>
                <w:highlight w:val="none"/>
                <w:lang w:eastAsia="zh-CN"/>
                <w14:textFill>
                  <w14:solidFill>
                    <w14:schemeClr w14:val="tx1"/>
                  </w14:solidFill>
                </w14:textFill>
              </w:rPr>
              <w:t>Ⅲ</w:t>
            </w:r>
            <w:r>
              <w:rPr>
                <w:rFonts w:hint="eastAsia"/>
                <w:color w:val="000000" w:themeColor="text1"/>
                <w:highlight w:val="none"/>
                <w:lang w:eastAsia="zh-CN"/>
                <w14:textFill>
                  <w14:solidFill>
                    <w14:schemeClr w14:val="tx1"/>
                  </w14:solidFill>
                </w14:textFill>
              </w:rPr>
              <w:t>类，地表水环境执行《地表水环境质量标准》（</w:t>
            </w:r>
            <w:r>
              <w:rPr>
                <w:color w:val="000000" w:themeColor="text1"/>
                <w:highlight w:val="none"/>
                <w:lang w:eastAsia="zh-CN"/>
                <w14:textFill>
                  <w14:solidFill>
                    <w14:schemeClr w14:val="tx1"/>
                  </w14:solidFill>
                </w14:textFill>
              </w:rPr>
              <w:t>GB3838-2002</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Ⅲ</w:t>
            </w:r>
            <w:r>
              <w:rPr>
                <w:rFonts w:hint="eastAsia"/>
                <w:color w:val="000000" w:themeColor="text1"/>
                <w:highlight w:val="none"/>
                <w:lang w:eastAsia="zh-CN"/>
                <w14:textFill>
                  <w14:solidFill>
                    <w14:schemeClr w14:val="tx1"/>
                  </w14:solidFill>
                </w14:textFill>
              </w:rPr>
              <w:t>类水质标准要求。</w:t>
            </w:r>
          </w:p>
          <w:p w14:paraId="243D259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昆明市生态环境局2024年6月发布的《2023年度昆明市生态环境状况公报》，</w:t>
            </w:r>
            <w:r>
              <w:rPr>
                <w:rFonts w:cs="Times New Roman"/>
                <w:color w:val="000000" w:themeColor="text1"/>
                <w:highlight w:val="none"/>
                <w:lang w:eastAsia="zh-CN"/>
                <w14:textFill>
                  <w14:solidFill>
                    <w14:schemeClr w14:val="tx1"/>
                  </w14:solidFill>
                </w14:textFill>
              </w:rPr>
              <w:t>地表水全市纳入国考地表水监测的27个水质断面全部达标。其中Ⅰ类水质断面1个，占3.70%；Ⅱ类水质断面10个，占37.04%；Ⅲ类水质断面11个，占40.74%；Ⅳ类水质断面3个，占11.11%；Ⅴ类水质断面2个，占7.41%。牛栏江与2022年相比，四营水文站、河口断面水质上升，水质类别分别由Ⅳ类、Ⅲ类上升为Ⅲ类、Ⅱ类；崔家庄、七星水文站断面水质不变，水质类别均为Ⅲ类。</w:t>
            </w:r>
          </w:p>
          <w:p w14:paraId="58D748B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综上，项目区地表水水质能达到《地表水环境质量标准》（GB3838-2002）中</w:t>
            </w:r>
            <w:r>
              <w:rPr>
                <w:rFonts w:cs="Times New Roman"/>
                <w:color w:val="000000" w:themeColor="text1"/>
                <w:highlight w:val="none"/>
                <w:lang w:eastAsia="zh-CN"/>
                <w14:textFill>
                  <w14:solidFill>
                    <w14:schemeClr w14:val="tx1"/>
                  </w14:solidFill>
                </w14:textFill>
              </w:rPr>
              <w:t>Ⅲ</w:t>
            </w:r>
            <w:r>
              <w:rPr>
                <w:rFonts w:hint="eastAsia"/>
                <w:color w:val="000000" w:themeColor="text1"/>
                <w:highlight w:val="none"/>
                <w:lang w:eastAsia="zh-CN"/>
                <w14:textFill>
                  <w14:solidFill>
                    <w14:schemeClr w14:val="tx1"/>
                  </w14:solidFill>
                </w14:textFill>
              </w:rPr>
              <w:t>类水质的标准要求。</w:t>
            </w:r>
          </w:p>
          <w:p w14:paraId="560DD69E">
            <w:pPr>
              <w:widowControl/>
              <w:spacing w:line="360" w:lineRule="auto"/>
              <w:jc w:val="left"/>
              <w:rPr>
                <w:b/>
                <w:bCs/>
                <w:color w:val="000000" w:themeColor="text1"/>
                <w:kern w:val="0"/>
                <w:sz w:val="28"/>
                <w:szCs w:val="28"/>
                <w:highlight w:val="none"/>
                <w:lang w:bidi="ar"/>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3</w:t>
            </w:r>
            <w:r>
              <w:rPr>
                <w:rFonts w:hint="eastAsia"/>
                <w:b/>
                <w:bCs/>
                <w:color w:val="000000" w:themeColor="text1"/>
                <w:kern w:val="0"/>
                <w:sz w:val="28"/>
                <w:szCs w:val="28"/>
                <w:highlight w:val="none"/>
                <w:lang w:bidi="ar"/>
                <w14:textFill>
                  <w14:solidFill>
                    <w14:schemeClr w14:val="tx1"/>
                  </w14:solidFill>
                </w14:textFill>
              </w:rPr>
              <w:t>.声环境质量现状</w:t>
            </w:r>
          </w:p>
          <w:p w14:paraId="6BEF5D70">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（1）区域声环境质量现状</w:t>
            </w:r>
          </w:p>
          <w:p w14:paraId="58E07D0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项目位于云南省昆明市寻甸县羊街镇龙池村，项目所在区域以商业金融、集市贸易为主要功能，属于</w:t>
            </w: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类声环境功能区。</w:t>
            </w:r>
          </w:p>
          <w:p w14:paraId="372A8D87">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昆明市生态环境局2024年6月发布的《2023年度昆明市生态环境状况公报》，2023年，昆明市寻甸县区域环境昼间等效声级平均值分别为46.8分贝。安宁市、寻甸县区域昼间环境噪声总体水平评价为一级（好）。与2022年相比，寻甸县的区域环境昼间等效声级平均值降低。</w:t>
            </w:r>
          </w:p>
          <w:p w14:paraId="76844F27">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（2）补充监测情况</w:t>
            </w:r>
          </w:p>
          <w:p w14:paraId="4CDD869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为进一步了解项目所在区域声环境质量现状，2025年2月17日—18日，建设单位委托云南高科环境保护科技有限公司对本项目的厂界</w:t>
            </w:r>
            <w:r>
              <w:rPr>
                <w:rFonts w:hint="eastAsia"/>
                <w:color w:val="000000" w:themeColor="text1"/>
                <w:highlight w:val="none"/>
                <w:lang w:val="en-US" w:eastAsia="zh-CN"/>
                <w14:textFill>
                  <w14:solidFill>
                    <w14:schemeClr w14:val="tx1"/>
                  </w14:solidFill>
                </w14:textFill>
              </w:rPr>
              <w:t>环境</w:t>
            </w:r>
            <w:r>
              <w:rPr>
                <w:rFonts w:hint="eastAsia"/>
                <w:color w:val="000000" w:themeColor="text1"/>
                <w:highlight w:val="none"/>
                <w:lang w:eastAsia="zh-CN"/>
                <w14:textFill>
                  <w14:solidFill>
                    <w14:schemeClr w14:val="tx1"/>
                  </w14:solidFill>
                </w14:textFill>
              </w:rPr>
              <w:t>噪声进行了监测，监测结果见下表。</w:t>
            </w:r>
          </w:p>
          <w:p w14:paraId="69809588">
            <w:pPr>
              <w:keepNext/>
              <w:keepLines/>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表3-2噪声环境现状监测结果单位：</w:t>
            </w:r>
            <w:r>
              <w:rPr>
                <w:b/>
                <w:bCs/>
                <w:color w:val="000000" w:themeColor="text1"/>
                <w:szCs w:val="21"/>
                <w:highlight w:val="none"/>
                <w14:textFill>
                  <w14:solidFill>
                    <w14:schemeClr w14:val="tx1"/>
                  </w14:solidFill>
                </w14:textFill>
              </w:rPr>
              <w:t>[dB(A)]</w:t>
            </w:r>
          </w:p>
          <w:tbl>
            <w:tblPr>
              <w:tblStyle w:val="2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868"/>
              <w:gridCol w:w="1104"/>
              <w:gridCol w:w="1896"/>
              <w:gridCol w:w="1064"/>
              <w:gridCol w:w="1063"/>
            </w:tblGrid>
            <w:tr w14:paraId="71B98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restart"/>
                  <w:tcBorders>
                    <w:tl2br w:val="nil"/>
                    <w:tr2bl w:val="nil"/>
                  </w:tcBorders>
                  <w:vAlign w:val="center"/>
                </w:tcPr>
                <w:p w14:paraId="04F58456">
                  <w:pPr>
                    <w:pStyle w:val="28"/>
                    <w:rPr>
                      <w:highlight w:val="none"/>
                    </w:rPr>
                  </w:pPr>
                  <w:r>
                    <w:rPr>
                      <w:rFonts w:hint="eastAsia"/>
                      <w:highlight w:val="none"/>
                    </w:rPr>
                    <w:t>点位</w:t>
                  </w:r>
                </w:p>
              </w:tc>
              <w:tc>
                <w:tcPr>
                  <w:tcW w:w="1794" w:type="pct"/>
                  <w:gridSpan w:val="2"/>
                  <w:tcBorders>
                    <w:tl2br w:val="nil"/>
                    <w:tr2bl w:val="nil"/>
                  </w:tcBorders>
                  <w:vAlign w:val="center"/>
                </w:tcPr>
                <w:p w14:paraId="59E2895E">
                  <w:pPr>
                    <w:pStyle w:val="28"/>
                    <w:rPr>
                      <w:highlight w:val="none"/>
                    </w:rPr>
                  </w:pPr>
                  <w:r>
                    <w:rPr>
                      <w:rFonts w:hint="eastAsia"/>
                      <w:highlight w:val="none"/>
                    </w:rPr>
                    <w:t>昼间噪声</w:t>
                  </w:r>
                </w:p>
              </w:tc>
              <w:tc>
                <w:tcPr>
                  <w:tcW w:w="2428" w:type="pct"/>
                  <w:gridSpan w:val="3"/>
                  <w:tcBorders>
                    <w:tl2br w:val="nil"/>
                    <w:tr2bl w:val="nil"/>
                  </w:tcBorders>
                  <w:vAlign w:val="center"/>
                </w:tcPr>
                <w:p w14:paraId="76BFEFF4">
                  <w:pPr>
                    <w:pStyle w:val="28"/>
                    <w:rPr>
                      <w:rFonts w:hint="eastAsia"/>
                      <w:highlight w:val="none"/>
                    </w:rPr>
                  </w:pPr>
                  <w:r>
                    <w:rPr>
                      <w:rFonts w:hint="eastAsia"/>
                      <w:highlight w:val="none"/>
                    </w:rPr>
                    <w:t>夜间噪声</w:t>
                  </w:r>
                </w:p>
              </w:tc>
            </w:tr>
            <w:tr w14:paraId="2BCAA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continue"/>
                  <w:tcBorders>
                    <w:tl2br w:val="nil"/>
                    <w:tr2bl w:val="nil"/>
                  </w:tcBorders>
                  <w:vAlign w:val="center"/>
                </w:tcPr>
                <w:p w14:paraId="4E440D8B">
                  <w:pPr>
                    <w:pStyle w:val="28"/>
                    <w:rPr>
                      <w:highlight w:val="none"/>
                    </w:rPr>
                  </w:pPr>
                </w:p>
              </w:tc>
              <w:tc>
                <w:tcPr>
                  <w:tcW w:w="1127" w:type="pct"/>
                  <w:vMerge w:val="restart"/>
                  <w:tcBorders>
                    <w:tl2br w:val="nil"/>
                    <w:tr2bl w:val="nil"/>
                  </w:tcBorders>
                  <w:vAlign w:val="center"/>
                </w:tcPr>
                <w:p w14:paraId="23C8726D">
                  <w:pPr>
                    <w:pStyle w:val="28"/>
                    <w:rPr>
                      <w:highlight w:val="none"/>
                    </w:rPr>
                  </w:pPr>
                  <w:r>
                    <w:rPr>
                      <w:rFonts w:hint="eastAsia"/>
                      <w:highlight w:val="none"/>
                    </w:rPr>
                    <w:t>检测时段</w:t>
                  </w:r>
                </w:p>
              </w:tc>
              <w:tc>
                <w:tcPr>
                  <w:tcW w:w="666" w:type="pct"/>
                  <w:tcBorders>
                    <w:tl2br w:val="nil"/>
                    <w:tr2bl w:val="nil"/>
                  </w:tcBorders>
                  <w:vAlign w:val="center"/>
                </w:tcPr>
                <w:p w14:paraId="5BDA8CC6">
                  <w:pPr>
                    <w:pStyle w:val="28"/>
                    <w:rPr>
                      <w:highlight w:val="none"/>
                    </w:rPr>
                  </w:pPr>
                  <w:r>
                    <w:rPr>
                      <w:rFonts w:hint="eastAsia"/>
                      <w:highlight w:val="none"/>
                    </w:rPr>
                    <w:t>测量结果</w:t>
                  </w:r>
                </w:p>
              </w:tc>
              <w:tc>
                <w:tcPr>
                  <w:tcW w:w="1144" w:type="pct"/>
                  <w:vMerge w:val="restart"/>
                  <w:tcBorders>
                    <w:tl2br w:val="nil"/>
                    <w:tr2bl w:val="nil"/>
                  </w:tcBorders>
                  <w:vAlign w:val="center"/>
                </w:tcPr>
                <w:p w14:paraId="6A576537">
                  <w:pPr>
                    <w:pStyle w:val="28"/>
                    <w:rPr>
                      <w:highlight w:val="none"/>
                    </w:rPr>
                  </w:pPr>
                  <w:r>
                    <w:rPr>
                      <w:rFonts w:hint="eastAsia"/>
                      <w:highlight w:val="none"/>
                    </w:rPr>
                    <w:t>检测时段</w:t>
                  </w:r>
                </w:p>
              </w:tc>
              <w:tc>
                <w:tcPr>
                  <w:tcW w:w="642" w:type="pct"/>
                  <w:tcBorders>
                    <w:tl2br w:val="nil"/>
                    <w:tr2bl w:val="nil"/>
                  </w:tcBorders>
                  <w:vAlign w:val="center"/>
                </w:tcPr>
                <w:p w14:paraId="35D2CE4A">
                  <w:pPr>
                    <w:pStyle w:val="28"/>
                    <w:rPr>
                      <w:highlight w:val="none"/>
                    </w:rPr>
                  </w:pPr>
                  <w:r>
                    <w:rPr>
                      <w:rFonts w:hint="eastAsia"/>
                      <w:highlight w:val="none"/>
                    </w:rPr>
                    <w:t>测量结果</w:t>
                  </w:r>
                </w:p>
              </w:tc>
              <w:tc>
                <w:tcPr>
                  <w:tcW w:w="641" w:type="pct"/>
                  <w:vMerge w:val="restart"/>
                  <w:tcBorders>
                    <w:tl2br w:val="nil"/>
                    <w:tr2bl w:val="nil"/>
                  </w:tcBorders>
                  <w:vAlign w:val="center"/>
                </w:tcPr>
                <w:p w14:paraId="29F0F700">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rPr>
                    <w:t>L</w:t>
                  </w:r>
                  <w:r>
                    <w:rPr>
                      <w:rFonts w:hint="eastAsia" w:ascii="Times New Roman" w:hAnsi="Times New Roman" w:eastAsia="宋体" w:cs="Times New Roman"/>
                      <w:highlight w:val="none"/>
                      <w:vertAlign w:val="subscript"/>
                      <w:lang w:val="en-US" w:eastAsia="zh-CN"/>
                    </w:rPr>
                    <w:t>max</w:t>
                  </w:r>
                </w:p>
              </w:tc>
            </w:tr>
            <w:tr w14:paraId="5C2DA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continue"/>
                  <w:tcBorders>
                    <w:tl2br w:val="nil"/>
                    <w:tr2bl w:val="nil"/>
                  </w:tcBorders>
                  <w:vAlign w:val="center"/>
                </w:tcPr>
                <w:p w14:paraId="175975C7">
                  <w:pPr>
                    <w:pStyle w:val="28"/>
                    <w:rPr>
                      <w:highlight w:val="none"/>
                    </w:rPr>
                  </w:pPr>
                </w:p>
              </w:tc>
              <w:tc>
                <w:tcPr>
                  <w:tcW w:w="1127" w:type="pct"/>
                  <w:vMerge w:val="continue"/>
                  <w:tcBorders>
                    <w:tl2br w:val="nil"/>
                    <w:tr2bl w:val="nil"/>
                  </w:tcBorders>
                  <w:vAlign w:val="center"/>
                </w:tcPr>
                <w:p w14:paraId="5E0816A7">
                  <w:pPr>
                    <w:pStyle w:val="28"/>
                    <w:rPr>
                      <w:highlight w:val="none"/>
                    </w:rPr>
                  </w:pPr>
                </w:p>
              </w:tc>
              <w:tc>
                <w:tcPr>
                  <w:tcW w:w="666" w:type="pct"/>
                  <w:tcBorders>
                    <w:tl2br w:val="nil"/>
                    <w:tr2bl w:val="nil"/>
                  </w:tcBorders>
                  <w:vAlign w:val="center"/>
                </w:tcPr>
                <w:p w14:paraId="7759E9D1">
                  <w:pPr>
                    <w:pStyle w:val="28"/>
                    <w:rPr>
                      <w:highlight w:val="none"/>
                    </w:rPr>
                  </w:pPr>
                  <w:r>
                    <w:rPr>
                      <w:rFonts w:hint="eastAsia"/>
                      <w:highlight w:val="none"/>
                    </w:rPr>
                    <w:t>Leq</w:t>
                  </w:r>
                </w:p>
              </w:tc>
              <w:tc>
                <w:tcPr>
                  <w:tcW w:w="1144" w:type="pct"/>
                  <w:vMerge w:val="continue"/>
                  <w:tcBorders>
                    <w:tl2br w:val="nil"/>
                    <w:tr2bl w:val="nil"/>
                  </w:tcBorders>
                  <w:vAlign w:val="center"/>
                </w:tcPr>
                <w:p w14:paraId="4F6BFF5F">
                  <w:pPr>
                    <w:pStyle w:val="28"/>
                    <w:rPr>
                      <w:highlight w:val="none"/>
                    </w:rPr>
                  </w:pPr>
                </w:p>
              </w:tc>
              <w:tc>
                <w:tcPr>
                  <w:tcW w:w="642" w:type="pct"/>
                  <w:tcBorders>
                    <w:tl2br w:val="nil"/>
                    <w:tr2bl w:val="nil"/>
                  </w:tcBorders>
                  <w:vAlign w:val="center"/>
                </w:tcPr>
                <w:p w14:paraId="7D30B081">
                  <w:pPr>
                    <w:pStyle w:val="28"/>
                    <w:rPr>
                      <w:highlight w:val="none"/>
                    </w:rPr>
                  </w:pPr>
                  <w:r>
                    <w:rPr>
                      <w:rFonts w:hint="eastAsia"/>
                      <w:highlight w:val="none"/>
                    </w:rPr>
                    <w:t>Leq</w:t>
                  </w:r>
                </w:p>
              </w:tc>
              <w:tc>
                <w:tcPr>
                  <w:tcW w:w="641" w:type="pct"/>
                  <w:vMerge w:val="continue"/>
                  <w:tcBorders>
                    <w:tl2br w:val="nil"/>
                    <w:tr2bl w:val="nil"/>
                  </w:tcBorders>
                  <w:vAlign w:val="center"/>
                </w:tcPr>
                <w:p w14:paraId="11752AAB">
                  <w:pPr>
                    <w:pStyle w:val="28"/>
                    <w:rPr>
                      <w:rFonts w:hint="eastAsia" w:ascii="Times New Roman" w:hAnsi="Times New Roman" w:eastAsia="宋体" w:cs="Times New Roman"/>
                      <w:highlight w:val="none"/>
                    </w:rPr>
                  </w:pPr>
                </w:p>
              </w:tc>
            </w:tr>
            <w:tr w14:paraId="31866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restart"/>
                  <w:tcBorders>
                    <w:tl2br w:val="nil"/>
                    <w:tr2bl w:val="nil"/>
                  </w:tcBorders>
                  <w:vAlign w:val="center"/>
                </w:tcPr>
                <w:p w14:paraId="519EB770">
                  <w:pPr>
                    <w:pStyle w:val="28"/>
                    <w:rPr>
                      <w:highlight w:val="none"/>
                    </w:rPr>
                  </w:pPr>
                  <w:r>
                    <w:rPr>
                      <w:rFonts w:hint="eastAsia"/>
                      <w:highlight w:val="none"/>
                    </w:rPr>
                    <w:t>厂界外1m处（东侧）</w:t>
                  </w:r>
                </w:p>
              </w:tc>
              <w:tc>
                <w:tcPr>
                  <w:tcW w:w="1868" w:type="dxa"/>
                  <w:tcBorders>
                    <w:tl2br w:val="nil"/>
                    <w:tr2bl w:val="nil"/>
                  </w:tcBorders>
                  <w:vAlign w:val="center"/>
                </w:tcPr>
                <w:p w14:paraId="50F0326E">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02.17 08:35</w:t>
                  </w:r>
                  <w:r>
                    <w:rPr>
                      <w:rFonts w:hint="eastAsia"/>
                      <w:highlight w:val="none"/>
                    </w:rPr>
                    <w:t>~</w:t>
                  </w:r>
                  <w:r>
                    <w:rPr>
                      <w:rFonts w:hint="eastAsia" w:ascii="Times New Roman" w:hAnsi="Times New Roman" w:eastAsia="宋体" w:cs="Times New Roman"/>
                      <w:highlight w:val="none"/>
                      <w:lang w:val="en-US" w:eastAsia="zh-CN"/>
                    </w:rPr>
                    <w:t>08:45</w:t>
                  </w:r>
                </w:p>
              </w:tc>
              <w:tc>
                <w:tcPr>
                  <w:tcW w:w="1104" w:type="dxa"/>
                  <w:tcBorders>
                    <w:tl2br w:val="nil"/>
                    <w:tr2bl w:val="nil"/>
                  </w:tcBorders>
                  <w:vAlign w:val="center"/>
                </w:tcPr>
                <w:p w14:paraId="29CB91A2">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51</w:t>
                  </w:r>
                </w:p>
              </w:tc>
              <w:tc>
                <w:tcPr>
                  <w:tcW w:w="1896" w:type="dxa"/>
                  <w:tcBorders>
                    <w:tl2br w:val="nil"/>
                    <w:tr2bl w:val="nil"/>
                  </w:tcBorders>
                  <w:vAlign w:val="center"/>
                </w:tcPr>
                <w:p w14:paraId="019ECE5E">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02.17 23:18</w:t>
                  </w:r>
                  <w:r>
                    <w:rPr>
                      <w:rFonts w:hint="eastAsia"/>
                      <w:highlight w:val="none"/>
                    </w:rPr>
                    <w:t>~</w:t>
                  </w:r>
                  <w:r>
                    <w:rPr>
                      <w:rFonts w:hint="eastAsia" w:ascii="Times New Roman" w:hAnsi="Times New Roman" w:eastAsia="宋体" w:cs="Times New Roman"/>
                      <w:highlight w:val="none"/>
                      <w:lang w:val="en-US" w:eastAsia="zh-CN"/>
                    </w:rPr>
                    <w:t>23:28</w:t>
                  </w:r>
                </w:p>
              </w:tc>
              <w:tc>
                <w:tcPr>
                  <w:tcW w:w="1064" w:type="dxa"/>
                  <w:tcBorders>
                    <w:tl2br w:val="nil"/>
                    <w:tr2bl w:val="nil"/>
                  </w:tcBorders>
                  <w:vAlign w:val="center"/>
                </w:tcPr>
                <w:p w14:paraId="445FAFCF">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41</w:t>
                  </w:r>
                </w:p>
              </w:tc>
              <w:tc>
                <w:tcPr>
                  <w:tcW w:w="641" w:type="pct"/>
                  <w:tcBorders>
                    <w:tl2br w:val="nil"/>
                    <w:tr2bl w:val="nil"/>
                  </w:tcBorders>
                  <w:vAlign w:val="center"/>
                </w:tcPr>
                <w:p w14:paraId="13BC8831">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61</w:t>
                  </w:r>
                </w:p>
              </w:tc>
            </w:tr>
            <w:tr w14:paraId="2E755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continue"/>
                  <w:tcBorders>
                    <w:tl2br w:val="nil"/>
                    <w:tr2bl w:val="nil"/>
                  </w:tcBorders>
                  <w:vAlign w:val="center"/>
                </w:tcPr>
                <w:p w14:paraId="618B6558">
                  <w:pPr>
                    <w:pStyle w:val="28"/>
                    <w:rPr>
                      <w:highlight w:val="none"/>
                    </w:rPr>
                  </w:pPr>
                </w:p>
              </w:tc>
              <w:tc>
                <w:tcPr>
                  <w:tcW w:w="1868" w:type="dxa"/>
                  <w:tcBorders>
                    <w:tl2br w:val="nil"/>
                    <w:tr2bl w:val="nil"/>
                  </w:tcBorders>
                  <w:vAlign w:val="center"/>
                </w:tcPr>
                <w:p w14:paraId="3BBBD1BD">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02.18 08:29</w:t>
                  </w:r>
                  <w:r>
                    <w:rPr>
                      <w:rFonts w:hint="eastAsia"/>
                      <w:highlight w:val="none"/>
                    </w:rPr>
                    <w:t>~</w:t>
                  </w:r>
                  <w:r>
                    <w:rPr>
                      <w:rFonts w:hint="eastAsia" w:ascii="Times New Roman" w:hAnsi="Times New Roman" w:eastAsia="宋体" w:cs="Times New Roman"/>
                      <w:highlight w:val="none"/>
                      <w:lang w:val="en-US" w:eastAsia="zh-CN"/>
                    </w:rPr>
                    <w:t>08:39</w:t>
                  </w:r>
                </w:p>
              </w:tc>
              <w:tc>
                <w:tcPr>
                  <w:tcW w:w="1104" w:type="dxa"/>
                  <w:tcBorders>
                    <w:tl2br w:val="nil"/>
                    <w:tr2bl w:val="nil"/>
                  </w:tcBorders>
                  <w:vAlign w:val="center"/>
                </w:tcPr>
                <w:p w14:paraId="2F6A014C">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52</w:t>
                  </w:r>
                </w:p>
              </w:tc>
              <w:tc>
                <w:tcPr>
                  <w:tcW w:w="1896" w:type="dxa"/>
                  <w:tcBorders>
                    <w:tl2br w:val="nil"/>
                    <w:tr2bl w:val="nil"/>
                  </w:tcBorders>
                  <w:vAlign w:val="center"/>
                </w:tcPr>
                <w:p w14:paraId="10C09EF3">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02.18 23:28</w:t>
                  </w:r>
                  <w:r>
                    <w:rPr>
                      <w:rFonts w:hint="eastAsia"/>
                      <w:highlight w:val="none"/>
                    </w:rPr>
                    <w:t>~</w:t>
                  </w:r>
                  <w:r>
                    <w:rPr>
                      <w:rFonts w:hint="eastAsia" w:ascii="Times New Roman" w:hAnsi="Times New Roman" w:eastAsia="宋体" w:cs="Times New Roman"/>
                      <w:highlight w:val="none"/>
                      <w:lang w:val="en-US" w:eastAsia="zh-CN"/>
                    </w:rPr>
                    <w:t>23:38</w:t>
                  </w:r>
                </w:p>
              </w:tc>
              <w:tc>
                <w:tcPr>
                  <w:tcW w:w="1064" w:type="dxa"/>
                  <w:tcBorders>
                    <w:tl2br w:val="nil"/>
                    <w:tr2bl w:val="nil"/>
                  </w:tcBorders>
                  <w:vAlign w:val="center"/>
                </w:tcPr>
                <w:p w14:paraId="489E77B0">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44</w:t>
                  </w:r>
                </w:p>
              </w:tc>
              <w:tc>
                <w:tcPr>
                  <w:tcW w:w="641" w:type="pct"/>
                  <w:tcBorders>
                    <w:tl2br w:val="nil"/>
                    <w:tr2bl w:val="nil"/>
                  </w:tcBorders>
                  <w:vAlign w:val="center"/>
                </w:tcPr>
                <w:p w14:paraId="79434BEB">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53</w:t>
                  </w:r>
                </w:p>
              </w:tc>
            </w:tr>
            <w:tr w14:paraId="3FA17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restart"/>
                  <w:tcBorders>
                    <w:tl2br w:val="nil"/>
                    <w:tr2bl w:val="nil"/>
                  </w:tcBorders>
                  <w:vAlign w:val="center"/>
                </w:tcPr>
                <w:p w14:paraId="1945E404">
                  <w:pPr>
                    <w:pStyle w:val="28"/>
                    <w:rPr>
                      <w:highlight w:val="none"/>
                    </w:rPr>
                  </w:pPr>
                  <w:r>
                    <w:rPr>
                      <w:rFonts w:hint="eastAsia"/>
                      <w:highlight w:val="none"/>
                    </w:rPr>
                    <w:t>厂界外1m处（南侧）</w:t>
                  </w:r>
                </w:p>
              </w:tc>
              <w:tc>
                <w:tcPr>
                  <w:tcW w:w="1868" w:type="dxa"/>
                  <w:tcBorders>
                    <w:tl2br w:val="nil"/>
                    <w:tr2bl w:val="nil"/>
                  </w:tcBorders>
                  <w:vAlign w:val="center"/>
                </w:tcPr>
                <w:p w14:paraId="294925BA">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02.17 08:49</w:t>
                  </w:r>
                  <w:r>
                    <w:rPr>
                      <w:rFonts w:hint="eastAsia"/>
                      <w:highlight w:val="none"/>
                    </w:rPr>
                    <w:t>~</w:t>
                  </w:r>
                  <w:r>
                    <w:rPr>
                      <w:rFonts w:hint="eastAsia" w:ascii="Times New Roman" w:hAnsi="Times New Roman" w:eastAsia="宋体" w:cs="Times New Roman"/>
                      <w:highlight w:val="none"/>
                      <w:lang w:val="en-US" w:eastAsia="zh-CN"/>
                    </w:rPr>
                    <w:t>08:59</w:t>
                  </w:r>
                </w:p>
              </w:tc>
              <w:tc>
                <w:tcPr>
                  <w:tcW w:w="1104" w:type="dxa"/>
                  <w:tcBorders>
                    <w:tl2br w:val="nil"/>
                    <w:tr2bl w:val="nil"/>
                  </w:tcBorders>
                  <w:vAlign w:val="center"/>
                </w:tcPr>
                <w:p w14:paraId="76392ADB">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51</w:t>
                  </w:r>
                </w:p>
              </w:tc>
              <w:tc>
                <w:tcPr>
                  <w:tcW w:w="1896" w:type="dxa"/>
                  <w:tcBorders>
                    <w:tl2br w:val="nil"/>
                    <w:tr2bl w:val="nil"/>
                  </w:tcBorders>
                  <w:vAlign w:val="center"/>
                </w:tcPr>
                <w:p w14:paraId="0A2E0F0B">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02.17 23:33</w:t>
                  </w:r>
                  <w:r>
                    <w:rPr>
                      <w:rFonts w:hint="eastAsia"/>
                      <w:highlight w:val="none"/>
                    </w:rPr>
                    <w:t>~</w:t>
                  </w:r>
                  <w:r>
                    <w:rPr>
                      <w:rFonts w:hint="eastAsia" w:ascii="Times New Roman" w:hAnsi="Times New Roman" w:eastAsia="宋体" w:cs="Times New Roman"/>
                      <w:highlight w:val="none"/>
                      <w:lang w:val="en-US" w:eastAsia="zh-CN"/>
                    </w:rPr>
                    <w:t>23:43</w:t>
                  </w:r>
                </w:p>
              </w:tc>
              <w:tc>
                <w:tcPr>
                  <w:tcW w:w="1064" w:type="dxa"/>
                  <w:tcBorders>
                    <w:tl2br w:val="nil"/>
                    <w:tr2bl w:val="nil"/>
                  </w:tcBorders>
                  <w:vAlign w:val="center"/>
                </w:tcPr>
                <w:p w14:paraId="2403D9A9">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43</w:t>
                  </w:r>
                </w:p>
              </w:tc>
              <w:tc>
                <w:tcPr>
                  <w:tcW w:w="641" w:type="pct"/>
                  <w:tcBorders>
                    <w:tl2br w:val="nil"/>
                    <w:tr2bl w:val="nil"/>
                  </w:tcBorders>
                  <w:vAlign w:val="center"/>
                </w:tcPr>
                <w:p w14:paraId="67A4B401">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57</w:t>
                  </w:r>
                </w:p>
              </w:tc>
            </w:tr>
            <w:tr w14:paraId="0DD8E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continue"/>
                  <w:tcBorders>
                    <w:tl2br w:val="nil"/>
                    <w:tr2bl w:val="nil"/>
                  </w:tcBorders>
                  <w:vAlign w:val="center"/>
                </w:tcPr>
                <w:p w14:paraId="267539A3">
                  <w:pPr>
                    <w:pStyle w:val="28"/>
                    <w:rPr>
                      <w:highlight w:val="none"/>
                    </w:rPr>
                  </w:pPr>
                </w:p>
              </w:tc>
              <w:tc>
                <w:tcPr>
                  <w:tcW w:w="1868" w:type="dxa"/>
                  <w:tcBorders>
                    <w:tl2br w:val="nil"/>
                    <w:tr2bl w:val="nil"/>
                  </w:tcBorders>
                  <w:vAlign w:val="center"/>
                </w:tcPr>
                <w:p w14:paraId="7A30E5A6">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02.18 08:42</w:t>
                  </w:r>
                  <w:r>
                    <w:rPr>
                      <w:rFonts w:hint="eastAsia"/>
                      <w:highlight w:val="none"/>
                    </w:rPr>
                    <w:t>~</w:t>
                  </w:r>
                  <w:r>
                    <w:rPr>
                      <w:rFonts w:hint="eastAsia" w:ascii="Times New Roman" w:hAnsi="Times New Roman" w:eastAsia="宋体" w:cs="Times New Roman"/>
                      <w:highlight w:val="none"/>
                      <w:lang w:val="en-US" w:eastAsia="zh-CN"/>
                    </w:rPr>
                    <w:t>08:52</w:t>
                  </w:r>
                </w:p>
              </w:tc>
              <w:tc>
                <w:tcPr>
                  <w:tcW w:w="1104" w:type="dxa"/>
                  <w:tcBorders>
                    <w:tl2br w:val="nil"/>
                    <w:tr2bl w:val="nil"/>
                  </w:tcBorders>
                  <w:vAlign w:val="center"/>
                </w:tcPr>
                <w:p w14:paraId="40E6FD6D">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54</w:t>
                  </w:r>
                </w:p>
              </w:tc>
              <w:tc>
                <w:tcPr>
                  <w:tcW w:w="1896" w:type="dxa"/>
                  <w:tcBorders>
                    <w:tl2br w:val="nil"/>
                    <w:tr2bl w:val="nil"/>
                  </w:tcBorders>
                  <w:vAlign w:val="center"/>
                </w:tcPr>
                <w:p w14:paraId="78951CA1">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02.18 23:43</w:t>
                  </w:r>
                  <w:r>
                    <w:rPr>
                      <w:rFonts w:hint="eastAsia"/>
                      <w:highlight w:val="none"/>
                    </w:rPr>
                    <w:t>~</w:t>
                  </w:r>
                  <w:r>
                    <w:rPr>
                      <w:rFonts w:hint="eastAsia" w:ascii="Times New Roman" w:hAnsi="Times New Roman" w:eastAsia="宋体" w:cs="Times New Roman"/>
                      <w:highlight w:val="none"/>
                      <w:lang w:val="en-US" w:eastAsia="zh-CN"/>
                    </w:rPr>
                    <w:t>23:53</w:t>
                  </w:r>
                </w:p>
              </w:tc>
              <w:tc>
                <w:tcPr>
                  <w:tcW w:w="1064" w:type="dxa"/>
                  <w:tcBorders>
                    <w:tl2br w:val="nil"/>
                    <w:tr2bl w:val="nil"/>
                  </w:tcBorders>
                  <w:vAlign w:val="center"/>
                </w:tcPr>
                <w:p w14:paraId="0B784B1F">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42</w:t>
                  </w:r>
                </w:p>
              </w:tc>
              <w:tc>
                <w:tcPr>
                  <w:tcW w:w="641" w:type="pct"/>
                  <w:tcBorders>
                    <w:tl2br w:val="nil"/>
                    <w:tr2bl w:val="nil"/>
                  </w:tcBorders>
                  <w:vAlign w:val="center"/>
                </w:tcPr>
                <w:p w14:paraId="63057810">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56</w:t>
                  </w:r>
                </w:p>
              </w:tc>
            </w:tr>
            <w:tr w14:paraId="15E26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restart"/>
                  <w:tcBorders>
                    <w:tl2br w:val="nil"/>
                    <w:tr2bl w:val="nil"/>
                  </w:tcBorders>
                  <w:vAlign w:val="center"/>
                </w:tcPr>
                <w:p w14:paraId="493580E2">
                  <w:pPr>
                    <w:pStyle w:val="28"/>
                    <w:rPr>
                      <w:highlight w:val="none"/>
                    </w:rPr>
                  </w:pPr>
                  <w:r>
                    <w:rPr>
                      <w:rFonts w:hint="eastAsia"/>
                      <w:highlight w:val="none"/>
                    </w:rPr>
                    <w:t>厂界外1m处（西侧）</w:t>
                  </w:r>
                </w:p>
              </w:tc>
              <w:tc>
                <w:tcPr>
                  <w:tcW w:w="1868" w:type="dxa"/>
                  <w:tcBorders>
                    <w:tl2br w:val="nil"/>
                    <w:tr2bl w:val="nil"/>
                  </w:tcBorders>
                  <w:vAlign w:val="center"/>
                </w:tcPr>
                <w:p w14:paraId="249E4295">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02.17 09:05</w:t>
                  </w:r>
                  <w:r>
                    <w:rPr>
                      <w:rFonts w:hint="eastAsia"/>
                      <w:highlight w:val="none"/>
                    </w:rPr>
                    <w:t>~</w:t>
                  </w:r>
                  <w:r>
                    <w:rPr>
                      <w:rFonts w:hint="eastAsia" w:ascii="Times New Roman" w:hAnsi="Times New Roman" w:eastAsia="宋体" w:cs="Times New Roman"/>
                      <w:highlight w:val="none"/>
                      <w:lang w:val="en-US" w:eastAsia="zh-CN"/>
                    </w:rPr>
                    <w:t>09:15</w:t>
                  </w:r>
                </w:p>
              </w:tc>
              <w:tc>
                <w:tcPr>
                  <w:tcW w:w="1104" w:type="dxa"/>
                  <w:tcBorders>
                    <w:tl2br w:val="nil"/>
                    <w:tr2bl w:val="nil"/>
                  </w:tcBorders>
                  <w:vAlign w:val="center"/>
                </w:tcPr>
                <w:p w14:paraId="666D17DB">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52</w:t>
                  </w:r>
                </w:p>
              </w:tc>
              <w:tc>
                <w:tcPr>
                  <w:tcW w:w="1896" w:type="dxa"/>
                  <w:tcBorders>
                    <w:tl2br w:val="nil"/>
                    <w:tr2bl w:val="nil"/>
                  </w:tcBorders>
                  <w:vAlign w:val="center"/>
                </w:tcPr>
                <w:p w14:paraId="02392293">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02.17 23:48</w:t>
                  </w:r>
                  <w:r>
                    <w:rPr>
                      <w:rFonts w:hint="eastAsia"/>
                      <w:highlight w:val="none"/>
                    </w:rPr>
                    <w:t>~</w:t>
                  </w:r>
                  <w:r>
                    <w:rPr>
                      <w:rFonts w:hint="eastAsia" w:ascii="Times New Roman" w:hAnsi="Times New Roman" w:eastAsia="宋体" w:cs="Times New Roman"/>
                      <w:highlight w:val="none"/>
                      <w:lang w:val="en-US" w:eastAsia="zh-CN"/>
                    </w:rPr>
                    <w:t>23:58</w:t>
                  </w:r>
                </w:p>
              </w:tc>
              <w:tc>
                <w:tcPr>
                  <w:tcW w:w="1064" w:type="dxa"/>
                  <w:tcBorders>
                    <w:tl2br w:val="nil"/>
                    <w:tr2bl w:val="nil"/>
                  </w:tcBorders>
                  <w:vAlign w:val="center"/>
                </w:tcPr>
                <w:p w14:paraId="64F01819">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42</w:t>
                  </w:r>
                </w:p>
              </w:tc>
              <w:tc>
                <w:tcPr>
                  <w:tcW w:w="641" w:type="pct"/>
                  <w:tcBorders>
                    <w:tl2br w:val="nil"/>
                    <w:tr2bl w:val="nil"/>
                  </w:tcBorders>
                  <w:vAlign w:val="center"/>
                </w:tcPr>
                <w:p w14:paraId="02761286">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57</w:t>
                  </w:r>
                </w:p>
              </w:tc>
            </w:tr>
            <w:tr w14:paraId="1C54E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continue"/>
                  <w:tcBorders>
                    <w:tl2br w:val="nil"/>
                    <w:tr2bl w:val="nil"/>
                  </w:tcBorders>
                  <w:vAlign w:val="center"/>
                </w:tcPr>
                <w:p w14:paraId="5471EED6">
                  <w:pPr>
                    <w:pStyle w:val="28"/>
                    <w:rPr>
                      <w:highlight w:val="none"/>
                    </w:rPr>
                  </w:pPr>
                </w:p>
              </w:tc>
              <w:tc>
                <w:tcPr>
                  <w:tcW w:w="1868" w:type="dxa"/>
                  <w:tcBorders>
                    <w:tl2br w:val="nil"/>
                    <w:tr2bl w:val="nil"/>
                  </w:tcBorders>
                  <w:vAlign w:val="center"/>
                </w:tcPr>
                <w:p w14:paraId="31E45D03">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02.18 08:57</w:t>
                  </w:r>
                  <w:r>
                    <w:rPr>
                      <w:rFonts w:hint="eastAsia"/>
                      <w:highlight w:val="none"/>
                    </w:rPr>
                    <w:t>~</w:t>
                  </w:r>
                  <w:r>
                    <w:rPr>
                      <w:rFonts w:hint="eastAsia" w:ascii="Times New Roman" w:hAnsi="Times New Roman" w:eastAsia="宋体" w:cs="Times New Roman"/>
                      <w:highlight w:val="none"/>
                      <w:lang w:val="en-US" w:eastAsia="zh-CN"/>
                    </w:rPr>
                    <w:t>09:07</w:t>
                  </w:r>
                </w:p>
              </w:tc>
              <w:tc>
                <w:tcPr>
                  <w:tcW w:w="1104" w:type="dxa"/>
                  <w:tcBorders>
                    <w:tl2br w:val="nil"/>
                    <w:tr2bl w:val="nil"/>
                  </w:tcBorders>
                  <w:vAlign w:val="center"/>
                </w:tcPr>
                <w:p w14:paraId="20D10AB1">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51</w:t>
                  </w:r>
                </w:p>
              </w:tc>
              <w:tc>
                <w:tcPr>
                  <w:tcW w:w="1896" w:type="dxa"/>
                  <w:tcBorders>
                    <w:tl2br w:val="nil"/>
                    <w:tr2bl w:val="nil"/>
                  </w:tcBorders>
                  <w:vAlign w:val="center"/>
                </w:tcPr>
                <w:p w14:paraId="0E93F089">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02.19 00:01</w:t>
                  </w:r>
                  <w:r>
                    <w:rPr>
                      <w:rFonts w:hint="eastAsia"/>
                      <w:highlight w:val="none"/>
                    </w:rPr>
                    <w:t>~</w:t>
                  </w:r>
                  <w:r>
                    <w:rPr>
                      <w:rFonts w:hint="eastAsia" w:ascii="Times New Roman" w:hAnsi="Times New Roman" w:eastAsia="宋体" w:cs="Times New Roman"/>
                      <w:highlight w:val="none"/>
                      <w:lang w:val="en-US" w:eastAsia="zh-CN"/>
                    </w:rPr>
                    <w:t>00:11</w:t>
                  </w:r>
                </w:p>
              </w:tc>
              <w:tc>
                <w:tcPr>
                  <w:tcW w:w="1064" w:type="dxa"/>
                  <w:tcBorders>
                    <w:tl2br w:val="nil"/>
                    <w:tr2bl w:val="nil"/>
                  </w:tcBorders>
                  <w:vAlign w:val="center"/>
                </w:tcPr>
                <w:p w14:paraId="5C7F6F24">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41</w:t>
                  </w:r>
                </w:p>
              </w:tc>
              <w:tc>
                <w:tcPr>
                  <w:tcW w:w="641" w:type="pct"/>
                  <w:tcBorders>
                    <w:tl2br w:val="nil"/>
                    <w:tr2bl w:val="nil"/>
                  </w:tcBorders>
                  <w:vAlign w:val="center"/>
                </w:tcPr>
                <w:p w14:paraId="089C49B0">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52</w:t>
                  </w:r>
                </w:p>
              </w:tc>
            </w:tr>
            <w:tr w14:paraId="5A3CF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restart"/>
                  <w:tcBorders>
                    <w:tl2br w:val="nil"/>
                    <w:tr2bl w:val="nil"/>
                  </w:tcBorders>
                  <w:vAlign w:val="center"/>
                </w:tcPr>
                <w:p w14:paraId="2D5BC6A8">
                  <w:pPr>
                    <w:pStyle w:val="28"/>
                    <w:rPr>
                      <w:highlight w:val="none"/>
                    </w:rPr>
                  </w:pPr>
                  <w:r>
                    <w:rPr>
                      <w:rFonts w:hint="eastAsia"/>
                      <w:highlight w:val="none"/>
                    </w:rPr>
                    <w:t>厂界外1m处（北侧）</w:t>
                  </w:r>
                </w:p>
              </w:tc>
              <w:tc>
                <w:tcPr>
                  <w:tcW w:w="1868" w:type="dxa"/>
                  <w:tcBorders>
                    <w:tl2br w:val="nil"/>
                    <w:tr2bl w:val="nil"/>
                  </w:tcBorders>
                  <w:vAlign w:val="center"/>
                </w:tcPr>
                <w:p w14:paraId="34E0D660">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02.17 09:38</w:t>
                  </w:r>
                  <w:r>
                    <w:rPr>
                      <w:rFonts w:hint="eastAsia"/>
                      <w:highlight w:val="none"/>
                    </w:rPr>
                    <w:t>~</w:t>
                  </w:r>
                  <w:r>
                    <w:rPr>
                      <w:rFonts w:hint="eastAsia" w:ascii="Times New Roman" w:hAnsi="Times New Roman" w:eastAsia="宋体" w:cs="Times New Roman"/>
                      <w:highlight w:val="none"/>
                      <w:lang w:val="en-US" w:eastAsia="zh-CN"/>
                    </w:rPr>
                    <w:t>09:48</w:t>
                  </w:r>
                </w:p>
              </w:tc>
              <w:tc>
                <w:tcPr>
                  <w:tcW w:w="1104" w:type="dxa"/>
                  <w:tcBorders>
                    <w:tl2br w:val="nil"/>
                    <w:tr2bl w:val="nil"/>
                  </w:tcBorders>
                  <w:vAlign w:val="center"/>
                </w:tcPr>
                <w:p w14:paraId="308CF552">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53</w:t>
                  </w:r>
                </w:p>
              </w:tc>
              <w:tc>
                <w:tcPr>
                  <w:tcW w:w="1896" w:type="dxa"/>
                  <w:tcBorders>
                    <w:tl2br w:val="nil"/>
                    <w:tr2bl w:val="nil"/>
                  </w:tcBorders>
                  <w:vAlign w:val="center"/>
                </w:tcPr>
                <w:p w14:paraId="2AAC1977">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02.18 00:05</w:t>
                  </w:r>
                  <w:r>
                    <w:rPr>
                      <w:rFonts w:hint="eastAsia"/>
                      <w:highlight w:val="none"/>
                    </w:rPr>
                    <w:t>~</w:t>
                  </w:r>
                  <w:r>
                    <w:rPr>
                      <w:rFonts w:hint="eastAsia" w:ascii="Times New Roman" w:hAnsi="Times New Roman" w:eastAsia="宋体" w:cs="Times New Roman"/>
                      <w:highlight w:val="none"/>
                      <w:lang w:val="en-US" w:eastAsia="zh-CN"/>
                    </w:rPr>
                    <w:t>00:15</w:t>
                  </w:r>
                </w:p>
              </w:tc>
              <w:tc>
                <w:tcPr>
                  <w:tcW w:w="1064" w:type="dxa"/>
                  <w:tcBorders>
                    <w:tl2br w:val="nil"/>
                    <w:tr2bl w:val="nil"/>
                  </w:tcBorders>
                  <w:vAlign w:val="center"/>
                </w:tcPr>
                <w:p w14:paraId="2759B96E">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42</w:t>
                  </w:r>
                </w:p>
              </w:tc>
              <w:tc>
                <w:tcPr>
                  <w:tcW w:w="641" w:type="pct"/>
                  <w:tcBorders>
                    <w:tl2br w:val="nil"/>
                    <w:tr2bl w:val="nil"/>
                  </w:tcBorders>
                  <w:vAlign w:val="center"/>
                </w:tcPr>
                <w:p w14:paraId="54619E0A">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58</w:t>
                  </w:r>
                </w:p>
              </w:tc>
            </w:tr>
            <w:tr w14:paraId="0A903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vMerge w:val="continue"/>
                  <w:tcBorders>
                    <w:tl2br w:val="nil"/>
                    <w:tr2bl w:val="nil"/>
                  </w:tcBorders>
                  <w:vAlign w:val="center"/>
                </w:tcPr>
                <w:p w14:paraId="79700C87">
                  <w:pPr>
                    <w:pStyle w:val="28"/>
                    <w:rPr>
                      <w:highlight w:val="none"/>
                    </w:rPr>
                  </w:pPr>
                </w:p>
              </w:tc>
              <w:tc>
                <w:tcPr>
                  <w:tcW w:w="1868" w:type="dxa"/>
                  <w:tcBorders>
                    <w:tl2br w:val="nil"/>
                    <w:tr2bl w:val="nil"/>
                  </w:tcBorders>
                  <w:vAlign w:val="center"/>
                </w:tcPr>
                <w:p w14:paraId="5A9DA328">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02.18 09:52</w:t>
                  </w:r>
                  <w:r>
                    <w:rPr>
                      <w:rFonts w:hint="eastAsia"/>
                      <w:highlight w:val="none"/>
                    </w:rPr>
                    <w:t>~</w:t>
                  </w:r>
                  <w:r>
                    <w:rPr>
                      <w:rFonts w:hint="eastAsia" w:ascii="Times New Roman" w:hAnsi="Times New Roman" w:eastAsia="宋体" w:cs="Times New Roman"/>
                      <w:highlight w:val="none"/>
                      <w:lang w:val="en-US" w:eastAsia="zh-CN"/>
                    </w:rPr>
                    <w:t>10:02</w:t>
                  </w:r>
                </w:p>
              </w:tc>
              <w:tc>
                <w:tcPr>
                  <w:tcW w:w="1104" w:type="dxa"/>
                  <w:tcBorders>
                    <w:tl2br w:val="nil"/>
                    <w:tr2bl w:val="nil"/>
                  </w:tcBorders>
                  <w:vAlign w:val="center"/>
                </w:tcPr>
                <w:p w14:paraId="6C892925">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52</w:t>
                  </w:r>
                </w:p>
              </w:tc>
              <w:tc>
                <w:tcPr>
                  <w:tcW w:w="1896" w:type="dxa"/>
                  <w:tcBorders>
                    <w:tl2br w:val="nil"/>
                    <w:tr2bl w:val="nil"/>
                  </w:tcBorders>
                  <w:vAlign w:val="center"/>
                </w:tcPr>
                <w:p w14:paraId="64FC54B2">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02.19 00:15</w:t>
                  </w:r>
                  <w:r>
                    <w:rPr>
                      <w:rFonts w:hint="eastAsia"/>
                      <w:highlight w:val="none"/>
                    </w:rPr>
                    <w:t>~</w:t>
                  </w:r>
                  <w:r>
                    <w:rPr>
                      <w:rFonts w:hint="eastAsia" w:ascii="Times New Roman" w:hAnsi="Times New Roman" w:eastAsia="宋体" w:cs="Times New Roman"/>
                      <w:highlight w:val="none"/>
                      <w:lang w:val="en-US" w:eastAsia="zh-CN"/>
                    </w:rPr>
                    <w:t>00:25</w:t>
                  </w:r>
                </w:p>
              </w:tc>
              <w:tc>
                <w:tcPr>
                  <w:tcW w:w="1064" w:type="dxa"/>
                  <w:tcBorders>
                    <w:tl2br w:val="nil"/>
                    <w:tr2bl w:val="nil"/>
                  </w:tcBorders>
                  <w:vAlign w:val="center"/>
                </w:tcPr>
                <w:p w14:paraId="3F4A0C01">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41</w:t>
                  </w:r>
                </w:p>
              </w:tc>
              <w:tc>
                <w:tcPr>
                  <w:tcW w:w="641" w:type="pct"/>
                  <w:tcBorders>
                    <w:tl2br w:val="nil"/>
                    <w:tr2bl w:val="nil"/>
                  </w:tcBorders>
                  <w:vAlign w:val="center"/>
                </w:tcPr>
                <w:p w14:paraId="45C5EA9E">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53</w:t>
                  </w:r>
                </w:p>
              </w:tc>
            </w:tr>
            <w:tr w14:paraId="276E7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tcBorders>
                    <w:tl2br w:val="nil"/>
                    <w:tr2bl w:val="nil"/>
                  </w:tcBorders>
                  <w:vAlign w:val="center"/>
                </w:tcPr>
                <w:p w14:paraId="29774EF9">
                  <w:pPr>
                    <w:pStyle w:val="28"/>
                    <w:rPr>
                      <w:highlight w:val="none"/>
                    </w:rPr>
                  </w:pPr>
                  <w:r>
                    <w:rPr>
                      <w:rFonts w:hint="eastAsia"/>
                      <w:highlight w:val="none"/>
                    </w:rPr>
                    <w:t>执行标准</w:t>
                  </w:r>
                </w:p>
              </w:tc>
              <w:tc>
                <w:tcPr>
                  <w:tcW w:w="1794" w:type="pct"/>
                  <w:gridSpan w:val="2"/>
                  <w:tcBorders>
                    <w:tl2br w:val="nil"/>
                    <w:tr2bl w:val="nil"/>
                  </w:tcBorders>
                  <w:vAlign w:val="center"/>
                </w:tcPr>
                <w:p w14:paraId="611D7C2C">
                  <w:pPr>
                    <w:pStyle w:val="28"/>
                    <w:rPr>
                      <w:highlight w:val="none"/>
                    </w:rPr>
                  </w:pPr>
                  <w:r>
                    <w:rPr>
                      <w:rFonts w:hint="eastAsia"/>
                      <w:highlight w:val="none"/>
                    </w:rPr>
                    <w:t>60</w:t>
                  </w:r>
                </w:p>
              </w:tc>
              <w:tc>
                <w:tcPr>
                  <w:tcW w:w="1787" w:type="pct"/>
                  <w:gridSpan w:val="2"/>
                  <w:tcBorders>
                    <w:tl2br w:val="nil"/>
                    <w:tr2bl w:val="nil"/>
                  </w:tcBorders>
                  <w:vAlign w:val="center"/>
                </w:tcPr>
                <w:p w14:paraId="43319C65">
                  <w:pPr>
                    <w:pStyle w:val="28"/>
                    <w:rPr>
                      <w:highlight w:val="none"/>
                    </w:rPr>
                  </w:pPr>
                  <w:r>
                    <w:rPr>
                      <w:rFonts w:hint="eastAsia"/>
                      <w:highlight w:val="none"/>
                    </w:rPr>
                    <w:t>50</w:t>
                  </w:r>
                </w:p>
              </w:tc>
              <w:tc>
                <w:tcPr>
                  <w:tcW w:w="641" w:type="pct"/>
                  <w:tcBorders>
                    <w:tl2br w:val="nil"/>
                    <w:tr2bl w:val="nil"/>
                  </w:tcBorders>
                  <w:vAlign w:val="center"/>
                </w:tcPr>
                <w:p w14:paraId="25C54742">
                  <w:pPr>
                    <w:pStyle w:val="28"/>
                    <w:rPr>
                      <w:rFonts w:hint="default" w:eastAsia="宋体"/>
                      <w:highlight w:val="none"/>
                      <w:lang w:val="en-US" w:eastAsia="zh-CN"/>
                    </w:rPr>
                  </w:pPr>
                  <w:r>
                    <w:rPr>
                      <w:rFonts w:hint="eastAsia"/>
                      <w:highlight w:val="none"/>
                      <w:lang w:val="en-US" w:eastAsia="zh-CN"/>
                    </w:rPr>
                    <w:t>65</w:t>
                  </w:r>
                </w:p>
              </w:tc>
            </w:tr>
            <w:tr w14:paraId="5C8E1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pct"/>
                  <w:tcBorders>
                    <w:tl2br w:val="nil"/>
                    <w:tr2bl w:val="nil"/>
                  </w:tcBorders>
                  <w:vAlign w:val="center"/>
                </w:tcPr>
                <w:p w14:paraId="613AE1EE">
                  <w:pPr>
                    <w:pStyle w:val="28"/>
                    <w:rPr>
                      <w:highlight w:val="none"/>
                    </w:rPr>
                  </w:pPr>
                  <w:r>
                    <w:rPr>
                      <w:rFonts w:hint="eastAsia"/>
                      <w:highlight w:val="none"/>
                    </w:rPr>
                    <w:t>达标情况</w:t>
                  </w:r>
                </w:p>
              </w:tc>
              <w:tc>
                <w:tcPr>
                  <w:tcW w:w="1794" w:type="pct"/>
                  <w:gridSpan w:val="2"/>
                  <w:tcBorders>
                    <w:tl2br w:val="nil"/>
                    <w:tr2bl w:val="nil"/>
                  </w:tcBorders>
                  <w:vAlign w:val="center"/>
                </w:tcPr>
                <w:p w14:paraId="2AFA5B74">
                  <w:pPr>
                    <w:pStyle w:val="28"/>
                    <w:rPr>
                      <w:highlight w:val="none"/>
                    </w:rPr>
                  </w:pPr>
                  <w:r>
                    <w:rPr>
                      <w:rFonts w:hint="eastAsia"/>
                      <w:highlight w:val="none"/>
                    </w:rPr>
                    <w:t>达标</w:t>
                  </w:r>
                </w:p>
              </w:tc>
              <w:tc>
                <w:tcPr>
                  <w:tcW w:w="1787" w:type="pct"/>
                  <w:gridSpan w:val="2"/>
                  <w:tcBorders>
                    <w:tl2br w:val="nil"/>
                    <w:tr2bl w:val="nil"/>
                  </w:tcBorders>
                  <w:vAlign w:val="center"/>
                </w:tcPr>
                <w:p w14:paraId="61932B82">
                  <w:pPr>
                    <w:pStyle w:val="28"/>
                    <w:rPr>
                      <w:highlight w:val="none"/>
                    </w:rPr>
                  </w:pPr>
                  <w:r>
                    <w:rPr>
                      <w:rFonts w:hint="eastAsia"/>
                      <w:highlight w:val="none"/>
                    </w:rPr>
                    <w:t>达标</w:t>
                  </w:r>
                </w:p>
              </w:tc>
              <w:tc>
                <w:tcPr>
                  <w:tcW w:w="641" w:type="pct"/>
                  <w:tcBorders>
                    <w:tl2br w:val="nil"/>
                    <w:tr2bl w:val="nil"/>
                  </w:tcBorders>
                  <w:vAlign w:val="center"/>
                </w:tcPr>
                <w:p w14:paraId="6E895DBB">
                  <w:pPr>
                    <w:pStyle w:val="28"/>
                    <w:rPr>
                      <w:rFonts w:hint="eastAsia" w:eastAsia="宋体"/>
                      <w:highlight w:val="none"/>
                      <w:lang w:val="en-US" w:eastAsia="zh-CN"/>
                    </w:rPr>
                  </w:pPr>
                  <w:r>
                    <w:rPr>
                      <w:rFonts w:hint="eastAsia"/>
                      <w:highlight w:val="none"/>
                      <w:lang w:val="en-US" w:eastAsia="zh-CN"/>
                    </w:rPr>
                    <w:t>达标</w:t>
                  </w:r>
                </w:p>
              </w:tc>
            </w:tr>
          </w:tbl>
          <w:p w14:paraId="1D9500D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通过上表可知，项目区声环境现状满足</w:t>
            </w:r>
            <w:r>
              <w:rPr>
                <w:rFonts w:hint="eastAsia"/>
                <w:color w:val="000000"/>
                <w:kern w:val="0"/>
                <w:highlight w:val="none"/>
                <w:lang w:eastAsia="zh-CN" w:bidi="ar"/>
              </w:rPr>
              <w:t>《声环境质量标准》（</w:t>
            </w:r>
            <w:r>
              <w:rPr>
                <w:color w:val="000000"/>
                <w:kern w:val="0"/>
                <w:highlight w:val="none"/>
                <w:lang w:eastAsia="zh-CN" w:bidi="ar"/>
              </w:rPr>
              <w:t>GB3096-2008</w:t>
            </w:r>
            <w:r>
              <w:rPr>
                <w:rFonts w:hint="eastAsia"/>
                <w:color w:val="000000"/>
                <w:kern w:val="0"/>
                <w:highlight w:val="none"/>
                <w:lang w:eastAsia="zh-CN" w:bidi="ar"/>
              </w:rPr>
              <w:t>）</w:t>
            </w:r>
            <w:r>
              <w:rPr>
                <w:color w:val="000000"/>
                <w:kern w:val="0"/>
                <w:highlight w:val="none"/>
                <w:lang w:eastAsia="zh-CN" w:bidi="ar"/>
              </w:rPr>
              <w:t>2</w:t>
            </w:r>
            <w:r>
              <w:rPr>
                <w:rFonts w:hint="eastAsia"/>
                <w:color w:val="000000"/>
                <w:kern w:val="0"/>
                <w:highlight w:val="none"/>
                <w:lang w:eastAsia="zh-CN" w:bidi="ar"/>
              </w:rPr>
              <w:t>类标准要求</w:t>
            </w:r>
            <w:r>
              <w:rPr>
                <w:rFonts w:hint="eastAsia"/>
                <w:color w:val="000000" w:themeColor="text1"/>
                <w:highlight w:val="none"/>
                <w:lang w:eastAsia="zh-CN"/>
                <w14:textFill>
                  <w14:solidFill>
                    <w14:schemeClr w14:val="tx1"/>
                  </w14:solidFill>
                </w14:textFill>
              </w:rPr>
              <w:t>。</w:t>
            </w:r>
          </w:p>
          <w:p w14:paraId="784F3556">
            <w:pPr>
              <w:widowControl/>
              <w:spacing w:line="360" w:lineRule="auto"/>
              <w:jc w:val="left"/>
              <w:rPr>
                <w:b/>
                <w:bCs/>
                <w:color w:val="000000" w:themeColor="text1"/>
                <w:kern w:val="0"/>
                <w:sz w:val="28"/>
                <w:szCs w:val="28"/>
                <w:highlight w:val="none"/>
                <w:lang w:bidi="ar"/>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4</w:t>
            </w:r>
            <w:r>
              <w:rPr>
                <w:rFonts w:hint="eastAsia"/>
                <w:b/>
                <w:bCs/>
                <w:color w:val="000000" w:themeColor="text1"/>
                <w:kern w:val="0"/>
                <w:sz w:val="28"/>
                <w:szCs w:val="28"/>
                <w:highlight w:val="none"/>
                <w:lang w:bidi="ar"/>
                <w14:textFill>
                  <w14:solidFill>
                    <w14:schemeClr w14:val="tx1"/>
                  </w14:solidFill>
                </w14:textFill>
              </w:rPr>
              <w:t>.生态环境质量现状</w:t>
            </w:r>
          </w:p>
          <w:p w14:paraId="11BE2BA4">
            <w:pPr>
              <w:pStyle w:val="34"/>
              <w:rPr>
                <w:color w:val="000000" w:themeColor="text1"/>
                <w:kern w:val="0"/>
                <w:szCs w:val="21"/>
                <w:highlight w:val="none"/>
                <w:lang w:eastAsia="zh-CN"/>
                <w14:textFill>
                  <w14:solidFill>
                    <w14:schemeClr w14:val="tx1"/>
                  </w14:solidFill>
                </w14:textFill>
              </w:rPr>
            </w:pPr>
            <w:r>
              <w:rPr>
                <w:highlight w:val="none"/>
                <w:lang w:val="zh-CN" w:eastAsia="zh-CN"/>
              </w:rPr>
              <w:t>项目位于</w:t>
            </w:r>
            <w:r>
              <w:rPr>
                <w:rFonts w:hint="eastAsia"/>
                <w:color w:val="000000" w:themeColor="text1"/>
                <w:highlight w:val="none"/>
                <w:lang w:eastAsia="zh-CN"/>
                <w14:textFill>
                  <w14:solidFill>
                    <w14:schemeClr w14:val="tx1"/>
                  </w14:solidFill>
                </w14:textFill>
              </w:rPr>
              <w:t>云南省昆明市寻甸县羊街镇龙池村</w:t>
            </w:r>
            <w:r>
              <w:rPr>
                <w:highlight w:val="none"/>
                <w:lang w:val="zh-CN" w:eastAsia="zh-CN"/>
              </w:rPr>
              <w:t>，</w:t>
            </w:r>
            <w:r>
              <w:rPr>
                <w:rFonts w:hint="eastAsia" w:cs="Times New Roman"/>
                <w:szCs w:val="22"/>
                <w:highlight w:val="none"/>
                <w:lang w:eastAsia="zh-CN"/>
              </w:rPr>
              <w:t>评价范围内植被主要为周边道路两旁及企业内部绿化植物，无其他原生植被。区域内野生动物较少，多为常见物种，主要有鼠、燕子、山麻雀等。评价区内</w:t>
            </w:r>
            <w:r>
              <w:rPr>
                <w:rFonts w:hint="eastAsia"/>
                <w:color w:val="000000" w:themeColor="text1"/>
                <w:highlight w:val="none"/>
                <w:lang w:eastAsia="zh-CN"/>
                <w14:textFill>
                  <w14:solidFill>
                    <w14:schemeClr w14:val="tx1"/>
                  </w14:solidFill>
                </w14:textFill>
              </w:rPr>
              <w:t>无自然保护区和风景名胜区，不涉及国家和省级重点保护野生动植物，不是国家和省级重点保护动物的迁徙通道，也无文物古迹和古树名木，无特殊保护生态敏感目标分布。</w:t>
            </w:r>
          </w:p>
        </w:tc>
      </w:tr>
      <w:tr w14:paraId="315C8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59" w:type="dxa"/>
            <w:vAlign w:val="center"/>
          </w:tcPr>
          <w:p w14:paraId="6A7FE9C1">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环境保护目标</w:t>
            </w:r>
          </w:p>
        </w:tc>
        <w:tc>
          <w:tcPr>
            <w:tcW w:w="8531" w:type="dxa"/>
            <w:vAlign w:val="center"/>
          </w:tcPr>
          <w:p w14:paraId="48377F2F">
            <w:pPr>
              <w:spacing w:line="360" w:lineRule="auto"/>
              <w:ind w:firstLine="484" w:firstLineChars="200"/>
              <w:rPr>
                <w:rFonts w:eastAsia="Times New Roman"/>
                <w:sz w:val="24"/>
              </w:rPr>
            </w:pPr>
            <w:r>
              <w:rPr>
                <w:rFonts w:hint="eastAsia" w:cs="宋体"/>
                <w:color w:val="000000" w:themeColor="text1"/>
                <w:spacing w:val="1"/>
                <w:sz w:val="24"/>
                <w14:textFill>
                  <w14:solidFill>
                    <w14:schemeClr w14:val="tx1"/>
                  </w14:solidFill>
                </w14:textFill>
              </w:rPr>
              <w:t>根据《建设项目环境影响报告表编制技术指南（污染影响类）（试行）》要求，本评价考虑项目厂界外500米范围内大气、地表水和地下水环境保护目标，项目厂界外50米范围内声环境保护目标。经现场实地踏勘，项目涉及的大气环境保护目标为龙池村，无声环境、地下水环境保护目标，项目周边关系图见附图5。</w:t>
            </w:r>
          </w:p>
          <w:p w14:paraId="14170166">
            <w:pPr>
              <w:pStyle w:val="3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本项目涉及的环境保护目标详见表</w:t>
            </w:r>
            <w:r>
              <w:rPr>
                <w:color w:val="000000" w:themeColor="text1"/>
                <w:lang w:eastAsia="zh-CN"/>
                <w14:textFill>
                  <w14:solidFill>
                    <w14:schemeClr w14:val="tx1"/>
                  </w14:solidFill>
                </w14:textFill>
              </w:rPr>
              <w:t>3-</w:t>
            </w:r>
            <w:r>
              <w:rPr>
                <w:rFonts w:hint="eastAsia"/>
                <w:color w:val="000000" w:themeColor="text1"/>
                <w:lang w:eastAsia="zh-CN"/>
                <w14:textFill>
                  <w14:solidFill>
                    <w14:schemeClr w14:val="tx1"/>
                  </w14:solidFill>
                </w14:textFill>
              </w:rPr>
              <w:t>3。</w:t>
            </w:r>
          </w:p>
          <w:p w14:paraId="519D58EE">
            <w:pPr>
              <w:pStyle w:val="30"/>
              <w:rPr>
                <w:rFonts w:hint="default"/>
              </w:rPr>
            </w:pPr>
            <w:r>
              <w:t>表3-3项目环境保护目标一览表</w:t>
            </w:r>
          </w:p>
          <w:tbl>
            <w:tblPr>
              <w:tblStyle w:val="20"/>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71"/>
              <w:gridCol w:w="1536"/>
              <w:gridCol w:w="1453"/>
              <w:gridCol w:w="544"/>
              <w:gridCol w:w="493"/>
              <w:gridCol w:w="851"/>
              <w:gridCol w:w="737"/>
              <w:gridCol w:w="1723"/>
            </w:tblGrid>
            <w:tr w14:paraId="23B6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vAlign w:val="center"/>
                </w:tcPr>
                <w:p w14:paraId="1C69891D">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环境要素</w:t>
                  </w:r>
                </w:p>
              </w:tc>
              <w:tc>
                <w:tcPr>
                  <w:tcW w:w="571" w:type="dxa"/>
                  <w:vMerge w:val="restart"/>
                  <w:vAlign w:val="center"/>
                </w:tcPr>
                <w:p w14:paraId="17BDF188">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环境保护目标</w:t>
                  </w:r>
                </w:p>
              </w:tc>
              <w:tc>
                <w:tcPr>
                  <w:tcW w:w="2989" w:type="dxa"/>
                  <w:gridSpan w:val="2"/>
                  <w:vAlign w:val="center"/>
                </w:tcPr>
                <w:p w14:paraId="6CE7B9A2">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坐标</w:t>
                  </w:r>
                </w:p>
              </w:tc>
              <w:tc>
                <w:tcPr>
                  <w:tcW w:w="544" w:type="dxa"/>
                  <w:vMerge w:val="restart"/>
                  <w:vAlign w:val="center"/>
                </w:tcPr>
                <w:p w14:paraId="10C963C8">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类别</w:t>
                  </w:r>
                </w:p>
              </w:tc>
              <w:tc>
                <w:tcPr>
                  <w:tcW w:w="493" w:type="dxa"/>
                  <w:vMerge w:val="restart"/>
                  <w:vAlign w:val="center"/>
                </w:tcPr>
                <w:p w14:paraId="1905A0BD">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方位</w:t>
                  </w:r>
                </w:p>
              </w:tc>
              <w:tc>
                <w:tcPr>
                  <w:tcW w:w="851" w:type="dxa"/>
                  <w:vMerge w:val="restart"/>
                  <w:vAlign w:val="center"/>
                </w:tcPr>
                <w:p w14:paraId="07F4252A">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相对厂界距离（m）</w:t>
                  </w:r>
                </w:p>
              </w:tc>
              <w:tc>
                <w:tcPr>
                  <w:tcW w:w="737" w:type="dxa"/>
                  <w:vMerge w:val="restart"/>
                  <w:vAlign w:val="center"/>
                </w:tcPr>
                <w:p w14:paraId="3C428012">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保护内容</w:t>
                  </w:r>
                </w:p>
              </w:tc>
              <w:tc>
                <w:tcPr>
                  <w:tcW w:w="1723" w:type="dxa"/>
                  <w:vMerge w:val="restart"/>
                  <w:vAlign w:val="center"/>
                </w:tcPr>
                <w:p w14:paraId="5E37F4C6">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保护级别</w:t>
                  </w:r>
                </w:p>
              </w:tc>
            </w:tr>
            <w:tr w14:paraId="4289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vAlign w:val="center"/>
                </w:tcPr>
                <w:p w14:paraId="21B4967A">
                  <w:pPr>
                    <w:keepNext/>
                    <w:keepLines/>
                    <w:jc w:val="center"/>
                    <w:rPr>
                      <w:color w:val="000000" w:themeColor="text1"/>
                      <w:szCs w:val="21"/>
                      <w14:textFill>
                        <w14:solidFill>
                          <w14:schemeClr w14:val="tx1"/>
                        </w14:solidFill>
                      </w14:textFill>
                    </w:rPr>
                  </w:pPr>
                </w:p>
              </w:tc>
              <w:tc>
                <w:tcPr>
                  <w:tcW w:w="571" w:type="dxa"/>
                  <w:vMerge w:val="continue"/>
                  <w:vAlign w:val="center"/>
                </w:tcPr>
                <w:p w14:paraId="27FD91A0">
                  <w:pPr>
                    <w:keepNext/>
                    <w:keepLines/>
                    <w:jc w:val="center"/>
                    <w:rPr>
                      <w:color w:val="000000" w:themeColor="text1"/>
                      <w:szCs w:val="21"/>
                      <w14:textFill>
                        <w14:solidFill>
                          <w14:schemeClr w14:val="tx1"/>
                        </w14:solidFill>
                      </w14:textFill>
                    </w:rPr>
                  </w:pPr>
                </w:p>
              </w:tc>
              <w:tc>
                <w:tcPr>
                  <w:tcW w:w="1536" w:type="dxa"/>
                  <w:vAlign w:val="center"/>
                </w:tcPr>
                <w:p w14:paraId="45C86FA8">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东经</w:t>
                  </w:r>
                </w:p>
              </w:tc>
              <w:tc>
                <w:tcPr>
                  <w:tcW w:w="1453" w:type="dxa"/>
                  <w:vAlign w:val="center"/>
                </w:tcPr>
                <w:p w14:paraId="35705347">
                  <w:pPr>
                    <w:keepNext/>
                    <w:keepLine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北纬</w:t>
                  </w:r>
                </w:p>
              </w:tc>
              <w:tc>
                <w:tcPr>
                  <w:tcW w:w="544" w:type="dxa"/>
                  <w:vMerge w:val="continue"/>
                  <w:vAlign w:val="center"/>
                </w:tcPr>
                <w:p w14:paraId="31379D11">
                  <w:pPr>
                    <w:keepNext/>
                    <w:keepLines/>
                    <w:jc w:val="center"/>
                    <w:rPr>
                      <w:color w:val="000000" w:themeColor="text1"/>
                      <w:szCs w:val="21"/>
                      <w14:textFill>
                        <w14:solidFill>
                          <w14:schemeClr w14:val="tx1"/>
                        </w14:solidFill>
                      </w14:textFill>
                    </w:rPr>
                  </w:pPr>
                </w:p>
              </w:tc>
              <w:tc>
                <w:tcPr>
                  <w:tcW w:w="493" w:type="dxa"/>
                  <w:vMerge w:val="continue"/>
                  <w:vAlign w:val="center"/>
                </w:tcPr>
                <w:p w14:paraId="3D915996">
                  <w:pPr>
                    <w:keepNext/>
                    <w:keepLines/>
                    <w:jc w:val="center"/>
                    <w:rPr>
                      <w:color w:val="000000" w:themeColor="text1"/>
                      <w:szCs w:val="21"/>
                      <w14:textFill>
                        <w14:solidFill>
                          <w14:schemeClr w14:val="tx1"/>
                        </w14:solidFill>
                      </w14:textFill>
                    </w:rPr>
                  </w:pPr>
                </w:p>
              </w:tc>
              <w:tc>
                <w:tcPr>
                  <w:tcW w:w="851" w:type="dxa"/>
                  <w:vMerge w:val="continue"/>
                  <w:vAlign w:val="center"/>
                </w:tcPr>
                <w:p w14:paraId="0C26A31E">
                  <w:pPr>
                    <w:keepNext/>
                    <w:keepLines/>
                    <w:jc w:val="center"/>
                    <w:rPr>
                      <w:color w:val="000000" w:themeColor="text1"/>
                      <w:szCs w:val="21"/>
                      <w14:textFill>
                        <w14:solidFill>
                          <w14:schemeClr w14:val="tx1"/>
                        </w14:solidFill>
                      </w14:textFill>
                    </w:rPr>
                  </w:pPr>
                </w:p>
              </w:tc>
              <w:tc>
                <w:tcPr>
                  <w:tcW w:w="737" w:type="dxa"/>
                  <w:vMerge w:val="continue"/>
                  <w:vAlign w:val="center"/>
                </w:tcPr>
                <w:p w14:paraId="414C5E49">
                  <w:pPr>
                    <w:keepNext/>
                    <w:keepLines/>
                    <w:jc w:val="center"/>
                    <w:rPr>
                      <w:color w:val="000000" w:themeColor="text1"/>
                      <w:szCs w:val="21"/>
                      <w14:textFill>
                        <w14:solidFill>
                          <w14:schemeClr w14:val="tx1"/>
                        </w14:solidFill>
                      </w14:textFill>
                    </w:rPr>
                  </w:pPr>
                </w:p>
              </w:tc>
              <w:tc>
                <w:tcPr>
                  <w:tcW w:w="1723" w:type="dxa"/>
                  <w:vMerge w:val="continue"/>
                  <w:vAlign w:val="center"/>
                </w:tcPr>
                <w:p w14:paraId="29C9ECB0">
                  <w:pPr>
                    <w:keepNext/>
                    <w:keepLines/>
                    <w:jc w:val="center"/>
                    <w:rPr>
                      <w:color w:val="000000" w:themeColor="text1"/>
                      <w:szCs w:val="21"/>
                      <w14:textFill>
                        <w14:solidFill>
                          <w14:schemeClr w14:val="tx1"/>
                        </w14:solidFill>
                      </w14:textFill>
                    </w:rPr>
                  </w:pPr>
                </w:p>
              </w:tc>
            </w:tr>
            <w:tr w14:paraId="6C57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Align w:val="center"/>
                </w:tcPr>
                <w:p w14:paraId="40FFEC77">
                  <w:pPr>
                    <w:keepNext/>
                    <w:keepLine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环境空气</w:t>
                  </w:r>
                </w:p>
              </w:tc>
              <w:tc>
                <w:tcPr>
                  <w:tcW w:w="571" w:type="dxa"/>
                  <w:vAlign w:val="center"/>
                </w:tcPr>
                <w:p w14:paraId="351F7376">
                  <w:pPr>
                    <w:widowControl/>
                    <w:jc w:val="center"/>
                    <w:rPr>
                      <w:color w:val="000000" w:themeColor="text1"/>
                      <w:szCs w:val="21"/>
                      <w14:textFill>
                        <w14:solidFill>
                          <w14:schemeClr w14:val="tx1"/>
                        </w14:solidFill>
                      </w14:textFill>
                    </w:rPr>
                  </w:pPr>
                  <w:r>
                    <w:rPr>
                      <w:rFonts w:hint="eastAsia"/>
                    </w:rPr>
                    <w:t>龙池村</w:t>
                  </w:r>
                </w:p>
              </w:tc>
              <w:tc>
                <w:tcPr>
                  <w:tcW w:w="1536" w:type="dxa"/>
                  <w:vAlign w:val="center"/>
                </w:tcPr>
                <w:p w14:paraId="129D54BB">
                  <w:pPr>
                    <w:keepNext/>
                    <w:keepLine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103°07′49.596″</w:t>
                  </w:r>
                </w:p>
              </w:tc>
              <w:tc>
                <w:tcPr>
                  <w:tcW w:w="1453" w:type="dxa"/>
                  <w:vAlign w:val="center"/>
                </w:tcPr>
                <w:p w14:paraId="38C83BC3">
                  <w:pPr>
                    <w:keepNext/>
                    <w:keepLines/>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25°26′44.283″</w:t>
                  </w:r>
                </w:p>
              </w:tc>
              <w:tc>
                <w:tcPr>
                  <w:tcW w:w="544" w:type="dxa"/>
                  <w:vAlign w:val="center"/>
                </w:tcPr>
                <w:p w14:paraId="74A979A9">
                  <w:pPr>
                    <w:keepNext/>
                    <w:keepLines/>
                    <w:jc w:val="center"/>
                    <w:rPr>
                      <w:color w:val="000000" w:themeColor="text1"/>
                      <w:szCs w:val="21"/>
                      <w14:textFill>
                        <w14:solidFill>
                          <w14:schemeClr w14:val="tx1"/>
                        </w14:solidFill>
                      </w14:textFill>
                    </w:rPr>
                  </w:pPr>
                  <w:r>
                    <w:rPr>
                      <w:rFonts w:hint="eastAsia"/>
                    </w:rPr>
                    <w:t>混合用途区</w:t>
                  </w:r>
                </w:p>
              </w:tc>
              <w:tc>
                <w:tcPr>
                  <w:tcW w:w="493" w:type="dxa"/>
                  <w:vAlign w:val="center"/>
                </w:tcPr>
                <w:p w14:paraId="24AD2FB9">
                  <w:pPr>
                    <w:keepNext/>
                    <w:keepLine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西北侧</w:t>
                  </w:r>
                </w:p>
              </w:tc>
              <w:tc>
                <w:tcPr>
                  <w:tcW w:w="851" w:type="dxa"/>
                  <w:vAlign w:val="center"/>
                </w:tcPr>
                <w:p w14:paraId="230C9244">
                  <w:pPr>
                    <w:keepNext/>
                    <w:keepLines/>
                    <w:jc w:val="center"/>
                    <w:rPr>
                      <w:color w:val="000000" w:themeColor="text1"/>
                      <w:szCs w:val="21"/>
                      <w14:textFill>
                        <w14:solidFill>
                          <w14:schemeClr w14:val="tx1"/>
                        </w14:solidFill>
                      </w14:textFill>
                    </w:rPr>
                  </w:pPr>
                  <w:r>
                    <w:rPr>
                      <w:rFonts w:hint="eastAsia"/>
                    </w:rPr>
                    <w:t>380</w:t>
                  </w:r>
                </w:p>
              </w:tc>
              <w:tc>
                <w:tcPr>
                  <w:tcW w:w="737" w:type="dxa"/>
                  <w:vAlign w:val="center"/>
                </w:tcPr>
                <w:p w14:paraId="34540E2D">
                  <w:pPr>
                    <w:keepNext/>
                    <w:keepLine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300人</w:t>
                  </w:r>
                </w:p>
              </w:tc>
              <w:tc>
                <w:tcPr>
                  <w:tcW w:w="1723" w:type="dxa"/>
                  <w:vAlign w:val="center"/>
                </w:tcPr>
                <w:p w14:paraId="17B0952A">
                  <w:pPr>
                    <w:widowControl/>
                    <w:jc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《环境空气质量标准》（GB3095-2012）二级标准</w:t>
                  </w:r>
                </w:p>
              </w:tc>
            </w:tr>
          </w:tbl>
          <w:p w14:paraId="58B57EE3">
            <w:pPr>
              <w:adjustRightInd w:val="0"/>
              <w:snapToGrid w:val="0"/>
              <w:ind w:firstLine="420" w:firstLineChars="200"/>
              <w:rPr>
                <w:kern w:val="21"/>
                <w:szCs w:val="21"/>
              </w:rPr>
            </w:pPr>
            <w:r>
              <w:rPr>
                <w:kern w:val="21"/>
                <w:szCs w:val="21"/>
              </w:rPr>
              <w:t>注：1.大气环境。明确厂界外500米范围内的自然保护区、风景名胜区、居住区、文化区和农村地区中人群较集中的区域等保护目标的名称及与建设项目厂界位置关系。</w:t>
            </w:r>
          </w:p>
          <w:p w14:paraId="45D1B683">
            <w:pPr>
              <w:adjustRightInd w:val="0"/>
              <w:snapToGrid w:val="0"/>
              <w:ind w:firstLine="420" w:firstLineChars="200"/>
              <w:rPr>
                <w:kern w:val="21"/>
                <w:szCs w:val="21"/>
              </w:rPr>
            </w:pPr>
            <w:r>
              <w:rPr>
                <w:kern w:val="21"/>
                <w:szCs w:val="21"/>
              </w:rPr>
              <w:t>2.声环境。明确厂界外50米范围内声环境保护目标。</w:t>
            </w:r>
          </w:p>
          <w:p w14:paraId="19539696">
            <w:pPr>
              <w:adjustRightInd w:val="0"/>
              <w:snapToGrid w:val="0"/>
              <w:ind w:firstLine="420" w:firstLineChars="200"/>
              <w:rPr>
                <w:kern w:val="21"/>
                <w:szCs w:val="21"/>
              </w:rPr>
            </w:pPr>
            <w:r>
              <w:rPr>
                <w:kern w:val="21"/>
                <w:szCs w:val="21"/>
              </w:rPr>
              <w:t>3.地下水环境。明确厂界外500米范围内的地下水集中式饮用水水源和热水、矿泉水、温泉等特殊地下水资源。</w:t>
            </w:r>
          </w:p>
          <w:p w14:paraId="36C4A78C"/>
        </w:tc>
      </w:tr>
      <w:tr w14:paraId="445B1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9" w:type="dxa"/>
            <w:tcMar>
              <w:left w:w="28" w:type="dxa"/>
              <w:right w:w="28" w:type="dxa"/>
            </w:tcMar>
            <w:vAlign w:val="center"/>
          </w:tcPr>
          <w:p w14:paraId="4503430B">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 w:val="24"/>
                <w14:textFill>
                  <w14:solidFill>
                    <w14:schemeClr w14:val="tx1"/>
                  </w14:solidFill>
                </w14:textFill>
              </w:rPr>
              <w:t>污染物排放控制标准</w:t>
            </w:r>
          </w:p>
        </w:tc>
        <w:tc>
          <w:tcPr>
            <w:tcW w:w="8531" w:type="dxa"/>
            <w:vAlign w:val="center"/>
          </w:tcPr>
          <w:p w14:paraId="292FDB7B">
            <w:pPr>
              <w:widowControl/>
              <w:spacing w:line="360" w:lineRule="auto"/>
              <w:jc w:val="left"/>
              <w:rPr>
                <w:b/>
                <w:bCs/>
                <w:color w:val="000000" w:themeColor="text1"/>
                <w:kern w:val="0"/>
                <w:sz w:val="28"/>
                <w:szCs w:val="28"/>
                <w:highlight w:val="none"/>
                <w:lang w:bidi="ar"/>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1</w:t>
            </w:r>
            <w:r>
              <w:rPr>
                <w:rFonts w:hint="eastAsia"/>
                <w:b/>
                <w:bCs/>
                <w:color w:val="000000" w:themeColor="text1"/>
                <w:kern w:val="0"/>
                <w:sz w:val="28"/>
                <w:szCs w:val="28"/>
                <w:highlight w:val="none"/>
                <w:lang w:bidi="ar"/>
                <w14:textFill>
                  <w14:solidFill>
                    <w14:schemeClr w14:val="tx1"/>
                  </w14:solidFill>
                </w14:textFill>
              </w:rPr>
              <w:t>.大气污染物排放标准</w:t>
            </w:r>
          </w:p>
          <w:p w14:paraId="2C03D966">
            <w:pPr>
              <w:widowControl/>
              <w:spacing w:line="360" w:lineRule="auto"/>
              <w:jc w:val="left"/>
              <w:rPr>
                <w:color w:val="000000" w:themeColor="text1"/>
                <w:highlight w:val="none"/>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w:t>
            </w:r>
            <w:r>
              <w:rPr>
                <w:color w:val="000000" w:themeColor="text1"/>
                <w:kern w:val="0"/>
                <w:sz w:val="24"/>
                <w:highlight w:val="none"/>
                <w:lang w:bidi="ar"/>
                <w14:textFill>
                  <w14:solidFill>
                    <w14:schemeClr w14:val="tx1"/>
                  </w14:solidFill>
                </w14:textFill>
              </w:rPr>
              <w:t>1</w:t>
            </w:r>
            <w:r>
              <w:rPr>
                <w:rFonts w:hint="eastAsia" w:cs="宋体"/>
                <w:color w:val="000000" w:themeColor="text1"/>
                <w:kern w:val="0"/>
                <w:sz w:val="24"/>
                <w:highlight w:val="none"/>
                <w:lang w:bidi="ar"/>
                <w14:textFill>
                  <w14:solidFill>
                    <w14:schemeClr w14:val="tx1"/>
                  </w14:solidFill>
                </w14:textFill>
              </w:rPr>
              <w:t>）施工期</w:t>
            </w:r>
          </w:p>
          <w:p w14:paraId="2AB7DE1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本项目施工扬尘执行《大气污染物综合排放标准》（</w:t>
            </w:r>
            <w:r>
              <w:rPr>
                <w:color w:val="000000" w:themeColor="text1"/>
                <w:highlight w:val="none"/>
                <w:lang w:eastAsia="zh-CN"/>
                <w14:textFill>
                  <w14:solidFill>
                    <w14:schemeClr w14:val="tx1"/>
                  </w14:solidFill>
                </w14:textFill>
              </w:rPr>
              <w:t>GB16297-1996</w:t>
            </w:r>
            <w:r>
              <w:rPr>
                <w:rFonts w:hint="eastAsia"/>
                <w:color w:val="000000" w:themeColor="text1"/>
                <w:highlight w:val="none"/>
                <w:lang w:eastAsia="zh-CN"/>
                <w14:textFill>
                  <w14:solidFill>
                    <w14:schemeClr w14:val="tx1"/>
                  </w14:solidFill>
                </w14:textFill>
              </w:rPr>
              <w:t>）表</w:t>
            </w: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二级标准，颗粒物无组织排放浓度</w:t>
            </w:r>
            <w:r>
              <w:rPr>
                <w:color w:val="000000" w:themeColor="text1"/>
                <w:highlight w:val="none"/>
                <w:lang w:eastAsia="zh-CN"/>
                <w14:textFill>
                  <w14:solidFill>
                    <w14:schemeClr w14:val="tx1"/>
                  </w14:solidFill>
                </w14:textFill>
              </w:rPr>
              <w:t>≤1mg/m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，标准限值见表</w:t>
            </w:r>
            <w:r>
              <w:rPr>
                <w:color w:val="000000" w:themeColor="text1"/>
                <w:highlight w:val="none"/>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4。</w:t>
            </w:r>
          </w:p>
          <w:p w14:paraId="6AD10A59">
            <w:pPr>
              <w:pStyle w:val="30"/>
              <w:rPr>
                <w:rFonts w:hint="default"/>
                <w:highlight w:val="none"/>
              </w:rPr>
            </w:pPr>
            <w:r>
              <w:rPr>
                <w:highlight w:val="none"/>
              </w:rPr>
              <w:t>表3-4大气污染物综合排放标准限值（单位：mg/m</w:t>
            </w:r>
            <w:r>
              <w:rPr>
                <w:highlight w:val="none"/>
                <w:vertAlign w:val="superscript"/>
              </w:rPr>
              <w:t>3</w:t>
            </w:r>
            <w:r>
              <w:rPr>
                <w:highlight w:val="none"/>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4158"/>
            </w:tblGrid>
            <w:tr w14:paraId="0444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7" w:type="dxa"/>
                  <w:vAlign w:val="center"/>
                </w:tcPr>
                <w:p w14:paraId="7086F649">
                  <w:pPr>
                    <w:adjustRightInd w:val="0"/>
                    <w:snapToGrid w:val="0"/>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污染物</w:t>
                  </w:r>
                </w:p>
              </w:tc>
              <w:tc>
                <w:tcPr>
                  <w:tcW w:w="4158" w:type="dxa"/>
                  <w:vAlign w:val="center"/>
                </w:tcPr>
                <w:p w14:paraId="04A33566">
                  <w:pPr>
                    <w:adjustRightInd w:val="0"/>
                    <w:snapToGrid w:val="0"/>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无组织排放监控浓度限值</w:t>
                  </w:r>
                </w:p>
              </w:tc>
            </w:tr>
            <w:tr w14:paraId="6CE3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7" w:type="dxa"/>
                  <w:vAlign w:val="center"/>
                </w:tcPr>
                <w:p w14:paraId="4B3E01F4">
                  <w:pPr>
                    <w:adjustRightInd w:val="0"/>
                    <w:snapToGrid w:val="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颗粒物</w:t>
                  </w:r>
                </w:p>
              </w:tc>
              <w:tc>
                <w:tcPr>
                  <w:tcW w:w="4158" w:type="dxa"/>
                  <w:vAlign w:val="center"/>
                </w:tcPr>
                <w:p w14:paraId="24DDD292">
                  <w:pPr>
                    <w:adjustRightInd w:val="0"/>
                    <w:snapToGrid w:val="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1.0</w:t>
                  </w:r>
                </w:p>
              </w:tc>
            </w:tr>
          </w:tbl>
          <w:p w14:paraId="00B63345">
            <w:pPr>
              <w:widowControl/>
              <w:spacing w:line="360" w:lineRule="auto"/>
              <w:jc w:val="left"/>
              <w:rPr>
                <w:rFonts w:cs="宋体"/>
                <w:color w:val="000000" w:themeColor="text1"/>
                <w:kern w:val="0"/>
                <w:sz w:val="24"/>
                <w:highlight w:val="none"/>
                <w:lang w:bidi="ar"/>
                <w14:textFill>
                  <w14:solidFill>
                    <w14:schemeClr w14:val="tx1"/>
                  </w14:solidFill>
                </w14:textFill>
              </w:rPr>
            </w:pPr>
            <w:r>
              <w:rPr>
                <w:rFonts w:hint="eastAsia" w:cs="宋体"/>
                <w:color w:val="000000" w:themeColor="text1"/>
                <w:kern w:val="0"/>
                <w:sz w:val="24"/>
                <w:highlight w:val="none"/>
                <w:lang w:bidi="ar"/>
                <w14:textFill>
                  <w14:solidFill>
                    <w14:schemeClr w14:val="tx1"/>
                  </w14:solidFill>
                </w14:textFill>
              </w:rPr>
              <w:t>（2）运营期</w:t>
            </w:r>
          </w:p>
          <w:p w14:paraId="68D9971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本项目运营期产生的废气主要为屠宰的血和粪尿混杂产生的恶臭，主要为NH</w:t>
            </w:r>
            <w:r>
              <w:rPr>
                <w:rFonts w:hint="eastAsia"/>
                <w:color w:val="000000" w:themeColor="text1"/>
                <w:highlight w:val="none"/>
                <w:vertAlign w:val="sub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、H</w:t>
            </w:r>
            <w:r>
              <w:rPr>
                <w:rFonts w:hint="eastAsia"/>
                <w:color w:val="000000" w:themeColor="text1"/>
                <w:highlight w:val="none"/>
                <w:vertAlign w:val="subscript"/>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S、臭气浓度等。</w:t>
            </w:r>
          </w:p>
          <w:p w14:paraId="7E86099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项目屠宰的血和粪尿混杂产生的异味执行《恶臭污染物排放标准》（</w:t>
            </w:r>
            <w:r>
              <w:rPr>
                <w:color w:val="000000" w:themeColor="text1"/>
                <w:highlight w:val="none"/>
                <w:lang w:eastAsia="zh-CN"/>
                <w14:textFill>
                  <w14:solidFill>
                    <w14:schemeClr w14:val="tx1"/>
                  </w14:solidFill>
                </w14:textFill>
              </w:rPr>
              <w:t>GB14554-93</w:t>
            </w:r>
            <w:r>
              <w:rPr>
                <w:rFonts w:hint="eastAsia"/>
                <w:color w:val="000000" w:themeColor="text1"/>
                <w:highlight w:val="none"/>
                <w:lang w:eastAsia="zh-CN"/>
                <w14:textFill>
                  <w14:solidFill>
                    <w14:schemeClr w14:val="tx1"/>
                  </w14:solidFill>
                </w14:textFill>
              </w:rPr>
              <w:t>）二级标准（见表</w:t>
            </w:r>
            <w:r>
              <w:rPr>
                <w:color w:val="000000" w:themeColor="text1"/>
                <w:highlight w:val="none"/>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5）。</w:t>
            </w:r>
          </w:p>
          <w:p w14:paraId="772B1961">
            <w:pPr>
              <w:pStyle w:val="30"/>
              <w:rPr>
                <w:rFonts w:hint="default"/>
                <w:highlight w:val="none"/>
              </w:rPr>
            </w:pPr>
            <w:r>
              <w:rPr>
                <w:highlight w:val="none"/>
              </w:rPr>
              <w:t>表3-5本项目恶臭污染物厂界标准值（单位：无量纲）</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4158"/>
            </w:tblGrid>
            <w:tr w14:paraId="5351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7" w:type="dxa"/>
                  <w:vAlign w:val="center"/>
                </w:tcPr>
                <w:p w14:paraId="4B79A688">
                  <w:pPr>
                    <w:pStyle w:val="28"/>
                    <w:rPr>
                      <w:b/>
                      <w:bCs/>
                      <w:highlight w:val="none"/>
                    </w:rPr>
                  </w:pPr>
                  <w:r>
                    <w:rPr>
                      <w:rFonts w:hint="eastAsia"/>
                      <w:b/>
                      <w:bCs/>
                      <w:highlight w:val="none"/>
                    </w:rPr>
                    <w:t>污染物</w:t>
                  </w:r>
                </w:p>
              </w:tc>
              <w:tc>
                <w:tcPr>
                  <w:tcW w:w="4158" w:type="dxa"/>
                  <w:vAlign w:val="center"/>
                </w:tcPr>
                <w:p w14:paraId="14F698D5">
                  <w:pPr>
                    <w:pStyle w:val="28"/>
                    <w:rPr>
                      <w:b/>
                      <w:bCs/>
                      <w:highlight w:val="none"/>
                    </w:rPr>
                  </w:pPr>
                  <w:r>
                    <w:rPr>
                      <w:rFonts w:hint="eastAsia"/>
                      <w:b/>
                      <w:bCs/>
                      <w:highlight w:val="none"/>
                    </w:rPr>
                    <w:t>周界外浓度最高点</w:t>
                  </w:r>
                </w:p>
              </w:tc>
            </w:tr>
            <w:tr w14:paraId="00E1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7" w:type="dxa"/>
                  <w:vAlign w:val="center"/>
                </w:tcPr>
                <w:p w14:paraId="08F0DB9A">
                  <w:pPr>
                    <w:pStyle w:val="28"/>
                    <w:rPr>
                      <w:highlight w:val="none"/>
                    </w:rPr>
                  </w:pPr>
                  <w:r>
                    <w:rPr>
                      <w:rFonts w:hint="eastAsia"/>
                      <w:highlight w:val="none"/>
                    </w:rPr>
                    <w:t>臭气浓度</w:t>
                  </w:r>
                </w:p>
              </w:tc>
              <w:tc>
                <w:tcPr>
                  <w:tcW w:w="4158" w:type="dxa"/>
                  <w:vAlign w:val="center"/>
                </w:tcPr>
                <w:p w14:paraId="1B254C02">
                  <w:pPr>
                    <w:pStyle w:val="28"/>
                    <w:rPr>
                      <w:highlight w:val="none"/>
                    </w:rPr>
                  </w:pPr>
                  <w:r>
                    <w:rPr>
                      <w:rFonts w:hint="eastAsia"/>
                      <w:highlight w:val="none"/>
                    </w:rPr>
                    <w:t>20（无量纲）</w:t>
                  </w:r>
                </w:p>
              </w:tc>
            </w:tr>
            <w:tr w14:paraId="59C0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7" w:type="dxa"/>
                  <w:vAlign w:val="center"/>
                </w:tcPr>
                <w:p w14:paraId="6D4BA4DE">
                  <w:pPr>
                    <w:pStyle w:val="28"/>
                    <w:rPr>
                      <w:highlight w:val="none"/>
                    </w:rPr>
                  </w:pPr>
                  <w:r>
                    <w:rPr>
                      <w:rFonts w:hint="eastAsia"/>
                      <w:highlight w:val="none"/>
                    </w:rPr>
                    <w:t>氨</w:t>
                  </w:r>
                </w:p>
              </w:tc>
              <w:tc>
                <w:tcPr>
                  <w:tcW w:w="4158" w:type="dxa"/>
                  <w:vAlign w:val="center"/>
                </w:tcPr>
                <w:p w14:paraId="0A00BF88">
                  <w:pPr>
                    <w:pStyle w:val="28"/>
                    <w:rPr>
                      <w:highlight w:val="none"/>
                    </w:rPr>
                  </w:pPr>
                  <w:r>
                    <w:rPr>
                      <w:rFonts w:hint="eastAsia"/>
                      <w:highlight w:val="none"/>
                    </w:rPr>
                    <w:t>1.5mg/m</w:t>
                  </w:r>
                  <w:r>
                    <w:rPr>
                      <w:rFonts w:hint="eastAsia"/>
                      <w:highlight w:val="none"/>
                      <w:vertAlign w:val="superscript"/>
                    </w:rPr>
                    <w:t>3</w:t>
                  </w:r>
                </w:p>
              </w:tc>
            </w:tr>
            <w:tr w14:paraId="595D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7" w:type="dxa"/>
                  <w:vAlign w:val="center"/>
                </w:tcPr>
                <w:p w14:paraId="46037EF3">
                  <w:pPr>
                    <w:pStyle w:val="28"/>
                    <w:rPr>
                      <w:highlight w:val="none"/>
                    </w:rPr>
                  </w:pPr>
                  <w:r>
                    <w:rPr>
                      <w:rFonts w:hint="eastAsia"/>
                      <w:highlight w:val="none"/>
                    </w:rPr>
                    <w:t>硫化氢</w:t>
                  </w:r>
                </w:p>
              </w:tc>
              <w:tc>
                <w:tcPr>
                  <w:tcW w:w="4158" w:type="dxa"/>
                  <w:vAlign w:val="center"/>
                </w:tcPr>
                <w:p w14:paraId="0F2A0061">
                  <w:pPr>
                    <w:pStyle w:val="28"/>
                    <w:rPr>
                      <w:highlight w:val="none"/>
                    </w:rPr>
                  </w:pPr>
                  <w:r>
                    <w:rPr>
                      <w:rFonts w:hint="eastAsia"/>
                      <w:highlight w:val="none"/>
                    </w:rPr>
                    <w:t>0.06mg/m</w:t>
                  </w:r>
                  <w:r>
                    <w:rPr>
                      <w:rFonts w:hint="eastAsia"/>
                      <w:highlight w:val="none"/>
                      <w:vertAlign w:val="superscript"/>
                    </w:rPr>
                    <w:t>3</w:t>
                  </w:r>
                </w:p>
              </w:tc>
            </w:tr>
          </w:tbl>
          <w:p w14:paraId="69EEDEA4">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2.废水排放标准</w:t>
            </w:r>
          </w:p>
          <w:p w14:paraId="0BE023D4">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施工期、运营期所产生的生活污水经管道流入现有的污水处理系统进行处理；运营期所产生的屠宰废水经管道流入现有的污水处理系统进行处理。净化后的水用于绿化浇灌，清洁卫生和喷洒扬尘等，不外排。本项目不新增污水排放口，不设排放标准</w:t>
            </w:r>
            <w:r>
              <w:rPr>
                <w:rStyle w:val="26"/>
                <w:rFonts w:hint="eastAsia" w:cs="Times New Roman"/>
                <w:spacing w:val="0"/>
                <w:kern w:val="0"/>
                <w:szCs w:val="20"/>
                <w:highlight w:val="none"/>
                <w:lang w:eastAsia="zh-CN"/>
              </w:rPr>
              <w:t>，</w:t>
            </w:r>
            <w:r>
              <w:rPr>
                <w:rFonts w:hint="eastAsia"/>
                <w:color w:val="000000" w:themeColor="text1"/>
                <w:highlight w:val="none"/>
                <w:lang w:eastAsia="zh-CN"/>
                <w14:textFill>
                  <w14:solidFill>
                    <w14:schemeClr w14:val="tx1"/>
                  </w14:solidFill>
                </w14:textFill>
              </w:rPr>
              <w:t>回用水应满足</w:t>
            </w:r>
            <w:r>
              <w:rPr>
                <w:rFonts w:hint="eastAsia" w:cs="Times New Roman"/>
                <w:highlight w:val="none"/>
                <w:lang w:val="zh-CN" w:eastAsia="zh-CN"/>
              </w:rPr>
              <w:t>《城市污水再生利用</w:t>
            </w:r>
            <w:r>
              <w:rPr>
                <w:rFonts w:hint="eastAsia" w:cs="Times New Roman"/>
                <w:highlight w:val="none"/>
                <w:lang w:eastAsia="zh-CN"/>
              </w:rPr>
              <w:t xml:space="preserve"> </w:t>
            </w:r>
            <w:r>
              <w:rPr>
                <w:rFonts w:hint="eastAsia" w:cs="Times New Roman"/>
                <w:highlight w:val="none"/>
                <w:lang w:val="zh-CN" w:eastAsia="zh-CN"/>
              </w:rPr>
              <w:t>城市杂用水水质》（GB/T18920-20</w:t>
            </w:r>
            <w:r>
              <w:rPr>
                <w:rFonts w:hint="eastAsia" w:cs="Times New Roman"/>
                <w:highlight w:val="none"/>
                <w:lang w:eastAsia="zh-CN"/>
              </w:rPr>
              <w:t>20</w:t>
            </w:r>
            <w:r>
              <w:rPr>
                <w:rFonts w:hint="eastAsia" w:cs="Times New Roman"/>
                <w:highlight w:val="none"/>
                <w:lang w:val="zh-CN" w:eastAsia="zh-CN"/>
              </w:rPr>
              <w:t>）</w:t>
            </w:r>
            <w:r>
              <w:rPr>
                <w:rFonts w:hint="eastAsia"/>
                <w:color w:val="000000" w:themeColor="text1"/>
                <w:kern w:val="0"/>
                <w:szCs w:val="21"/>
                <w:highlight w:val="none"/>
                <w:lang w:eastAsia="zh-CN" w:bidi="ar"/>
                <w14:textFill>
                  <w14:solidFill>
                    <w14:schemeClr w14:val="tx1"/>
                  </w14:solidFill>
                </w14:textFill>
              </w:rPr>
              <w:t>标准</w:t>
            </w:r>
            <w:r>
              <w:rPr>
                <w:rFonts w:hint="eastAsia"/>
                <w:color w:val="000000" w:themeColor="text1"/>
                <w:highlight w:val="none"/>
                <w:lang w:eastAsia="zh-CN"/>
                <w14:textFill>
                  <w14:solidFill>
                    <w14:schemeClr w14:val="tx1"/>
                  </w14:solidFill>
                </w14:textFill>
              </w:rPr>
              <w:t>。</w:t>
            </w:r>
          </w:p>
          <w:p w14:paraId="30CB4539">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3.噪声排放标准</w:t>
            </w:r>
          </w:p>
          <w:p w14:paraId="012B60F2">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（1）施工期</w:t>
            </w:r>
          </w:p>
          <w:p w14:paraId="7832D11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本项目施工期噪声执行《建筑施工场界环境噪声排放标准》（GB12523-2011），标准限值见表3-6。</w:t>
            </w:r>
          </w:p>
          <w:p w14:paraId="508C73DD">
            <w:pPr>
              <w:pStyle w:val="30"/>
              <w:rPr>
                <w:rFonts w:hint="default"/>
                <w:highlight w:val="none"/>
              </w:rPr>
            </w:pPr>
            <w:r>
              <w:rPr>
                <w:highlight w:val="none"/>
              </w:rPr>
              <w:t>表3-6建筑施工场界环境噪声排放标准限值（单位：dB（A））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4158"/>
            </w:tblGrid>
            <w:tr w14:paraId="5E94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157" w:type="dxa"/>
                  <w:vAlign w:val="center"/>
                </w:tcPr>
                <w:p w14:paraId="3745CB1D">
                  <w:pPr>
                    <w:pStyle w:val="28"/>
                    <w:rPr>
                      <w:b/>
                      <w:bCs/>
                      <w:highlight w:val="none"/>
                    </w:rPr>
                  </w:pPr>
                  <w:r>
                    <w:rPr>
                      <w:rFonts w:hint="eastAsia"/>
                      <w:b/>
                      <w:bCs/>
                      <w:highlight w:val="none"/>
                    </w:rPr>
                    <w:t>昼间</w:t>
                  </w:r>
                </w:p>
              </w:tc>
              <w:tc>
                <w:tcPr>
                  <w:tcW w:w="4158" w:type="dxa"/>
                  <w:vAlign w:val="center"/>
                </w:tcPr>
                <w:p w14:paraId="0B8DEB9C">
                  <w:pPr>
                    <w:pStyle w:val="28"/>
                    <w:rPr>
                      <w:b/>
                      <w:bCs/>
                      <w:highlight w:val="none"/>
                    </w:rPr>
                  </w:pPr>
                  <w:r>
                    <w:rPr>
                      <w:rFonts w:hint="eastAsia"/>
                      <w:b/>
                      <w:bCs/>
                      <w:highlight w:val="none"/>
                    </w:rPr>
                    <w:t>夜间</w:t>
                  </w:r>
                </w:p>
              </w:tc>
            </w:tr>
            <w:tr w14:paraId="08F3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7" w:type="dxa"/>
                  <w:vAlign w:val="center"/>
                </w:tcPr>
                <w:p w14:paraId="7EED17AA">
                  <w:pPr>
                    <w:pStyle w:val="28"/>
                    <w:rPr>
                      <w:highlight w:val="none"/>
                    </w:rPr>
                  </w:pPr>
                  <w:r>
                    <w:rPr>
                      <w:rFonts w:hint="eastAsia"/>
                      <w:highlight w:val="none"/>
                    </w:rPr>
                    <w:t>70</w:t>
                  </w:r>
                </w:p>
              </w:tc>
              <w:tc>
                <w:tcPr>
                  <w:tcW w:w="4158" w:type="dxa"/>
                  <w:vAlign w:val="center"/>
                </w:tcPr>
                <w:p w14:paraId="68B1D2DC">
                  <w:pPr>
                    <w:pStyle w:val="28"/>
                    <w:rPr>
                      <w:highlight w:val="none"/>
                    </w:rPr>
                  </w:pPr>
                  <w:r>
                    <w:rPr>
                      <w:rFonts w:hint="eastAsia"/>
                      <w:highlight w:val="none"/>
                    </w:rPr>
                    <w:t>55</w:t>
                  </w:r>
                </w:p>
              </w:tc>
            </w:tr>
          </w:tbl>
          <w:p w14:paraId="7587AAF4">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（2）运营期</w:t>
            </w:r>
          </w:p>
          <w:p w14:paraId="70B6389E">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本项目运营期噪声执行《工业企业厂界环境噪声排放标准》（</w:t>
            </w:r>
            <w:r>
              <w:rPr>
                <w:color w:val="000000" w:themeColor="text1"/>
                <w:highlight w:val="none"/>
                <w:lang w:eastAsia="zh-CN"/>
                <w14:textFill>
                  <w14:solidFill>
                    <w14:schemeClr w14:val="tx1"/>
                  </w14:solidFill>
                </w14:textFill>
              </w:rPr>
              <w:t>GB12348-2008</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类标准。</w:t>
            </w:r>
          </w:p>
          <w:p w14:paraId="19A6E77B">
            <w:pPr>
              <w:pStyle w:val="30"/>
              <w:rPr>
                <w:rFonts w:hint="default"/>
                <w:highlight w:val="none"/>
              </w:rPr>
            </w:pPr>
            <w:r>
              <w:rPr>
                <w:highlight w:val="none"/>
              </w:rPr>
              <w:t>表3-7建筑施工场界环境噪声排放标准限值（单位：dB（A））</w:t>
            </w:r>
          </w:p>
          <w:tbl>
            <w:tblPr>
              <w:tblStyle w:val="20"/>
              <w:tblW w:w="8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078"/>
              <w:gridCol w:w="2078"/>
              <w:gridCol w:w="2081"/>
            </w:tblGrid>
            <w:tr w14:paraId="4FEA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8" w:type="dxa"/>
                  <w:vMerge w:val="restart"/>
                  <w:vAlign w:val="center"/>
                </w:tcPr>
                <w:p w14:paraId="330B2AAF">
                  <w:pPr>
                    <w:pStyle w:val="28"/>
                    <w:rPr>
                      <w:b/>
                      <w:bCs/>
                      <w:highlight w:val="none"/>
                    </w:rPr>
                  </w:pPr>
                  <w:r>
                    <w:rPr>
                      <w:rFonts w:hint="eastAsia"/>
                      <w:b/>
                      <w:bCs/>
                      <w:highlight w:val="none"/>
                    </w:rPr>
                    <w:t>执行区域</w:t>
                  </w:r>
                </w:p>
              </w:tc>
              <w:tc>
                <w:tcPr>
                  <w:tcW w:w="2078" w:type="dxa"/>
                  <w:vMerge w:val="restart"/>
                  <w:vAlign w:val="center"/>
                </w:tcPr>
                <w:p w14:paraId="4E713C9D">
                  <w:pPr>
                    <w:pStyle w:val="28"/>
                    <w:rPr>
                      <w:b/>
                      <w:bCs/>
                      <w:highlight w:val="none"/>
                    </w:rPr>
                  </w:pPr>
                  <w:r>
                    <w:rPr>
                      <w:rFonts w:hint="eastAsia"/>
                      <w:b/>
                      <w:bCs/>
                      <w:highlight w:val="none"/>
                    </w:rPr>
                    <w:t>类别</w:t>
                  </w:r>
                </w:p>
              </w:tc>
              <w:tc>
                <w:tcPr>
                  <w:tcW w:w="4159" w:type="dxa"/>
                  <w:gridSpan w:val="2"/>
                  <w:vAlign w:val="center"/>
                </w:tcPr>
                <w:p w14:paraId="692F1FFC">
                  <w:pPr>
                    <w:pStyle w:val="28"/>
                    <w:rPr>
                      <w:b/>
                      <w:bCs/>
                      <w:highlight w:val="none"/>
                    </w:rPr>
                  </w:pPr>
                  <w:r>
                    <w:rPr>
                      <w:rFonts w:hint="eastAsia"/>
                      <w:b/>
                      <w:bCs/>
                      <w:highlight w:val="none"/>
                    </w:rPr>
                    <w:t>环境噪声标准限值</w:t>
                  </w:r>
                </w:p>
              </w:tc>
            </w:tr>
            <w:tr w14:paraId="6453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8" w:type="dxa"/>
                  <w:vMerge w:val="continue"/>
                  <w:vAlign w:val="center"/>
                </w:tcPr>
                <w:p w14:paraId="03D1038F">
                  <w:pPr>
                    <w:pStyle w:val="28"/>
                    <w:rPr>
                      <w:b/>
                      <w:bCs/>
                      <w:highlight w:val="none"/>
                    </w:rPr>
                  </w:pPr>
                </w:p>
              </w:tc>
              <w:tc>
                <w:tcPr>
                  <w:tcW w:w="2078" w:type="dxa"/>
                  <w:vMerge w:val="continue"/>
                  <w:vAlign w:val="center"/>
                </w:tcPr>
                <w:p w14:paraId="0482391A">
                  <w:pPr>
                    <w:pStyle w:val="28"/>
                    <w:rPr>
                      <w:b/>
                      <w:bCs/>
                      <w:highlight w:val="none"/>
                    </w:rPr>
                  </w:pPr>
                </w:p>
              </w:tc>
              <w:tc>
                <w:tcPr>
                  <w:tcW w:w="2078" w:type="dxa"/>
                  <w:vAlign w:val="center"/>
                </w:tcPr>
                <w:p w14:paraId="12D55E1C">
                  <w:pPr>
                    <w:pStyle w:val="28"/>
                    <w:rPr>
                      <w:b/>
                      <w:bCs/>
                      <w:highlight w:val="none"/>
                    </w:rPr>
                  </w:pPr>
                  <w:r>
                    <w:rPr>
                      <w:rFonts w:hint="eastAsia"/>
                      <w:b/>
                      <w:bCs/>
                      <w:highlight w:val="none"/>
                    </w:rPr>
                    <w:t>昼间</w:t>
                  </w:r>
                </w:p>
              </w:tc>
              <w:tc>
                <w:tcPr>
                  <w:tcW w:w="2081" w:type="dxa"/>
                  <w:vAlign w:val="center"/>
                </w:tcPr>
                <w:p w14:paraId="1E880C79">
                  <w:pPr>
                    <w:pStyle w:val="28"/>
                    <w:rPr>
                      <w:b/>
                      <w:bCs/>
                      <w:highlight w:val="none"/>
                    </w:rPr>
                  </w:pPr>
                  <w:r>
                    <w:rPr>
                      <w:rFonts w:hint="eastAsia"/>
                      <w:b/>
                      <w:bCs/>
                      <w:highlight w:val="none"/>
                    </w:rPr>
                    <w:t>夜间</w:t>
                  </w:r>
                </w:p>
              </w:tc>
            </w:tr>
            <w:tr w14:paraId="3DFB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8" w:type="dxa"/>
                  <w:vAlign w:val="center"/>
                </w:tcPr>
                <w:p w14:paraId="6B1FCD01">
                  <w:pPr>
                    <w:pStyle w:val="28"/>
                    <w:rPr>
                      <w:highlight w:val="none"/>
                    </w:rPr>
                  </w:pPr>
                  <w:r>
                    <w:rPr>
                      <w:rFonts w:hint="eastAsia"/>
                      <w:highlight w:val="none"/>
                    </w:rPr>
                    <w:t>项目区</w:t>
                  </w:r>
                </w:p>
              </w:tc>
              <w:tc>
                <w:tcPr>
                  <w:tcW w:w="2078" w:type="dxa"/>
                  <w:vAlign w:val="center"/>
                </w:tcPr>
                <w:p w14:paraId="3E089813">
                  <w:pPr>
                    <w:pStyle w:val="28"/>
                    <w:rPr>
                      <w:highlight w:val="none"/>
                    </w:rPr>
                  </w:pPr>
                  <w:r>
                    <w:rPr>
                      <w:rFonts w:hint="eastAsia"/>
                      <w:highlight w:val="none"/>
                    </w:rPr>
                    <w:t>2类标准</w:t>
                  </w:r>
                </w:p>
              </w:tc>
              <w:tc>
                <w:tcPr>
                  <w:tcW w:w="2078" w:type="dxa"/>
                  <w:vAlign w:val="center"/>
                </w:tcPr>
                <w:p w14:paraId="6ABEDC5A">
                  <w:pPr>
                    <w:pStyle w:val="28"/>
                    <w:rPr>
                      <w:highlight w:val="none"/>
                    </w:rPr>
                  </w:pPr>
                  <w:r>
                    <w:rPr>
                      <w:rFonts w:hint="eastAsia"/>
                      <w:highlight w:val="none"/>
                    </w:rPr>
                    <w:t>60</w:t>
                  </w:r>
                </w:p>
              </w:tc>
              <w:tc>
                <w:tcPr>
                  <w:tcW w:w="2081" w:type="dxa"/>
                  <w:vAlign w:val="center"/>
                </w:tcPr>
                <w:p w14:paraId="37186587">
                  <w:pPr>
                    <w:pStyle w:val="28"/>
                    <w:rPr>
                      <w:highlight w:val="none"/>
                    </w:rPr>
                  </w:pPr>
                  <w:r>
                    <w:rPr>
                      <w:rFonts w:hint="eastAsia"/>
                      <w:highlight w:val="none"/>
                    </w:rPr>
                    <w:t>50</w:t>
                  </w:r>
                </w:p>
              </w:tc>
            </w:tr>
          </w:tbl>
          <w:p w14:paraId="7CAA1A60">
            <w:pPr>
              <w:widowControl/>
              <w:spacing w:line="360" w:lineRule="auto"/>
              <w:jc w:val="left"/>
              <w:rPr>
                <w:b/>
                <w:bCs/>
                <w:color w:val="000000" w:themeColor="text1"/>
                <w:kern w:val="0"/>
                <w:sz w:val="28"/>
                <w:szCs w:val="28"/>
                <w:highlight w:val="none"/>
                <w:lang w:bidi="ar"/>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4</w:t>
            </w:r>
            <w:r>
              <w:rPr>
                <w:rFonts w:hint="eastAsia"/>
                <w:b/>
                <w:bCs/>
                <w:color w:val="000000" w:themeColor="text1"/>
                <w:kern w:val="0"/>
                <w:sz w:val="28"/>
                <w:szCs w:val="28"/>
                <w:highlight w:val="none"/>
                <w:lang w:bidi="ar"/>
                <w14:textFill>
                  <w14:solidFill>
                    <w14:schemeClr w14:val="tx1"/>
                  </w14:solidFill>
                </w14:textFill>
              </w:rPr>
              <w:t>.固体废物排放标准</w:t>
            </w:r>
          </w:p>
          <w:p w14:paraId="24C2DEF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）本项目产生的一般固体废物暂存执行《一般工业固体废物贮存和填埋污染控制标准》（</w:t>
            </w:r>
            <w:r>
              <w:rPr>
                <w:color w:val="000000" w:themeColor="text1"/>
                <w:highlight w:val="none"/>
                <w:lang w:eastAsia="zh-CN"/>
                <w14:textFill>
                  <w14:solidFill>
                    <w14:schemeClr w14:val="tx1"/>
                  </w14:solidFill>
                </w14:textFill>
              </w:rPr>
              <w:t>GB18599</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2020</w:t>
            </w:r>
            <w:r>
              <w:rPr>
                <w:rFonts w:hint="eastAsia"/>
                <w:color w:val="000000" w:themeColor="text1"/>
                <w:highlight w:val="none"/>
                <w:lang w:eastAsia="zh-CN"/>
                <w14:textFill>
                  <w14:solidFill>
                    <w14:schemeClr w14:val="tx1"/>
                  </w14:solidFill>
                </w14:textFill>
              </w:rPr>
              <w:t>）。</w:t>
            </w:r>
          </w:p>
          <w:p w14:paraId="62F0A0F1">
            <w:pPr>
              <w:pStyle w:val="34"/>
              <w:rPr>
                <w:b/>
                <w:bCs/>
                <w:color w:val="000000" w:themeColor="text1"/>
                <w:kern w:val="0"/>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）本项目产生的危险废物贮存、执行《危险废物贮存污染控制标准》（</w:t>
            </w:r>
            <w:r>
              <w:rPr>
                <w:color w:val="000000" w:themeColor="text1"/>
                <w:highlight w:val="none"/>
                <w:lang w:eastAsia="zh-CN"/>
                <w14:textFill>
                  <w14:solidFill>
                    <w14:schemeClr w14:val="tx1"/>
                  </w14:solidFill>
                </w14:textFill>
              </w:rPr>
              <w:t>GB18597-2023</w:t>
            </w:r>
            <w:r>
              <w:rPr>
                <w:rFonts w:hint="eastAsia"/>
                <w:color w:val="000000" w:themeColor="text1"/>
                <w:highlight w:val="none"/>
                <w:lang w:eastAsia="zh-CN"/>
                <w14:textFill>
                  <w14:solidFill>
                    <w14:schemeClr w14:val="tx1"/>
                  </w14:solidFill>
                </w14:textFill>
              </w:rPr>
              <w:t>）。</w:t>
            </w:r>
          </w:p>
        </w:tc>
      </w:tr>
      <w:tr w14:paraId="22A5D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59" w:type="dxa"/>
            <w:vAlign w:val="center"/>
          </w:tcPr>
          <w:p w14:paraId="758EC9A5">
            <w:pPr>
              <w:adjustRightInd w:val="0"/>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 w:val="24"/>
                <w14:textFill>
                  <w14:solidFill>
                    <w14:schemeClr w14:val="tx1"/>
                  </w14:solidFill>
                </w14:textFill>
              </w:rPr>
              <w:t>总量控制指标</w:t>
            </w:r>
          </w:p>
        </w:tc>
        <w:tc>
          <w:tcPr>
            <w:tcW w:w="8531" w:type="dxa"/>
            <w:vAlign w:val="center"/>
          </w:tcPr>
          <w:p w14:paraId="01DAACF1">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根据本项目的具体情况，以及国家污染物排放总量控制原则，建议本项目的总量控制指标如下：</w:t>
            </w:r>
          </w:p>
          <w:p w14:paraId="3D293F8A">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.废水</w:t>
            </w:r>
          </w:p>
          <w:p w14:paraId="72776E7E">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根据工程分析，项目废水产生总量为43.7</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d，</w:t>
            </w:r>
            <w:r>
              <w:rPr>
                <w:color w:val="000000" w:themeColor="text1"/>
                <w:highlight w:val="none"/>
                <w:lang w:eastAsia="zh-CN"/>
                <w14:textFill>
                  <w14:solidFill>
                    <w14:schemeClr w14:val="tx1"/>
                  </w14:solidFill>
                </w14:textFill>
              </w:rPr>
              <w:t>CODcr</w:t>
            </w:r>
            <w:r>
              <w:rPr>
                <w:rFonts w:hint="eastAsia"/>
                <w:color w:val="000000" w:themeColor="text1"/>
                <w:highlight w:val="none"/>
                <w:lang w:eastAsia="zh-CN"/>
                <w14:textFill>
                  <w14:solidFill>
                    <w14:schemeClr w14:val="tx1"/>
                  </w14:solidFill>
                </w14:textFill>
              </w:rPr>
              <w:t>产生量为30.59</w:t>
            </w:r>
            <w:r>
              <w:rPr>
                <w:color w:val="000000" w:themeColor="text1"/>
                <w:highlight w:val="none"/>
                <w:lang w:eastAsia="zh-CN"/>
                <w14:textFill>
                  <w14:solidFill>
                    <w14:schemeClr w14:val="tx1"/>
                  </w14:solidFill>
                </w14:textFill>
              </w:rPr>
              <w:t>t/a</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NH</w:t>
            </w:r>
            <w:r>
              <w:rPr>
                <w:rFonts w:hint="eastAsia"/>
                <w:color w:val="000000" w:themeColor="text1"/>
                <w:highlight w:val="none"/>
                <w:vertAlign w:val="subscript"/>
                <w:lang w:eastAsia="zh-CN"/>
                <w14:textFill>
                  <w14:solidFill>
                    <w14:schemeClr w14:val="tx1"/>
                  </w14:solidFill>
                </w14:textFill>
              </w:rPr>
              <w:t>3</w:t>
            </w:r>
            <w:r>
              <w:rPr>
                <w:color w:val="000000" w:themeColor="text1"/>
                <w:highlight w:val="none"/>
                <w:lang w:eastAsia="zh-CN"/>
                <w14:textFill>
                  <w14:solidFill>
                    <w14:schemeClr w14:val="tx1"/>
                  </w14:solidFill>
                </w14:textFill>
              </w:rPr>
              <w:t>-N</w:t>
            </w:r>
            <w:r>
              <w:rPr>
                <w:rFonts w:hint="eastAsia"/>
                <w:color w:val="000000" w:themeColor="text1"/>
                <w:highlight w:val="none"/>
                <w:lang w:eastAsia="zh-CN"/>
                <w14:textFill>
                  <w14:solidFill>
                    <w14:schemeClr w14:val="tx1"/>
                  </w14:solidFill>
                </w14:textFill>
              </w:rPr>
              <w:t>产生量为2.294</w:t>
            </w:r>
            <w:r>
              <w:rPr>
                <w:color w:val="000000" w:themeColor="text1"/>
                <w:highlight w:val="none"/>
                <w:lang w:eastAsia="zh-CN"/>
                <w14:textFill>
                  <w14:solidFill>
                    <w14:schemeClr w14:val="tx1"/>
                  </w14:solidFill>
                </w14:textFill>
              </w:rPr>
              <w:t>t/a</w:t>
            </w:r>
            <w:r>
              <w:rPr>
                <w:rFonts w:hint="eastAsia"/>
                <w:color w:val="000000" w:themeColor="text1"/>
                <w:highlight w:val="none"/>
                <w:lang w:eastAsia="zh-CN"/>
                <w14:textFill>
                  <w14:solidFill>
                    <w14:schemeClr w14:val="tx1"/>
                  </w14:solidFill>
                </w14:textFill>
              </w:rPr>
              <w:t>，回用量43.7</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d，产生的废水全部回用，旱季用于绿化浇灌，雨季存储于原有回用水池中。项目屠宰废水现有污水处理系统处理达标后回用绿化浇灌，清洁卫生和喷洒扬尘等，不外排。故不设置废水总量控制指标。</w:t>
            </w:r>
          </w:p>
          <w:p w14:paraId="6AD6D50D">
            <w:pPr>
              <w:pStyle w:val="34"/>
              <w:adjustRightInd w:val="0"/>
              <w:snapToGrid w:val="0"/>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.废气</w:t>
            </w:r>
          </w:p>
          <w:p w14:paraId="4EB84889">
            <w:pPr>
              <w:pStyle w:val="34"/>
              <w:adjustRightInd w:val="0"/>
              <w:snapToGrid w:val="0"/>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本项目运营期废气主要是待宰及屠宰过程中产生的H</w:t>
            </w:r>
            <w:r>
              <w:rPr>
                <w:rFonts w:hint="eastAsia"/>
                <w:color w:val="000000" w:themeColor="text1"/>
                <w:highlight w:val="none"/>
                <w:vertAlign w:val="subscript"/>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S、NH</w:t>
            </w:r>
            <w:r>
              <w:rPr>
                <w:rFonts w:hint="eastAsia"/>
                <w:color w:val="000000" w:themeColor="text1"/>
                <w:highlight w:val="none"/>
                <w:vertAlign w:val="sub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、臭气浓度，不属于总量控制指标，所以本项目不设置废气总量控制指标。</w:t>
            </w:r>
          </w:p>
          <w:p w14:paraId="0EC39081">
            <w:pPr>
              <w:pStyle w:val="34"/>
              <w:adjustRightInd w:val="0"/>
              <w:snapToGrid w:val="0"/>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.固废</w:t>
            </w:r>
          </w:p>
          <w:p w14:paraId="7F8B6B71">
            <w:pPr>
              <w:pStyle w:val="34"/>
              <w:adjustRightInd w:val="0"/>
              <w:snapToGrid w:val="0"/>
              <w:rPr>
                <w:color w:val="000000" w:themeColor="text1"/>
                <w:kern w:val="0"/>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本项目固废处置率</w:t>
            </w:r>
            <w:r>
              <w:rPr>
                <w:color w:val="000000" w:themeColor="text1"/>
                <w:highlight w:val="none"/>
                <w:lang w:eastAsia="zh-CN"/>
                <w14:textFill>
                  <w14:solidFill>
                    <w14:schemeClr w14:val="tx1"/>
                  </w14:solidFill>
                </w14:textFill>
              </w:rPr>
              <w:t>100%</w:t>
            </w:r>
            <w:r>
              <w:rPr>
                <w:rFonts w:hint="eastAsia"/>
                <w:color w:val="000000" w:themeColor="text1"/>
                <w:highlight w:val="none"/>
                <w:lang w:eastAsia="zh-CN"/>
                <w14:textFill>
                  <w14:solidFill>
                    <w14:schemeClr w14:val="tx1"/>
                  </w14:solidFill>
                </w14:textFill>
              </w:rPr>
              <w:t>，不设置固废总量控制指标。</w:t>
            </w:r>
          </w:p>
        </w:tc>
      </w:tr>
    </w:tbl>
    <w:p w14:paraId="4E819E60">
      <w:pPr>
        <w:pStyle w:val="16"/>
        <w:spacing w:before="0" w:beforeAutospacing="0" w:after="0" w:afterAutospacing="0"/>
        <w:jc w:val="center"/>
        <w:outlineLvl w:val="0"/>
        <w:rPr>
          <w:rFonts w:ascii="Times New Roman" w:hAnsi="Times New Roman"/>
          <w:snapToGrid w:val="0"/>
          <w:color w:val="000000" w:themeColor="text1"/>
          <w:sz w:val="36"/>
          <w:szCs w:val="36"/>
          <w14:textFill>
            <w14:solidFill>
              <w14:schemeClr w14:val="tx1"/>
            </w14:solidFill>
          </w14:textFill>
        </w:rPr>
      </w:pPr>
      <w:r>
        <w:rPr>
          <w:rFonts w:ascii="Times New Roman" w:hAnsi="Times New Roman"/>
          <w:snapToGrid w:val="0"/>
          <w:color w:val="000000" w:themeColor="text1"/>
          <w:sz w:val="36"/>
          <w:szCs w:val="36"/>
          <w14:textFill>
            <w14:solidFill>
              <w14:schemeClr w14:val="tx1"/>
            </w14:solidFill>
          </w14:textFill>
        </w:rPr>
        <w:br w:type="page"/>
      </w:r>
      <w:bookmarkStart w:id="7" w:name="_Toc28805"/>
      <w:r>
        <w:rPr>
          <w:rFonts w:hint="eastAsia" w:ascii="Times New Roman" w:hAnsi="Times New Roman"/>
          <w:snapToGrid w:val="0"/>
          <w:color w:val="000000" w:themeColor="text1"/>
          <w:sz w:val="36"/>
          <w:szCs w:val="36"/>
          <w14:textFill>
            <w14:solidFill>
              <w14:schemeClr w14:val="tx1"/>
            </w14:solidFill>
          </w14:textFill>
        </w:rPr>
        <w:t>四、主要环境影响和保护措施</w:t>
      </w:r>
      <w:bookmarkEnd w:id="7"/>
    </w:p>
    <w:tbl>
      <w:tblPr>
        <w:tblStyle w:val="20"/>
        <w:tblW w:w="8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537"/>
      </w:tblGrid>
      <w:tr w14:paraId="68496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49" w:hRule="atLeast"/>
          <w:jc w:val="center"/>
        </w:trPr>
        <w:tc>
          <w:tcPr>
            <w:tcW w:w="442" w:type="dxa"/>
            <w:tcMar>
              <w:left w:w="28" w:type="dxa"/>
              <w:right w:w="28" w:type="dxa"/>
            </w:tcMar>
            <w:vAlign w:val="center"/>
          </w:tcPr>
          <w:p w14:paraId="5DA5B0E0">
            <w:pPr>
              <w:pStyle w:val="16"/>
              <w:adjustRightInd w:val="0"/>
              <w:snapToGrid w:val="0"/>
              <w:spacing w:before="0" w:beforeAutospacing="0" w:after="0" w:afterAutospacing="0"/>
              <w:jc w:val="center"/>
              <w:rPr>
                <w:rFonts w:ascii="Times New Roman" w:hAnsi="Times New Roman" w:cs="宋体"/>
                <w:bCs/>
                <w:color w:val="000000" w:themeColor="text1"/>
                <w:kern w:val="2"/>
                <w:szCs w:val="24"/>
                <w:highlight w:val="none"/>
                <w14:textFill>
                  <w14:solidFill>
                    <w14:schemeClr w14:val="tx1"/>
                  </w14:solidFill>
                </w14:textFill>
              </w:rPr>
            </w:pPr>
            <w:r>
              <w:rPr>
                <w:rFonts w:hint="eastAsia" w:ascii="Times New Roman" w:hAnsi="Times New Roman" w:cs="宋体"/>
                <w:color w:val="000000" w:themeColor="text1"/>
                <w:kern w:val="2"/>
                <w:szCs w:val="24"/>
                <w:highlight w:val="none"/>
                <w14:textFill>
                  <w14:solidFill>
                    <w14:schemeClr w14:val="tx1"/>
                  </w14:solidFill>
                </w14:textFill>
              </w:rPr>
              <w:t>施工期环境保护措施</w:t>
            </w:r>
          </w:p>
        </w:tc>
        <w:tc>
          <w:tcPr>
            <w:tcW w:w="8537" w:type="dxa"/>
            <w:vAlign w:val="center"/>
          </w:tcPr>
          <w:p w14:paraId="387F5FB6">
            <w:pPr>
              <w:pStyle w:val="34"/>
              <w:rPr>
                <w:color w:val="000000" w:themeColor="text1"/>
                <w:highlight w:val="none"/>
                <w:lang w:eastAsia="zh-CN"/>
                <w14:textFill>
                  <w14:solidFill>
                    <w14:schemeClr w14:val="tx1"/>
                  </w14:solidFill>
                </w14:textFill>
              </w:rPr>
            </w:pPr>
            <w:r>
              <w:rPr>
                <w:rFonts w:hint="eastAsia"/>
                <w:color w:val="000000" w:themeColor="text1"/>
                <w:kern w:val="0"/>
                <w:highlight w:val="none"/>
                <w:lang w:eastAsia="zh-CN" w:bidi="ar"/>
                <w14:textFill>
                  <w14:solidFill>
                    <w14:schemeClr w14:val="tx1"/>
                  </w14:solidFill>
                </w14:textFill>
              </w:rPr>
              <w:t>本项目位于云南省昆明市寻甸县羊街镇龙池村，在现有牛屠宰车间的基础上，将急宰间改建为肉羊屠宰线，项目总建筑面积为2314m</w:t>
            </w:r>
            <w:r>
              <w:rPr>
                <w:rFonts w:hint="eastAsia"/>
                <w:color w:val="000000" w:themeColor="text1"/>
                <w:kern w:val="0"/>
                <w:highlight w:val="none"/>
                <w:vertAlign w:val="superscript"/>
                <w:lang w:eastAsia="zh-CN" w:bidi="ar"/>
                <w14:textFill>
                  <w14:solidFill>
                    <w14:schemeClr w14:val="tx1"/>
                  </w14:solidFill>
                </w14:textFill>
              </w:rPr>
              <w:t>2</w:t>
            </w:r>
            <w:r>
              <w:rPr>
                <w:rFonts w:hint="eastAsia"/>
                <w:color w:val="000000" w:themeColor="text1"/>
                <w:kern w:val="0"/>
                <w:highlight w:val="none"/>
                <w:lang w:eastAsia="zh-CN" w:bidi="ar"/>
                <w14:textFill>
                  <w14:solidFill>
                    <w14:schemeClr w14:val="tx1"/>
                  </w14:solidFill>
                </w14:textFill>
              </w:rPr>
              <w:t>。项目主要包括待宰圈舍、屠宰加工车间和仓储保鲜区；项目购置相关屠宰设备以及其他辅助设备。</w:t>
            </w:r>
            <w:r>
              <w:rPr>
                <w:rFonts w:hint="eastAsia"/>
                <w:color w:val="000000" w:themeColor="text1"/>
                <w:highlight w:val="none"/>
                <w:lang w:eastAsia="zh-CN"/>
                <w14:textFill>
                  <w14:solidFill>
                    <w14:schemeClr w14:val="tx1"/>
                  </w14:solidFill>
                </w14:textFill>
              </w:rPr>
              <w:t>施工内容主要为简单的室内装修、完善环保设施，不涉及土建施工。在施工过程中产生的污染物为：施工扬尘、施工燃油和车辆废气、固体废物，噪声及废水。</w:t>
            </w:r>
          </w:p>
          <w:p w14:paraId="098796E5">
            <w:pPr>
              <w:widowControl/>
              <w:spacing w:line="360" w:lineRule="auto"/>
              <w:jc w:val="left"/>
              <w:rPr>
                <w:b/>
                <w:bCs/>
                <w:color w:val="000000" w:themeColor="text1"/>
                <w:kern w:val="0"/>
                <w:sz w:val="28"/>
                <w:szCs w:val="28"/>
                <w:highlight w:val="none"/>
                <w:lang w:bidi="ar"/>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1</w:t>
            </w:r>
            <w:r>
              <w:rPr>
                <w:rFonts w:hint="eastAsia"/>
                <w:b/>
                <w:bCs/>
                <w:color w:val="000000" w:themeColor="text1"/>
                <w:kern w:val="0"/>
                <w:sz w:val="28"/>
                <w:szCs w:val="28"/>
                <w:highlight w:val="none"/>
                <w:lang w:bidi="ar"/>
                <w14:textFill>
                  <w14:solidFill>
                    <w14:schemeClr w14:val="tx1"/>
                  </w14:solidFill>
                </w14:textFill>
              </w:rPr>
              <w:t>.废气</w:t>
            </w:r>
          </w:p>
          <w:p w14:paraId="31B49780">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项目施工扬尘主要来源于施工期室内装修、设备安装过程、环保设施建设以及原材料运输、堆放等作业过程中，主要污染物为颗粒物，呈无组织排放，对施工环境有一定的污染。</w:t>
            </w:r>
          </w:p>
          <w:p w14:paraId="7824C7D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区最近村落龙池村位于项目区西北，项目区常年主导风向为西南风，因此，村落位于项目区风向侧，基本不受影响。项目区东面为嵩待高速公路，无居民点和工业企业施工期粉尘及扬尘对北面区域无不利影响；由于西面213国道侧分布有几户龙池村村民距离项目较近，施工扬尘对其有一定影响。</w:t>
            </w:r>
          </w:p>
          <w:p w14:paraId="361361BE">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为进一步减小施工扬尘对周边环境的影响，应采取下列防治措施：</w:t>
            </w:r>
          </w:p>
          <w:p w14:paraId="2099796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（1）施工现场物料堆放应尽量选择背风处，并避免长时间堆放。</w:t>
            </w:r>
          </w:p>
          <w:p w14:paraId="3AD289C1">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（2）施工作业过程中尽量关闭门窗，采取洒水降尘措施。</w:t>
            </w:r>
          </w:p>
          <w:p w14:paraId="39FB9332">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（3）项目室内装修应选用环保型材料，减少有机废气对人体和项目生产作业的危害。</w:t>
            </w:r>
          </w:p>
          <w:p w14:paraId="034AB617">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综上，建设单位通过采取合理有效的环保措施，可最大限度地减缓扬尘等大气污染物对周围环境空气质量的污染影响。</w:t>
            </w:r>
          </w:p>
          <w:p w14:paraId="64384A6C">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2.废水</w:t>
            </w:r>
          </w:p>
          <w:p w14:paraId="5E8C08AC">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本项目施工期施工人员所产生生活污水经管道流入现有的污水处理系统进行处理。净化后的水用于绿化浇灌，清洁卫生和喷洒扬尘等，不外排。</w:t>
            </w:r>
          </w:p>
          <w:p w14:paraId="3D358D7E">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项目区下游地表水为</w:t>
            </w:r>
            <w:r>
              <w:rPr>
                <w:rFonts w:cs="Times New Roman"/>
                <w:color w:val="000000" w:themeColor="text1"/>
                <w:highlight w:val="none"/>
                <w:lang w:eastAsia="zh-CN"/>
                <w14:textFill>
                  <w14:solidFill>
                    <w14:schemeClr w14:val="tx1"/>
                  </w14:solidFill>
                </w14:textFill>
              </w:rPr>
              <w:t>Ⅱ</w:t>
            </w:r>
            <w:r>
              <w:rPr>
                <w:rFonts w:hint="eastAsia"/>
                <w:color w:val="000000" w:themeColor="text1"/>
                <w:highlight w:val="none"/>
                <w:lang w:eastAsia="zh-CN"/>
                <w14:textFill>
                  <w14:solidFill>
                    <w14:schemeClr w14:val="tx1"/>
                  </w14:solidFill>
                </w14:textFill>
              </w:rPr>
              <w:t>类水体，为保证不对水体造成影响，施工废水应尽量综合利用，在采取相应措施后应派专人监管，一旦发现废水外排，立即采取截留措施，并进行沉淀处理。</w:t>
            </w:r>
          </w:p>
          <w:p w14:paraId="4A8200E6">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3.噪声</w:t>
            </w:r>
          </w:p>
          <w:p w14:paraId="7869677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施工期的噪声主要来自各种施工机械和车辆运输产生的作业噪声，粉刷工作所产生的噪声主要为打磨墙面的机械噪声，对周围环境影响也不大。为确保周围保护目标的声环境不受影响，必须对施工噪声进行严格管理，合理安排施工时间和施工场地对声级值大的设备采取减噪措施，如设临时隔音障等，项目施工期噪声防治措施如下：</w:t>
            </w:r>
          </w:p>
          <w:p w14:paraId="7EB45B35">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（1）加强施工管理，合理安排作业时间，避免扰民。对建筑垃圾的运输、建筑材料的运输等尽量安排在非休息时段进行，以减小载重汽车噪声对周围保护目标的影响；</w:t>
            </w:r>
          </w:p>
          <w:p w14:paraId="681C0BFE">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（2）选用噪声相对较低的施工设备；</w:t>
            </w:r>
          </w:p>
          <w:p w14:paraId="1705065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（3）施工期间控制好施工材料运输车辆车速。</w:t>
            </w:r>
          </w:p>
          <w:p w14:paraId="36D0DCC5">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综上所述，施工期结束后，相应的噪声污染随之消失，对周围环境影响不大。</w:t>
            </w:r>
          </w:p>
          <w:p w14:paraId="05B24F02">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4.固体废物</w:t>
            </w:r>
          </w:p>
          <w:p w14:paraId="248DA03F">
            <w:pPr>
              <w:pStyle w:val="34"/>
              <w:rPr>
                <w:bCs/>
                <w:color w:val="000000" w:themeColor="text1"/>
                <w:spacing w:val="-10"/>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施工期主要固废是建筑垃圾和装修垃圾，包括废钢材、废塑料、废包装袋、水泥凝结废渣，还有少量施工人员的生活垃圾。建筑、装修垃圾同意清理收集后，运送到当地环卫部门指定的堆放场地妥善堆置，禁止随意丢弃。生活垃圾统一收集后委托羊街环卫部门运至垃圾处理场处置。施工期固体废弃物处置率100%，不致流失于外环境，故不会对周围环境造成不利影响。</w:t>
            </w:r>
          </w:p>
        </w:tc>
      </w:tr>
      <w:tr w14:paraId="7A322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42" w:type="dxa"/>
            <w:tcMar>
              <w:left w:w="28" w:type="dxa"/>
              <w:right w:w="28" w:type="dxa"/>
            </w:tcMar>
            <w:vAlign w:val="center"/>
          </w:tcPr>
          <w:p w14:paraId="6298FE5D">
            <w:pPr>
              <w:adjustRightInd w:val="0"/>
              <w:snapToGrid w:val="0"/>
              <w:jc w:val="center"/>
              <w:rPr>
                <w:rFonts w:cs="宋体"/>
                <w:bCs/>
                <w:color w:val="000000" w:themeColor="text1"/>
                <w:sz w:val="24"/>
                <w:highlight w:val="none"/>
                <w14:textFill>
                  <w14:solidFill>
                    <w14:schemeClr w14:val="tx1"/>
                  </w14:solidFill>
                </w14:textFill>
              </w:rPr>
            </w:pPr>
            <w:r>
              <w:rPr>
                <w:rFonts w:hint="eastAsia" w:cs="宋体"/>
                <w:bCs/>
                <w:color w:val="000000" w:themeColor="text1"/>
                <w:sz w:val="24"/>
                <w:highlight w:val="none"/>
                <w14:textFill>
                  <w14:solidFill>
                    <w14:schemeClr w14:val="tx1"/>
                  </w14:solidFill>
                </w14:textFill>
              </w:rPr>
              <w:t>运营期环境影响和保护措施</w:t>
            </w:r>
          </w:p>
        </w:tc>
        <w:tc>
          <w:tcPr>
            <w:tcW w:w="8537" w:type="dxa"/>
            <w:vAlign w:val="center"/>
          </w:tcPr>
          <w:p w14:paraId="22631851">
            <w:pPr>
              <w:pStyle w:val="34"/>
              <w:widowControl/>
              <w:ind w:firstLine="566"/>
              <w:jc w:val="left"/>
              <w:rPr>
                <w:b/>
                <w:bCs/>
                <w:color w:val="000000" w:themeColor="text1"/>
                <w:kern w:val="0"/>
                <w:sz w:val="28"/>
                <w:szCs w:val="28"/>
                <w:highlight w:val="none"/>
                <w:lang w:eastAsia="zh-CN" w:bidi="ar"/>
                <w14:textFill>
                  <w14:solidFill>
                    <w14:schemeClr w14:val="tx1"/>
                  </w14:solidFill>
                </w14:textFill>
              </w:rPr>
            </w:pPr>
            <w:r>
              <w:rPr>
                <w:rFonts w:hint="eastAsia"/>
                <w:b/>
                <w:bCs/>
                <w:color w:val="000000" w:themeColor="text1"/>
                <w:kern w:val="0"/>
                <w:sz w:val="28"/>
                <w:szCs w:val="28"/>
                <w:highlight w:val="none"/>
                <w:lang w:eastAsia="zh-CN" w:bidi="ar"/>
                <w14:textFill>
                  <w14:solidFill>
                    <w14:schemeClr w14:val="tx1"/>
                  </w14:solidFill>
                </w14:textFill>
              </w:rPr>
              <w:t>1.废气</w:t>
            </w:r>
          </w:p>
          <w:p w14:paraId="4EA8AFCB">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本项目建成运营后，主要废气污染主要来源于：污水处理站、待宰圈舍和屠宰区产生的恶臭气体及进出车辆汽车尾气。</w:t>
            </w:r>
          </w:p>
          <w:p w14:paraId="386CECD1">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（1）废气污染源强分析</w:t>
            </w:r>
          </w:p>
          <w:p w14:paraId="45C5E13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①污水处理站恶臭气体</w:t>
            </w:r>
          </w:p>
          <w:p w14:paraId="535F0720">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本次环评采用NH</w:t>
            </w:r>
            <w:r>
              <w:rPr>
                <w:color w:val="000000" w:themeColor="text1"/>
                <w:highlight w:val="none"/>
                <w:vertAlign w:val="subscript"/>
                <w:lang w:eastAsia="zh-CN"/>
                <w14:textFill>
                  <w14:solidFill>
                    <w14:schemeClr w14:val="tx1"/>
                  </w14:solidFill>
                </w14:textFill>
              </w:rPr>
              <w:t>3</w:t>
            </w:r>
            <w:r>
              <w:rPr>
                <w:color w:val="000000" w:themeColor="text1"/>
                <w:highlight w:val="none"/>
                <w:lang w:eastAsia="zh-CN"/>
                <w14:textFill>
                  <w14:solidFill>
                    <w14:schemeClr w14:val="tx1"/>
                  </w14:solidFill>
                </w14:textFill>
              </w:rPr>
              <w:t>和H</w:t>
            </w:r>
            <w:r>
              <w:rPr>
                <w:color w:val="000000" w:themeColor="text1"/>
                <w:highlight w:val="none"/>
                <w:vertAlign w:val="subscript"/>
                <w:lang w:eastAsia="zh-CN"/>
                <w14:textFill>
                  <w14:solidFill>
                    <w14:schemeClr w14:val="tx1"/>
                  </w14:solidFill>
                </w14:textFill>
              </w:rPr>
              <w:t>2</w:t>
            </w:r>
            <w:r>
              <w:rPr>
                <w:color w:val="000000" w:themeColor="text1"/>
                <w:highlight w:val="none"/>
                <w:lang w:eastAsia="zh-CN"/>
                <w14:textFill>
                  <w14:solidFill>
                    <w14:schemeClr w14:val="tx1"/>
                  </w14:solidFill>
                </w14:textFill>
              </w:rPr>
              <w:t>S作为拟建项目的特征恶臭污染物来评价污水处理站恶臭的环境影响。污水处理站恶臭物质在各处理单元的排污系数一般可通过单位时间内单位面积散发量表征。由于恶臭气体逸出理论复杂，国内外至今没有成熟的预测模型，根据美国EPA对城市污水处理厂恶臭污染物产生情况的研究，每处理1g的BOD</w:t>
            </w:r>
            <w:r>
              <w:rPr>
                <w:color w:val="000000" w:themeColor="text1"/>
                <w:highlight w:val="none"/>
                <w:vertAlign w:val="subscript"/>
                <w:lang w:eastAsia="zh-CN"/>
                <w14:textFill>
                  <w14:solidFill>
                    <w14:schemeClr w14:val="tx1"/>
                  </w14:solidFill>
                </w14:textFill>
              </w:rPr>
              <w:t>5</w:t>
            </w:r>
            <w:r>
              <w:rPr>
                <w:color w:val="000000" w:themeColor="text1"/>
                <w:highlight w:val="none"/>
                <w:lang w:eastAsia="zh-CN"/>
                <w14:textFill>
                  <w14:solidFill>
                    <w14:schemeClr w14:val="tx1"/>
                  </w14:solidFill>
                </w14:textFill>
              </w:rPr>
              <w:t>，可产生3.1mg的NH</w:t>
            </w:r>
            <w:r>
              <w:rPr>
                <w:color w:val="000000" w:themeColor="text1"/>
                <w:highlight w:val="none"/>
                <w:vertAlign w:val="subscript"/>
                <w:lang w:eastAsia="zh-CN"/>
                <w14:textFill>
                  <w14:solidFill>
                    <w14:schemeClr w14:val="tx1"/>
                  </w14:solidFill>
                </w14:textFill>
              </w:rPr>
              <w:t>3</w:t>
            </w:r>
            <w:r>
              <w:rPr>
                <w:color w:val="000000" w:themeColor="text1"/>
                <w:highlight w:val="none"/>
                <w:lang w:eastAsia="zh-CN"/>
                <w14:textFill>
                  <w14:solidFill>
                    <w14:schemeClr w14:val="tx1"/>
                  </w14:solidFill>
                </w14:textFill>
              </w:rPr>
              <w:t>和0.12mg的H</w:t>
            </w:r>
            <w:r>
              <w:rPr>
                <w:color w:val="000000" w:themeColor="text1"/>
                <w:highlight w:val="none"/>
                <w:vertAlign w:val="subscript"/>
                <w:lang w:eastAsia="zh-CN"/>
                <w14:textFill>
                  <w14:solidFill>
                    <w14:schemeClr w14:val="tx1"/>
                  </w14:solidFill>
                </w14:textFill>
              </w:rPr>
              <w:t>2</w:t>
            </w:r>
            <w:r>
              <w:rPr>
                <w:color w:val="000000" w:themeColor="text1"/>
                <w:highlight w:val="none"/>
                <w:lang w:eastAsia="zh-CN"/>
                <w14:textFill>
                  <w14:solidFill>
                    <w14:schemeClr w14:val="tx1"/>
                  </w14:solidFill>
                </w14:textFill>
              </w:rPr>
              <w:t>S。</w:t>
            </w:r>
          </w:p>
          <w:p w14:paraId="7FA13D46">
            <w:pPr>
              <w:pStyle w:val="34"/>
              <w:rPr>
                <w:highlight w:val="none"/>
                <w:lang w:eastAsia="zh-CN"/>
              </w:rPr>
            </w:pPr>
            <w:r>
              <w:rPr>
                <w:rFonts w:hint="eastAsia"/>
                <w:highlight w:val="none"/>
                <w:lang w:eastAsia="zh-CN"/>
              </w:rPr>
              <w:t>根据表4-10可知，本项目建成后污水处理站消减BOD</w:t>
            </w:r>
            <w:r>
              <w:rPr>
                <w:rFonts w:hint="eastAsia"/>
                <w:highlight w:val="none"/>
                <w:vertAlign w:val="subscript"/>
                <w:lang w:eastAsia="zh-CN"/>
              </w:rPr>
              <w:t>5</w:t>
            </w:r>
            <w:r>
              <w:rPr>
                <w:rFonts w:hint="eastAsia"/>
                <w:highlight w:val="none"/>
                <w:lang w:eastAsia="zh-CN"/>
              </w:rPr>
              <w:t>的量为15.295t/a，则NH</w:t>
            </w:r>
            <w:r>
              <w:rPr>
                <w:rFonts w:hint="eastAsia"/>
                <w:highlight w:val="none"/>
                <w:vertAlign w:val="subscript"/>
                <w:lang w:eastAsia="zh-CN"/>
              </w:rPr>
              <w:t>3</w:t>
            </w:r>
            <w:r>
              <w:rPr>
                <w:rFonts w:hint="eastAsia"/>
                <w:highlight w:val="none"/>
                <w:lang w:eastAsia="zh-CN"/>
              </w:rPr>
              <w:t>的产生量为47.41kg/a（0.0055kg/h），H</w:t>
            </w:r>
            <w:r>
              <w:rPr>
                <w:rFonts w:hint="eastAsia"/>
                <w:highlight w:val="none"/>
                <w:vertAlign w:val="subscript"/>
                <w:lang w:eastAsia="zh-CN"/>
              </w:rPr>
              <w:t>2</w:t>
            </w:r>
            <w:r>
              <w:rPr>
                <w:rFonts w:hint="eastAsia"/>
                <w:highlight w:val="none"/>
                <w:lang w:eastAsia="zh-CN"/>
              </w:rPr>
              <w:t>S的产生量为1.84kg/a（0.00021kg/h）。</w:t>
            </w:r>
          </w:p>
          <w:p w14:paraId="67B8A0C9">
            <w:pPr>
              <w:pStyle w:val="34"/>
              <w:rPr>
                <w:highlight w:val="none"/>
                <w:lang w:eastAsia="zh-CN"/>
              </w:rPr>
            </w:pPr>
            <w:r>
              <w:rPr>
                <w:highlight w:val="none"/>
                <w:lang w:eastAsia="zh-CN"/>
              </w:rPr>
              <w:t>污水站恶臭气体影响分析</w:t>
            </w:r>
            <w:r>
              <w:rPr>
                <w:rFonts w:hint="eastAsia"/>
                <w:highlight w:val="none"/>
                <w:lang w:eastAsia="zh-CN"/>
              </w:rPr>
              <w:t>：</w:t>
            </w:r>
          </w:p>
          <w:p w14:paraId="30FD30B0">
            <w:pPr>
              <w:pStyle w:val="34"/>
              <w:rPr>
                <w:highlight w:val="none"/>
                <w:lang w:eastAsia="zh-CN"/>
              </w:rPr>
            </w:pPr>
            <w:r>
              <w:rPr>
                <w:highlight w:val="none"/>
                <w:lang w:eastAsia="zh-CN"/>
              </w:rPr>
              <w:t>无组织排放</w:t>
            </w:r>
            <w:r>
              <w:rPr>
                <w:rFonts w:hint="eastAsia"/>
                <w:highlight w:val="none"/>
                <w:lang w:eastAsia="zh-CN"/>
              </w:rPr>
              <w:t>：</w:t>
            </w:r>
            <w:r>
              <w:rPr>
                <w:highlight w:val="none"/>
                <w:lang w:eastAsia="zh-CN"/>
              </w:rPr>
              <w:t>NH</w:t>
            </w:r>
            <w:r>
              <w:rPr>
                <w:rFonts w:hint="eastAsia"/>
                <w:highlight w:val="none"/>
                <w:vertAlign w:val="subscript"/>
                <w:lang w:eastAsia="zh-CN"/>
              </w:rPr>
              <w:t>3</w:t>
            </w:r>
            <w:r>
              <w:rPr>
                <w:highlight w:val="none"/>
                <w:lang w:eastAsia="zh-CN"/>
              </w:rPr>
              <w:t>的排放量为</w:t>
            </w:r>
            <w:r>
              <w:rPr>
                <w:rFonts w:hint="eastAsia"/>
                <w:highlight w:val="none"/>
                <w:lang w:eastAsia="zh-CN"/>
              </w:rPr>
              <w:t>47.41kg/a（0.0055kg/h）</w:t>
            </w:r>
            <w:r>
              <w:rPr>
                <w:highlight w:val="none"/>
                <w:lang w:eastAsia="zh-CN"/>
              </w:rPr>
              <w:t>，H</w:t>
            </w:r>
            <w:r>
              <w:rPr>
                <w:rFonts w:hint="eastAsia"/>
                <w:highlight w:val="none"/>
                <w:vertAlign w:val="subscript"/>
                <w:lang w:eastAsia="zh-CN"/>
              </w:rPr>
              <w:t>2</w:t>
            </w:r>
            <w:r>
              <w:rPr>
                <w:highlight w:val="none"/>
                <w:lang w:eastAsia="zh-CN"/>
              </w:rPr>
              <w:t>S的产生量为</w:t>
            </w:r>
            <w:r>
              <w:rPr>
                <w:rFonts w:hint="eastAsia"/>
                <w:highlight w:val="none"/>
                <w:lang w:eastAsia="zh-CN"/>
              </w:rPr>
              <w:t>1.84kg/a（0.00021kg/h）</w:t>
            </w:r>
            <w:r>
              <w:rPr>
                <w:color w:val="000000" w:themeColor="text1"/>
                <w:highlight w:val="none"/>
                <w:lang w:eastAsia="zh-CN"/>
                <w14:textFill>
                  <w14:solidFill>
                    <w14:schemeClr w14:val="tx1"/>
                  </w14:solidFill>
                </w14:textFill>
              </w:rPr>
              <w:t>，污水处理站对产生恶臭区域加罩或加盖处理；并在污水处理站周围种有绿植用于除臭；经厂区通风逸散，恶臭气体厂界浓度可满足《恶臭污染物排放标准》（GB14554-93）表1</w:t>
            </w:r>
            <w:r>
              <w:rPr>
                <w:highlight w:val="none"/>
                <w:lang w:eastAsia="zh-CN"/>
              </w:rPr>
              <w:t>排放标准限值。</w:t>
            </w:r>
          </w:p>
          <w:p w14:paraId="7C419877">
            <w:pPr>
              <w:pStyle w:val="34"/>
              <w:rPr>
                <w:highlight w:val="none"/>
                <w:lang w:eastAsia="zh-CN"/>
              </w:rPr>
            </w:pPr>
            <w:r>
              <w:rPr>
                <w:rFonts w:hint="eastAsia"/>
                <w:highlight w:val="none"/>
                <w:lang w:eastAsia="zh-CN"/>
              </w:rPr>
              <w:t>②待宰废气（待宰区）</w:t>
            </w:r>
          </w:p>
          <w:p w14:paraId="7B8306D6">
            <w:pPr>
              <w:pStyle w:val="34"/>
              <w:rPr>
                <w:highlight w:val="none"/>
                <w:lang w:eastAsia="zh-CN"/>
              </w:rPr>
            </w:pPr>
            <w:r>
              <w:rPr>
                <w:highlight w:val="none"/>
                <w:lang w:eastAsia="zh-CN"/>
              </w:rPr>
              <w:t>牲畜宰前需在待宰间停留一段时间，恶臭主要来自粪便，这些粪便会产生NH</w:t>
            </w:r>
            <w:r>
              <w:rPr>
                <w:rFonts w:hint="eastAsia"/>
                <w:highlight w:val="none"/>
                <w:vertAlign w:val="subscript"/>
                <w:lang w:eastAsia="zh-CN"/>
              </w:rPr>
              <w:t>3</w:t>
            </w:r>
            <w:r>
              <w:rPr>
                <w:highlight w:val="none"/>
                <w:lang w:eastAsia="zh-CN"/>
              </w:rPr>
              <w:t>和H</w:t>
            </w:r>
            <w:r>
              <w:rPr>
                <w:rFonts w:hint="eastAsia"/>
                <w:highlight w:val="none"/>
                <w:vertAlign w:val="subscript"/>
                <w:lang w:eastAsia="zh-CN"/>
              </w:rPr>
              <w:t>2</w:t>
            </w:r>
            <w:r>
              <w:rPr>
                <w:highlight w:val="none"/>
                <w:lang w:eastAsia="zh-CN"/>
              </w:rPr>
              <w:t>S等恶臭气体，若未及时清除或清除后不能及时处理，将会使臭味成倍增加，进一步产生甲基硫醇、二甲基二硫醚、甲硫醚、二甲胺等恶臭气体，并会滋生大量蚊蝇，影响环境卫生。</w:t>
            </w:r>
          </w:p>
          <w:p w14:paraId="6CAA3873">
            <w:pPr>
              <w:pStyle w:val="34"/>
              <w:rPr>
                <w:highlight w:val="none"/>
                <w:lang w:eastAsia="zh-CN"/>
              </w:rPr>
            </w:pPr>
            <w:r>
              <w:rPr>
                <w:highlight w:val="none"/>
                <w:lang w:eastAsia="zh-CN"/>
              </w:rPr>
              <w:t>综上，项目待宰圈废气主要为车间粪便等产生的恶臭气体，污染物主要为NH</w:t>
            </w:r>
            <w:r>
              <w:rPr>
                <w:rFonts w:hint="eastAsia"/>
                <w:highlight w:val="none"/>
                <w:vertAlign w:val="subscript"/>
                <w:lang w:eastAsia="zh-CN"/>
              </w:rPr>
              <w:t>3</w:t>
            </w:r>
            <w:r>
              <w:rPr>
                <w:highlight w:val="none"/>
                <w:lang w:eastAsia="zh-CN"/>
              </w:rPr>
              <w:t>、H</w:t>
            </w:r>
            <w:r>
              <w:rPr>
                <w:rFonts w:hint="eastAsia"/>
                <w:highlight w:val="none"/>
                <w:vertAlign w:val="subscript"/>
                <w:lang w:eastAsia="zh-CN"/>
              </w:rPr>
              <w:t>2</w:t>
            </w:r>
            <w:r>
              <w:rPr>
                <w:highlight w:val="none"/>
                <w:lang w:eastAsia="zh-CN"/>
              </w:rPr>
              <w:t>S、臭气浓度。项目羊粪便按照0.5kg</w:t>
            </w:r>
            <w:r>
              <w:rPr>
                <w:rFonts w:hint="eastAsia"/>
                <w:highlight w:val="none"/>
                <w:lang w:eastAsia="zh-CN"/>
              </w:rPr>
              <w:t>/</w:t>
            </w:r>
            <w:r>
              <w:rPr>
                <w:highlight w:val="none"/>
                <w:lang w:eastAsia="zh-CN"/>
              </w:rPr>
              <w:t>只·d计。根据论文《中国畜禽粪产生量估算及环境效应》</w:t>
            </w:r>
            <w:r>
              <w:rPr>
                <w:rFonts w:hint="eastAsia"/>
                <w:highlight w:val="none"/>
                <w:lang w:eastAsia="zh-CN"/>
              </w:rPr>
              <w:t>（</w:t>
            </w:r>
            <w:r>
              <w:rPr>
                <w:highlight w:val="none"/>
                <w:lang w:eastAsia="zh-CN"/>
              </w:rPr>
              <w:t>中国环境科学2006</w:t>
            </w:r>
            <w:r>
              <w:rPr>
                <w:rFonts w:hint="eastAsia"/>
                <w:highlight w:val="none"/>
                <w:lang w:eastAsia="zh-CN"/>
              </w:rPr>
              <w:t>）</w:t>
            </w:r>
            <w:r>
              <w:rPr>
                <w:highlight w:val="none"/>
                <w:lang w:eastAsia="zh-CN"/>
              </w:rPr>
              <w:t>，羊粪中含氨量分别约1.014%，约20%的粪便在待宰间内未得到及时清理，恶臭气体释放率按20%计，总氮转化成NH</w:t>
            </w:r>
            <w:r>
              <w:rPr>
                <w:rFonts w:hint="eastAsia"/>
                <w:highlight w:val="none"/>
                <w:vertAlign w:val="subscript"/>
                <w:lang w:eastAsia="zh-CN"/>
              </w:rPr>
              <w:t>3</w:t>
            </w:r>
            <w:r>
              <w:rPr>
                <w:highlight w:val="none"/>
                <w:lang w:eastAsia="zh-CN"/>
              </w:rPr>
              <w:t>的总量不超过其总量的5%。则NH</w:t>
            </w:r>
            <w:r>
              <w:rPr>
                <w:rFonts w:hint="eastAsia"/>
                <w:highlight w:val="none"/>
                <w:vertAlign w:val="subscript"/>
                <w:lang w:eastAsia="zh-CN"/>
              </w:rPr>
              <w:t>3</w:t>
            </w:r>
            <w:r>
              <w:rPr>
                <w:highlight w:val="none"/>
                <w:lang w:eastAsia="zh-CN"/>
              </w:rPr>
              <w:t>产生量</w:t>
            </w:r>
            <w:r>
              <w:rPr>
                <w:rFonts w:hint="eastAsia"/>
                <w:highlight w:val="none"/>
                <w:lang w:eastAsia="zh-CN"/>
              </w:rPr>
              <w:t>（</w:t>
            </w:r>
            <w:r>
              <w:rPr>
                <w:highlight w:val="none"/>
                <w:lang w:eastAsia="zh-CN"/>
              </w:rPr>
              <w:t>t/d</w:t>
            </w:r>
            <w:r>
              <w:rPr>
                <w:rFonts w:hint="eastAsia"/>
                <w:highlight w:val="none"/>
                <w:lang w:eastAsia="zh-CN"/>
              </w:rPr>
              <w:t>）</w:t>
            </w:r>
            <w:r>
              <w:rPr>
                <w:highlight w:val="none"/>
                <w:lang w:eastAsia="zh-CN"/>
              </w:rPr>
              <w:t>=粪便产生量</w:t>
            </w:r>
            <w:r>
              <w:rPr>
                <w:rFonts w:hint="eastAsia"/>
                <w:highlight w:val="none"/>
                <w:lang w:eastAsia="zh-CN"/>
              </w:rPr>
              <w:t>（</w:t>
            </w:r>
            <w:r>
              <w:rPr>
                <w:highlight w:val="none"/>
                <w:lang w:eastAsia="zh-CN"/>
              </w:rPr>
              <w:t>t</w:t>
            </w:r>
            <w:r>
              <w:rPr>
                <w:rFonts w:hint="eastAsia"/>
                <w:highlight w:val="none"/>
                <w:lang w:eastAsia="zh-CN"/>
              </w:rPr>
              <w:t>/</w:t>
            </w:r>
            <w:r>
              <w:rPr>
                <w:highlight w:val="none"/>
                <w:lang w:eastAsia="zh-CN"/>
              </w:rPr>
              <w:t>d</w:t>
            </w:r>
            <w:r>
              <w:rPr>
                <w:rFonts w:hint="eastAsia"/>
                <w:highlight w:val="none"/>
                <w:lang w:eastAsia="zh-CN"/>
              </w:rPr>
              <w:t>）</w:t>
            </w:r>
            <w:r>
              <w:rPr>
                <w:highlight w:val="none"/>
                <w:lang w:eastAsia="zh-CN"/>
              </w:rPr>
              <w:t>x20%x1.014%x5%，H</w:t>
            </w:r>
            <w:r>
              <w:rPr>
                <w:rFonts w:hint="eastAsia"/>
                <w:highlight w:val="none"/>
                <w:vertAlign w:val="subscript"/>
                <w:lang w:eastAsia="zh-CN"/>
              </w:rPr>
              <w:t>2</w:t>
            </w:r>
            <w:r>
              <w:rPr>
                <w:highlight w:val="none"/>
                <w:lang w:eastAsia="zh-CN"/>
              </w:rPr>
              <w:t>S的产生量按NH</w:t>
            </w:r>
            <w:r>
              <w:rPr>
                <w:rFonts w:hint="eastAsia"/>
                <w:highlight w:val="none"/>
                <w:vertAlign w:val="subscript"/>
                <w:lang w:eastAsia="zh-CN"/>
              </w:rPr>
              <w:t>3</w:t>
            </w:r>
            <w:r>
              <w:rPr>
                <w:highlight w:val="none"/>
                <w:lang w:eastAsia="zh-CN"/>
              </w:rPr>
              <w:t>的8%计。</w:t>
            </w:r>
            <w:r>
              <w:rPr>
                <w:rFonts w:hint="eastAsia"/>
                <w:highlight w:val="none"/>
                <w:lang w:eastAsia="zh-CN"/>
              </w:rPr>
              <w:t>待宰区及时做地坪冲洗及粪便清扫工作能大量减少恶臭的产生，本环评提出可在待宰间</w:t>
            </w:r>
            <w:r>
              <w:rPr>
                <w:highlight w:val="none"/>
                <w:lang w:eastAsia="zh-CN"/>
              </w:rPr>
              <w:t>喷洒除臭剂</w:t>
            </w:r>
            <w:r>
              <w:rPr>
                <w:rFonts w:hint="eastAsia"/>
                <w:highlight w:val="none"/>
                <w:lang w:eastAsia="zh-CN"/>
              </w:rPr>
              <w:t>减少恶臭产生。</w:t>
            </w:r>
          </w:p>
          <w:p w14:paraId="59448598">
            <w:pPr>
              <w:pStyle w:val="34"/>
              <w:rPr>
                <w:highlight w:val="none"/>
                <w:lang w:eastAsia="zh-CN"/>
              </w:rPr>
            </w:pPr>
            <w:r>
              <w:rPr>
                <w:highlight w:val="none"/>
                <w:lang w:eastAsia="zh-CN"/>
              </w:rPr>
              <w:t>本项目待宰间恶臭气体产生及排放情况详见下表。</w:t>
            </w:r>
          </w:p>
          <w:p w14:paraId="34C5EEC3">
            <w:pPr>
              <w:pStyle w:val="30"/>
              <w:rPr>
                <w:rFonts w:hint="default"/>
                <w:highlight w:val="none"/>
              </w:rPr>
            </w:pPr>
            <w:r>
              <w:rPr>
                <w:highlight w:val="none"/>
              </w:rPr>
              <w:t>表4-1本项目待宰间恶臭产生及排放情况表</w:t>
            </w:r>
          </w:p>
          <w:tbl>
            <w:tblPr>
              <w:tblStyle w:val="21"/>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2080"/>
              <w:gridCol w:w="2080"/>
              <w:gridCol w:w="2081"/>
            </w:tblGrid>
            <w:tr w14:paraId="680D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restart"/>
                  <w:vAlign w:val="center"/>
                </w:tcPr>
                <w:p w14:paraId="286580D0">
                  <w:pPr>
                    <w:pStyle w:val="28"/>
                    <w:rPr>
                      <w:b/>
                      <w:bCs/>
                      <w:highlight w:val="none"/>
                    </w:rPr>
                  </w:pPr>
                  <w:r>
                    <w:rPr>
                      <w:rFonts w:hint="eastAsia"/>
                      <w:b/>
                      <w:bCs/>
                      <w:highlight w:val="none"/>
                    </w:rPr>
                    <w:t>基本情况</w:t>
                  </w:r>
                </w:p>
              </w:tc>
              <w:tc>
                <w:tcPr>
                  <w:tcW w:w="2080" w:type="dxa"/>
                  <w:vAlign w:val="center"/>
                </w:tcPr>
                <w:p w14:paraId="590B7A76">
                  <w:pPr>
                    <w:pStyle w:val="28"/>
                    <w:rPr>
                      <w:b/>
                      <w:bCs/>
                      <w:highlight w:val="none"/>
                    </w:rPr>
                  </w:pPr>
                  <w:r>
                    <w:rPr>
                      <w:rFonts w:hint="eastAsia"/>
                      <w:b/>
                      <w:bCs/>
                      <w:highlight w:val="none"/>
                    </w:rPr>
                    <w:t>污染源</w:t>
                  </w:r>
                </w:p>
              </w:tc>
              <w:tc>
                <w:tcPr>
                  <w:tcW w:w="4161" w:type="dxa"/>
                  <w:gridSpan w:val="2"/>
                  <w:vAlign w:val="center"/>
                </w:tcPr>
                <w:p w14:paraId="2865E4F9">
                  <w:pPr>
                    <w:pStyle w:val="28"/>
                    <w:rPr>
                      <w:b/>
                      <w:bCs/>
                      <w:highlight w:val="none"/>
                    </w:rPr>
                  </w:pPr>
                  <w:r>
                    <w:rPr>
                      <w:rFonts w:hint="eastAsia"/>
                      <w:b/>
                      <w:bCs/>
                      <w:highlight w:val="none"/>
                    </w:rPr>
                    <w:t>待宰圈</w:t>
                  </w:r>
                </w:p>
              </w:tc>
            </w:tr>
            <w:tr w14:paraId="6B07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continue"/>
                  <w:vAlign w:val="center"/>
                </w:tcPr>
                <w:p w14:paraId="79FE9101">
                  <w:pPr>
                    <w:pStyle w:val="28"/>
                    <w:rPr>
                      <w:highlight w:val="none"/>
                    </w:rPr>
                  </w:pPr>
                </w:p>
              </w:tc>
              <w:tc>
                <w:tcPr>
                  <w:tcW w:w="2080" w:type="dxa"/>
                  <w:vAlign w:val="center"/>
                </w:tcPr>
                <w:p w14:paraId="360DD4EA">
                  <w:pPr>
                    <w:pStyle w:val="28"/>
                    <w:rPr>
                      <w:highlight w:val="none"/>
                    </w:rPr>
                  </w:pPr>
                  <w:r>
                    <w:rPr>
                      <w:rFonts w:hint="eastAsia"/>
                      <w:highlight w:val="none"/>
                    </w:rPr>
                    <w:t>存栏规模（年）</w:t>
                  </w:r>
                </w:p>
              </w:tc>
              <w:tc>
                <w:tcPr>
                  <w:tcW w:w="4161" w:type="dxa"/>
                  <w:gridSpan w:val="2"/>
                  <w:vAlign w:val="center"/>
                </w:tcPr>
                <w:p w14:paraId="4BADF118">
                  <w:pPr>
                    <w:pStyle w:val="28"/>
                    <w:rPr>
                      <w:highlight w:val="none"/>
                    </w:rPr>
                  </w:pPr>
                  <w:r>
                    <w:rPr>
                      <w:rFonts w:hint="eastAsia"/>
                      <w:highlight w:val="none"/>
                    </w:rPr>
                    <w:t>羊50000只</w:t>
                  </w:r>
                </w:p>
              </w:tc>
            </w:tr>
            <w:tr w14:paraId="0389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continue"/>
                  <w:vAlign w:val="center"/>
                </w:tcPr>
                <w:p w14:paraId="07E2B2FA">
                  <w:pPr>
                    <w:pStyle w:val="28"/>
                    <w:rPr>
                      <w:highlight w:val="none"/>
                    </w:rPr>
                  </w:pPr>
                </w:p>
              </w:tc>
              <w:tc>
                <w:tcPr>
                  <w:tcW w:w="2080" w:type="dxa"/>
                  <w:vAlign w:val="center"/>
                </w:tcPr>
                <w:p w14:paraId="1EF8D400">
                  <w:pPr>
                    <w:pStyle w:val="28"/>
                    <w:rPr>
                      <w:highlight w:val="none"/>
                    </w:rPr>
                  </w:pPr>
                  <w:r>
                    <w:rPr>
                      <w:rFonts w:hint="eastAsia"/>
                      <w:highlight w:val="none"/>
                    </w:rPr>
                    <w:t>存栏时间</w:t>
                  </w:r>
                </w:p>
              </w:tc>
              <w:tc>
                <w:tcPr>
                  <w:tcW w:w="4161" w:type="dxa"/>
                  <w:gridSpan w:val="2"/>
                  <w:vAlign w:val="center"/>
                </w:tcPr>
                <w:p w14:paraId="4AE9B9CC">
                  <w:pPr>
                    <w:pStyle w:val="28"/>
                    <w:rPr>
                      <w:highlight w:val="none"/>
                    </w:rPr>
                  </w:pPr>
                  <w:r>
                    <w:rPr>
                      <w:rFonts w:hint="eastAsia"/>
                      <w:highlight w:val="none"/>
                    </w:rPr>
                    <w:t>16小时/天（350天/年）</w:t>
                  </w:r>
                </w:p>
              </w:tc>
            </w:tr>
            <w:tr w14:paraId="3BAF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gridSpan w:val="2"/>
                  <w:vMerge w:val="restart"/>
                  <w:vAlign w:val="center"/>
                </w:tcPr>
                <w:p w14:paraId="54578046">
                  <w:pPr>
                    <w:pStyle w:val="28"/>
                    <w:rPr>
                      <w:highlight w:val="none"/>
                    </w:rPr>
                  </w:pPr>
                  <w:r>
                    <w:rPr>
                      <w:rFonts w:hint="eastAsia"/>
                      <w:highlight w:val="none"/>
                    </w:rPr>
                    <w:t>污染物</w:t>
                  </w:r>
                </w:p>
              </w:tc>
              <w:tc>
                <w:tcPr>
                  <w:tcW w:w="4161" w:type="dxa"/>
                  <w:gridSpan w:val="2"/>
                  <w:vAlign w:val="center"/>
                </w:tcPr>
                <w:p w14:paraId="3BE0D745">
                  <w:pPr>
                    <w:pStyle w:val="28"/>
                    <w:rPr>
                      <w:highlight w:val="none"/>
                    </w:rPr>
                  </w:pPr>
                  <w:r>
                    <w:rPr>
                      <w:rFonts w:hint="eastAsia"/>
                      <w:highlight w:val="none"/>
                    </w:rPr>
                    <w:t>待宰圈</w:t>
                  </w:r>
                </w:p>
              </w:tc>
            </w:tr>
            <w:tr w14:paraId="407F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gridSpan w:val="2"/>
                  <w:vMerge w:val="continue"/>
                  <w:vAlign w:val="center"/>
                </w:tcPr>
                <w:p w14:paraId="4DC6830D">
                  <w:pPr>
                    <w:pStyle w:val="28"/>
                    <w:rPr>
                      <w:highlight w:val="none"/>
                    </w:rPr>
                  </w:pPr>
                </w:p>
              </w:tc>
              <w:tc>
                <w:tcPr>
                  <w:tcW w:w="2080" w:type="dxa"/>
                  <w:vAlign w:val="center"/>
                </w:tcPr>
                <w:p w14:paraId="539E57F2">
                  <w:pPr>
                    <w:pStyle w:val="28"/>
                    <w:rPr>
                      <w:highlight w:val="none"/>
                    </w:rPr>
                  </w:pPr>
                  <w:r>
                    <w:rPr>
                      <w:rFonts w:hint="eastAsia"/>
                      <w:highlight w:val="none"/>
                    </w:rPr>
                    <w:t>NH</w:t>
                  </w:r>
                  <w:r>
                    <w:rPr>
                      <w:rFonts w:hint="eastAsia"/>
                      <w:highlight w:val="none"/>
                      <w:vertAlign w:val="subscript"/>
                    </w:rPr>
                    <w:t>3</w:t>
                  </w:r>
                </w:p>
              </w:tc>
              <w:tc>
                <w:tcPr>
                  <w:tcW w:w="2081" w:type="dxa"/>
                  <w:vAlign w:val="center"/>
                </w:tcPr>
                <w:p w14:paraId="7CA0D107">
                  <w:pPr>
                    <w:pStyle w:val="28"/>
                    <w:rPr>
                      <w:highlight w:val="none"/>
                    </w:rPr>
                  </w:pPr>
                  <w:r>
                    <w:rPr>
                      <w:rFonts w:hint="eastAsia"/>
                      <w:highlight w:val="none"/>
                    </w:rPr>
                    <w:t>H</w:t>
                  </w:r>
                  <w:r>
                    <w:rPr>
                      <w:rFonts w:hint="eastAsia"/>
                      <w:highlight w:val="none"/>
                      <w:vertAlign w:val="subscript"/>
                    </w:rPr>
                    <w:t>2</w:t>
                  </w:r>
                  <w:r>
                    <w:rPr>
                      <w:rFonts w:hint="eastAsia"/>
                      <w:highlight w:val="none"/>
                    </w:rPr>
                    <w:t>S</w:t>
                  </w:r>
                </w:p>
              </w:tc>
            </w:tr>
            <w:tr w14:paraId="096B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restart"/>
                  <w:vAlign w:val="center"/>
                </w:tcPr>
                <w:p w14:paraId="06891E23">
                  <w:pPr>
                    <w:pStyle w:val="28"/>
                    <w:rPr>
                      <w:highlight w:val="none"/>
                    </w:rPr>
                  </w:pPr>
                  <w:r>
                    <w:rPr>
                      <w:rFonts w:hint="eastAsia"/>
                      <w:highlight w:val="none"/>
                    </w:rPr>
                    <w:t>产生情况</w:t>
                  </w:r>
                </w:p>
              </w:tc>
              <w:tc>
                <w:tcPr>
                  <w:tcW w:w="2080" w:type="dxa"/>
                  <w:vAlign w:val="center"/>
                </w:tcPr>
                <w:p w14:paraId="5555E0CE">
                  <w:pPr>
                    <w:pStyle w:val="28"/>
                    <w:rPr>
                      <w:highlight w:val="none"/>
                    </w:rPr>
                  </w:pPr>
                  <w:r>
                    <w:rPr>
                      <w:rFonts w:hint="eastAsia"/>
                      <w:highlight w:val="none"/>
                    </w:rPr>
                    <w:t>产生量（t/a）</w:t>
                  </w:r>
                </w:p>
              </w:tc>
              <w:tc>
                <w:tcPr>
                  <w:tcW w:w="2080" w:type="dxa"/>
                  <w:vAlign w:val="center"/>
                </w:tcPr>
                <w:p w14:paraId="5A9E3299">
                  <w:pPr>
                    <w:pStyle w:val="28"/>
                    <w:rPr>
                      <w:highlight w:val="none"/>
                    </w:rPr>
                  </w:pPr>
                  <w:r>
                    <w:rPr>
                      <w:rFonts w:hint="eastAsia"/>
                      <w:highlight w:val="none"/>
                    </w:rPr>
                    <w:t>0.887</w:t>
                  </w:r>
                </w:p>
              </w:tc>
              <w:tc>
                <w:tcPr>
                  <w:tcW w:w="2081" w:type="dxa"/>
                  <w:vAlign w:val="center"/>
                </w:tcPr>
                <w:p w14:paraId="020809C7">
                  <w:pPr>
                    <w:pStyle w:val="28"/>
                    <w:rPr>
                      <w:highlight w:val="none"/>
                    </w:rPr>
                  </w:pPr>
                  <w:r>
                    <w:rPr>
                      <w:rFonts w:hint="eastAsia"/>
                      <w:highlight w:val="none"/>
                    </w:rPr>
                    <w:t>0.071</w:t>
                  </w:r>
                </w:p>
              </w:tc>
            </w:tr>
            <w:tr w14:paraId="3550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continue"/>
                  <w:vAlign w:val="center"/>
                </w:tcPr>
                <w:p w14:paraId="06464524">
                  <w:pPr>
                    <w:pStyle w:val="28"/>
                    <w:rPr>
                      <w:highlight w:val="none"/>
                    </w:rPr>
                  </w:pPr>
                </w:p>
              </w:tc>
              <w:tc>
                <w:tcPr>
                  <w:tcW w:w="2080" w:type="dxa"/>
                  <w:vAlign w:val="center"/>
                </w:tcPr>
                <w:p w14:paraId="50D73B9A">
                  <w:pPr>
                    <w:pStyle w:val="28"/>
                    <w:rPr>
                      <w:highlight w:val="none"/>
                    </w:rPr>
                  </w:pPr>
                  <w:r>
                    <w:rPr>
                      <w:rFonts w:hint="eastAsia"/>
                      <w:highlight w:val="none"/>
                    </w:rPr>
                    <w:t>产生速率（kg/h）</w:t>
                  </w:r>
                </w:p>
              </w:tc>
              <w:tc>
                <w:tcPr>
                  <w:tcW w:w="2080" w:type="dxa"/>
                  <w:vAlign w:val="center"/>
                </w:tcPr>
                <w:p w14:paraId="6C16631B">
                  <w:pPr>
                    <w:pStyle w:val="28"/>
                    <w:rPr>
                      <w:highlight w:val="none"/>
                    </w:rPr>
                  </w:pPr>
                  <w:r>
                    <w:rPr>
                      <w:rFonts w:hint="eastAsia"/>
                      <w:highlight w:val="none"/>
                    </w:rPr>
                    <w:t>0.101</w:t>
                  </w:r>
                </w:p>
              </w:tc>
              <w:tc>
                <w:tcPr>
                  <w:tcW w:w="2081" w:type="dxa"/>
                  <w:vAlign w:val="center"/>
                </w:tcPr>
                <w:p w14:paraId="31E4E5CA">
                  <w:pPr>
                    <w:pStyle w:val="28"/>
                    <w:rPr>
                      <w:highlight w:val="none"/>
                    </w:rPr>
                  </w:pPr>
                  <w:r>
                    <w:rPr>
                      <w:rFonts w:hint="eastAsia"/>
                      <w:highlight w:val="none"/>
                    </w:rPr>
                    <w:t>0.008</w:t>
                  </w:r>
                </w:p>
              </w:tc>
            </w:tr>
            <w:tr w14:paraId="4676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160" w:type="dxa"/>
                  <w:gridSpan w:val="2"/>
                  <w:vAlign w:val="center"/>
                </w:tcPr>
                <w:p w14:paraId="64D7AFBD">
                  <w:pPr>
                    <w:pStyle w:val="28"/>
                    <w:rPr>
                      <w:highlight w:val="none"/>
                    </w:rPr>
                  </w:pPr>
                  <w:r>
                    <w:rPr>
                      <w:rFonts w:hint="eastAsia"/>
                      <w:highlight w:val="none"/>
                    </w:rPr>
                    <w:t>生物除臭剂去除效率</w:t>
                  </w:r>
                </w:p>
              </w:tc>
              <w:tc>
                <w:tcPr>
                  <w:tcW w:w="2080" w:type="dxa"/>
                  <w:vAlign w:val="center"/>
                </w:tcPr>
                <w:p w14:paraId="417DDD79">
                  <w:pPr>
                    <w:pStyle w:val="28"/>
                    <w:rPr>
                      <w:highlight w:val="none"/>
                    </w:rPr>
                  </w:pPr>
                  <w:r>
                    <w:rPr>
                      <w:rFonts w:hint="eastAsia"/>
                      <w:highlight w:val="none"/>
                    </w:rPr>
                    <w:t>92.6%</w:t>
                  </w:r>
                </w:p>
              </w:tc>
              <w:tc>
                <w:tcPr>
                  <w:tcW w:w="2081" w:type="dxa"/>
                  <w:vAlign w:val="center"/>
                </w:tcPr>
                <w:p w14:paraId="14A62F72">
                  <w:pPr>
                    <w:pStyle w:val="28"/>
                    <w:rPr>
                      <w:highlight w:val="none"/>
                    </w:rPr>
                  </w:pPr>
                  <w:r>
                    <w:rPr>
                      <w:rFonts w:hint="eastAsia"/>
                      <w:highlight w:val="none"/>
                    </w:rPr>
                    <w:t>89%</w:t>
                  </w:r>
                </w:p>
              </w:tc>
            </w:tr>
            <w:tr w14:paraId="0FD7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restart"/>
                  <w:vAlign w:val="center"/>
                </w:tcPr>
                <w:p w14:paraId="58FB4A35">
                  <w:pPr>
                    <w:pStyle w:val="28"/>
                    <w:rPr>
                      <w:highlight w:val="none"/>
                    </w:rPr>
                  </w:pPr>
                  <w:r>
                    <w:rPr>
                      <w:rFonts w:hint="eastAsia"/>
                      <w:highlight w:val="none"/>
                    </w:rPr>
                    <w:t>排放情况</w:t>
                  </w:r>
                </w:p>
              </w:tc>
              <w:tc>
                <w:tcPr>
                  <w:tcW w:w="2080" w:type="dxa"/>
                  <w:vAlign w:val="center"/>
                </w:tcPr>
                <w:p w14:paraId="3B5AA9CC">
                  <w:pPr>
                    <w:pStyle w:val="28"/>
                    <w:rPr>
                      <w:highlight w:val="none"/>
                    </w:rPr>
                  </w:pPr>
                  <w:r>
                    <w:rPr>
                      <w:rFonts w:hint="eastAsia"/>
                      <w:highlight w:val="none"/>
                    </w:rPr>
                    <w:t>排放量（t/a）</w:t>
                  </w:r>
                </w:p>
              </w:tc>
              <w:tc>
                <w:tcPr>
                  <w:tcW w:w="2080" w:type="dxa"/>
                  <w:vAlign w:val="center"/>
                </w:tcPr>
                <w:p w14:paraId="2030C915">
                  <w:pPr>
                    <w:pStyle w:val="28"/>
                    <w:rPr>
                      <w:highlight w:val="none"/>
                    </w:rPr>
                  </w:pPr>
                  <w:r>
                    <w:rPr>
                      <w:rFonts w:hint="eastAsia"/>
                      <w:highlight w:val="none"/>
                    </w:rPr>
                    <w:t>0.066</w:t>
                  </w:r>
                </w:p>
              </w:tc>
              <w:tc>
                <w:tcPr>
                  <w:tcW w:w="2081" w:type="dxa"/>
                  <w:vAlign w:val="center"/>
                </w:tcPr>
                <w:p w14:paraId="0A9EF988">
                  <w:pPr>
                    <w:pStyle w:val="28"/>
                    <w:rPr>
                      <w:highlight w:val="none"/>
                    </w:rPr>
                  </w:pPr>
                  <w:r>
                    <w:rPr>
                      <w:rFonts w:hint="eastAsia"/>
                      <w:highlight w:val="none"/>
                    </w:rPr>
                    <w:t>0.0078</w:t>
                  </w:r>
                </w:p>
              </w:tc>
            </w:tr>
            <w:tr w14:paraId="297E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Merge w:val="continue"/>
                  <w:vAlign w:val="center"/>
                </w:tcPr>
                <w:p w14:paraId="5C5B430E">
                  <w:pPr>
                    <w:pStyle w:val="28"/>
                    <w:rPr>
                      <w:highlight w:val="none"/>
                    </w:rPr>
                  </w:pPr>
                </w:p>
              </w:tc>
              <w:tc>
                <w:tcPr>
                  <w:tcW w:w="2080" w:type="dxa"/>
                  <w:vAlign w:val="center"/>
                </w:tcPr>
                <w:p w14:paraId="34285457">
                  <w:pPr>
                    <w:pStyle w:val="28"/>
                    <w:rPr>
                      <w:highlight w:val="none"/>
                    </w:rPr>
                  </w:pPr>
                  <w:r>
                    <w:rPr>
                      <w:rFonts w:hint="eastAsia"/>
                      <w:highlight w:val="none"/>
                    </w:rPr>
                    <w:t>排放速率（kg/h）</w:t>
                  </w:r>
                </w:p>
              </w:tc>
              <w:tc>
                <w:tcPr>
                  <w:tcW w:w="2080" w:type="dxa"/>
                  <w:vAlign w:val="center"/>
                </w:tcPr>
                <w:p w14:paraId="0A3868CC">
                  <w:pPr>
                    <w:pStyle w:val="28"/>
                    <w:rPr>
                      <w:highlight w:val="none"/>
                    </w:rPr>
                  </w:pPr>
                  <w:r>
                    <w:rPr>
                      <w:rFonts w:hint="eastAsia"/>
                      <w:highlight w:val="none"/>
                    </w:rPr>
                    <w:t>0.0075</w:t>
                  </w:r>
                </w:p>
              </w:tc>
              <w:tc>
                <w:tcPr>
                  <w:tcW w:w="2081" w:type="dxa"/>
                  <w:vAlign w:val="center"/>
                </w:tcPr>
                <w:p w14:paraId="31190FC2">
                  <w:pPr>
                    <w:pStyle w:val="28"/>
                    <w:rPr>
                      <w:highlight w:val="none"/>
                    </w:rPr>
                  </w:pPr>
                  <w:r>
                    <w:rPr>
                      <w:rFonts w:hint="eastAsia"/>
                      <w:highlight w:val="none"/>
                    </w:rPr>
                    <w:t>0.00089</w:t>
                  </w:r>
                </w:p>
              </w:tc>
            </w:tr>
          </w:tbl>
          <w:p w14:paraId="706BF479">
            <w:pPr>
              <w:pStyle w:val="34"/>
              <w:rPr>
                <w:highlight w:val="none"/>
                <w:lang w:eastAsia="zh-CN"/>
              </w:rPr>
            </w:pPr>
            <w:r>
              <w:rPr>
                <w:highlight w:val="none"/>
                <w:lang w:eastAsia="zh-CN"/>
              </w:rPr>
              <w:t>通过以上措施，待宰圈恶臭气体厂界无组织排放浓度能够满足《恶臭污染物排放标准》</w:t>
            </w:r>
            <w:r>
              <w:rPr>
                <w:rFonts w:hint="eastAsia"/>
                <w:highlight w:val="none"/>
                <w:lang w:eastAsia="zh-CN"/>
              </w:rPr>
              <w:t>（</w:t>
            </w:r>
            <w:r>
              <w:rPr>
                <w:highlight w:val="none"/>
                <w:lang w:eastAsia="zh-CN"/>
              </w:rPr>
              <w:t>GB14554-93</w:t>
            </w:r>
            <w:r>
              <w:rPr>
                <w:rFonts w:hint="eastAsia"/>
                <w:highlight w:val="none"/>
                <w:lang w:eastAsia="zh-CN"/>
              </w:rPr>
              <w:t>）</w:t>
            </w:r>
            <w:r>
              <w:rPr>
                <w:highlight w:val="none"/>
                <w:lang w:eastAsia="zh-CN"/>
              </w:rPr>
              <w:t>表1中厂界标准值。</w:t>
            </w:r>
          </w:p>
          <w:p w14:paraId="788EC568">
            <w:pPr>
              <w:pStyle w:val="34"/>
              <w:rPr>
                <w:highlight w:val="none"/>
                <w:lang w:eastAsia="zh-CN"/>
              </w:rPr>
            </w:pPr>
            <w:r>
              <w:rPr>
                <w:rFonts w:hint="eastAsia"/>
                <w:highlight w:val="none"/>
                <w:lang w:eastAsia="zh-CN"/>
              </w:rPr>
              <w:t>③车间屠宰废气</w:t>
            </w:r>
          </w:p>
          <w:p w14:paraId="183825F0">
            <w:pPr>
              <w:pStyle w:val="34"/>
              <w:rPr>
                <w:highlight w:val="none"/>
                <w:lang w:eastAsia="zh-CN"/>
              </w:rPr>
            </w:pPr>
            <w:r>
              <w:rPr>
                <w:highlight w:val="none"/>
                <w:lang w:eastAsia="zh-CN"/>
              </w:rPr>
              <w:t>车间内血污如不及时清理、内脏处理过程胃肠内容物不及时清洗、内脏清洗不及时等过程，将会产生少量废气，主要污染因子为NH</w:t>
            </w:r>
            <w:r>
              <w:rPr>
                <w:rFonts w:hint="eastAsia"/>
                <w:highlight w:val="none"/>
                <w:vertAlign w:val="subscript"/>
                <w:lang w:eastAsia="zh-CN"/>
              </w:rPr>
              <w:t>3</w:t>
            </w:r>
            <w:r>
              <w:rPr>
                <w:highlight w:val="none"/>
                <w:lang w:eastAsia="zh-CN"/>
              </w:rPr>
              <w:t>、H</w:t>
            </w:r>
            <w:r>
              <w:rPr>
                <w:rFonts w:hint="eastAsia"/>
                <w:highlight w:val="none"/>
                <w:vertAlign w:val="subscript"/>
                <w:lang w:eastAsia="zh-CN"/>
              </w:rPr>
              <w:t>2</w:t>
            </w:r>
            <w:r>
              <w:rPr>
                <w:highlight w:val="none"/>
                <w:lang w:eastAsia="zh-CN"/>
              </w:rPr>
              <w:t>S。根据查找资料、类比同类型项目，正常情况下屠宰车间恶臭气体NH</w:t>
            </w:r>
            <w:r>
              <w:rPr>
                <w:rFonts w:hint="eastAsia"/>
                <w:highlight w:val="none"/>
                <w:vertAlign w:val="subscript"/>
                <w:lang w:eastAsia="zh-CN"/>
              </w:rPr>
              <w:t>3</w:t>
            </w:r>
            <w:r>
              <w:rPr>
                <w:highlight w:val="none"/>
                <w:lang w:eastAsia="zh-CN"/>
              </w:rPr>
              <w:t>浓度在15</w:t>
            </w:r>
            <w:r>
              <w:rPr>
                <w:rFonts w:hint="eastAsia"/>
                <w:highlight w:val="none"/>
                <w:lang w:eastAsia="zh-CN"/>
              </w:rPr>
              <w:t>—</w:t>
            </w:r>
            <w:r>
              <w:rPr>
                <w:highlight w:val="none"/>
                <w:lang w:eastAsia="zh-CN"/>
              </w:rPr>
              <w:t>30mg/m³、H</w:t>
            </w:r>
            <w:r>
              <w:rPr>
                <w:rFonts w:hint="eastAsia"/>
                <w:highlight w:val="none"/>
                <w:vertAlign w:val="subscript"/>
                <w:lang w:eastAsia="zh-CN"/>
              </w:rPr>
              <w:t>2</w:t>
            </w:r>
            <w:r>
              <w:rPr>
                <w:highlight w:val="none"/>
                <w:lang w:eastAsia="zh-CN"/>
              </w:rPr>
              <w:t>S浓度在1.0</w:t>
            </w:r>
            <w:r>
              <w:rPr>
                <w:rFonts w:hint="eastAsia"/>
                <w:highlight w:val="none"/>
                <w:lang w:eastAsia="zh-CN"/>
              </w:rPr>
              <w:t>—</w:t>
            </w:r>
            <w:r>
              <w:rPr>
                <w:highlight w:val="none"/>
                <w:lang w:eastAsia="zh-CN"/>
              </w:rPr>
              <w:t>8mg/m</w:t>
            </w:r>
            <w:r>
              <w:rPr>
                <w:rFonts w:hint="eastAsia"/>
                <w:highlight w:val="none"/>
                <w:vertAlign w:val="superscript"/>
                <w:lang w:eastAsia="zh-CN"/>
              </w:rPr>
              <w:t>3</w:t>
            </w:r>
            <w:r>
              <w:rPr>
                <w:highlight w:val="none"/>
                <w:lang w:eastAsia="zh-CN"/>
              </w:rPr>
              <w:t>。本项目取其平均值即NH</w:t>
            </w:r>
            <w:r>
              <w:rPr>
                <w:rFonts w:hint="eastAsia"/>
                <w:highlight w:val="none"/>
                <w:vertAlign w:val="subscript"/>
                <w:lang w:eastAsia="zh-CN"/>
              </w:rPr>
              <w:t>3:</w:t>
            </w:r>
            <w:r>
              <w:rPr>
                <w:highlight w:val="none"/>
                <w:lang w:eastAsia="zh-CN"/>
              </w:rPr>
              <w:t>22.5mg/m³</w:t>
            </w:r>
            <w:r>
              <w:rPr>
                <w:rFonts w:hint="eastAsia"/>
                <w:highlight w:val="none"/>
                <w:lang w:eastAsia="zh-CN"/>
              </w:rPr>
              <w:t>、</w:t>
            </w:r>
            <w:r>
              <w:rPr>
                <w:highlight w:val="none"/>
                <w:lang w:eastAsia="zh-CN"/>
              </w:rPr>
              <w:t>H</w:t>
            </w:r>
            <w:r>
              <w:rPr>
                <w:rFonts w:hint="eastAsia"/>
                <w:highlight w:val="none"/>
                <w:vertAlign w:val="subscript"/>
                <w:lang w:eastAsia="zh-CN"/>
              </w:rPr>
              <w:t>2</w:t>
            </w:r>
            <w:r>
              <w:rPr>
                <w:highlight w:val="none"/>
                <w:lang w:eastAsia="zh-CN"/>
              </w:rPr>
              <w:t>S</w:t>
            </w:r>
            <w:r>
              <w:rPr>
                <w:rFonts w:hint="eastAsia"/>
                <w:highlight w:val="none"/>
                <w:lang w:eastAsia="zh-CN"/>
              </w:rPr>
              <w:t>：</w:t>
            </w:r>
            <w:r>
              <w:rPr>
                <w:highlight w:val="none"/>
                <w:lang w:eastAsia="zh-CN"/>
              </w:rPr>
              <w:t>4.5mg</w:t>
            </w:r>
            <w:r>
              <w:rPr>
                <w:rFonts w:hint="eastAsia"/>
                <w:highlight w:val="none"/>
                <w:lang w:eastAsia="zh-CN"/>
              </w:rPr>
              <w:t>/</w:t>
            </w:r>
            <w:r>
              <w:rPr>
                <w:highlight w:val="none"/>
                <w:lang w:eastAsia="zh-CN"/>
              </w:rPr>
              <w:t>m</w:t>
            </w:r>
            <w:r>
              <w:rPr>
                <w:rFonts w:hint="eastAsia"/>
                <w:highlight w:val="none"/>
                <w:vertAlign w:val="superscript"/>
                <w:lang w:eastAsia="zh-CN"/>
              </w:rPr>
              <w:t>3</w:t>
            </w:r>
            <w:r>
              <w:rPr>
                <w:highlight w:val="none"/>
                <w:lang w:eastAsia="zh-CN"/>
              </w:rPr>
              <w:t>，本项目屠宰车间恶臭气体产生及排放情况详见下表。</w:t>
            </w:r>
          </w:p>
          <w:p w14:paraId="3D14251B">
            <w:pPr>
              <w:pStyle w:val="30"/>
              <w:rPr>
                <w:rFonts w:hint="default"/>
                <w:highlight w:val="none"/>
              </w:rPr>
            </w:pPr>
            <w:r>
              <w:rPr>
                <w:highlight w:val="none"/>
              </w:rPr>
              <w:t>表4-2本项目车间废气产生及排放情况表</w:t>
            </w:r>
          </w:p>
          <w:tbl>
            <w:tblPr>
              <w:tblStyle w:val="21"/>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666"/>
              <w:gridCol w:w="2080"/>
              <w:gridCol w:w="2081"/>
            </w:tblGrid>
            <w:tr w14:paraId="21DC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gridSpan w:val="2"/>
                  <w:vAlign w:val="center"/>
                </w:tcPr>
                <w:p w14:paraId="48E04A22">
                  <w:pPr>
                    <w:pStyle w:val="28"/>
                    <w:rPr>
                      <w:b/>
                      <w:bCs/>
                      <w:highlight w:val="none"/>
                    </w:rPr>
                  </w:pPr>
                  <w:r>
                    <w:rPr>
                      <w:rFonts w:hint="eastAsia"/>
                      <w:b/>
                      <w:bCs/>
                      <w:highlight w:val="none"/>
                    </w:rPr>
                    <w:t>污染源</w:t>
                  </w:r>
                </w:p>
              </w:tc>
              <w:tc>
                <w:tcPr>
                  <w:tcW w:w="4161" w:type="dxa"/>
                  <w:gridSpan w:val="2"/>
                  <w:vAlign w:val="center"/>
                </w:tcPr>
                <w:p w14:paraId="5F88E593">
                  <w:pPr>
                    <w:pStyle w:val="28"/>
                    <w:rPr>
                      <w:b/>
                      <w:bCs/>
                      <w:highlight w:val="none"/>
                    </w:rPr>
                  </w:pPr>
                  <w:r>
                    <w:rPr>
                      <w:rFonts w:hint="eastAsia"/>
                      <w:b/>
                      <w:bCs/>
                      <w:highlight w:val="none"/>
                    </w:rPr>
                    <w:t>屠宰车间</w:t>
                  </w:r>
                </w:p>
              </w:tc>
            </w:tr>
            <w:tr w14:paraId="11D7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gridSpan w:val="2"/>
                  <w:vAlign w:val="center"/>
                </w:tcPr>
                <w:p w14:paraId="124A4AFC">
                  <w:pPr>
                    <w:pStyle w:val="28"/>
                    <w:rPr>
                      <w:highlight w:val="none"/>
                    </w:rPr>
                  </w:pPr>
                  <w:r>
                    <w:rPr>
                      <w:rFonts w:hint="eastAsia"/>
                      <w:highlight w:val="none"/>
                    </w:rPr>
                    <w:t>污染物</w:t>
                  </w:r>
                </w:p>
              </w:tc>
              <w:tc>
                <w:tcPr>
                  <w:tcW w:w="2080" w:type="dxa"/>
                  <w:vAlign w:val="center"/>
                </w:tcPr>
                <w:p w14:paraId="472B5799">
                  <w:pPr>
                    <w:pStyle w:val="28"/>
                    <w:rPr>
                      <w:highlight w:val="none"/>
                    </w:rPr>
                  </w:pPr>
                  <w:r>
                    <w:rPr>
                      <w:rFonts w:hint="eastAsia"/>
                      <w:highlight w:val="none"/>
                    </w:rPr>
                    <w:t>NH</w:t>
                  </w:r>
                  <w:r>
                    <w:rPr>
                      <w:rFonts w:hint="eastAsia"/>
                      <w:highlight w:val="none"/>
                      <w:vertAlign w:val="subscript"/>
                    </w:rPr>
                    <w:t>3</w:t>
                  </w:r>
                </w:p>
              </w:tc>
              <w:tc>
                <w:tcPr>
                  <w:tcW w:w="2081" w:type="dxa"/>
                  <w:vAlign w:val="center"/>
                </w:tcPr>
                <w:p w14:paraId="64CC6F4F">
                  <w:pPr>
                    <w:pStyle w:val="28"/>
                    <w:rPr>
                      <w:highlight w:val="none"/>
                    </w:rPr>
                  </w:pPr>
                  <w:r>
                    <w:rPr>
                      <w:rFonts w:hint="eastAsia"/>
                      <w:highlight w:val="none"/>
                    </w:rPr>
                    <w:t>H</w:t>
                  </w:r>
                  <w:r>
                    <w:rPr>
                      <w:rFonts w:hint="eastAsia"/>
                      <w:highlight w:val="none"/>
                      <w:vertAlign w:val="subscript"/>
                    </w:rPr>
                    <w:t>2</w:t>
                  </w:r>
                  <w:r>
                    <w:rPr>
                      <w:rFonts w:hint="eastAsia"/>
                      <w:highlight w:val="none"/>
                    </w:rPr>
                    <w:t>S</w:t>
                  </w:r>
                </w:p>
              </w:tc>
            </w:tr>
            <w:tr w14:paraId="3E5A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dxa"/>
                  <w:gridSpan w:val="2"/>
                  <w:vAlign w:val="center"/>
                </w:tcPr>
                <w:p w14:paraId="00DAB4DE">
                  <w:pPr>
                    <w:pStyle w:val="28"/>
                    <w:rPr>
                      <w:highlight w:val="none"/>
                    </w:rPr>
                  </w:pPr>
                  <w:r>
                    <w:rPr>
                      <w:rFonts w:hint="eastAsia"/>
                      <w:highlight w:val="none"/>
                    </w:rPr>
                    <w:t>年有效运行时长</w:t>
                  </w:r>
                </w:p>
              </w:tc>
              <w:tc>
                <w:tcPr>
                  <w:tcW w:w="4161" w:type="dxa"/>
                  <w:gridSpan w:val="2"/>
                  <w:vAlign w:val="center"/>
                </w:tcPr>
                <w:p w14:paraId="61596A95">
                  <w:pPr>
                    <w:pStyle w:val="28"/>
                    <w:rPr>
                      <w:highlight w:val="none"/>
                    </w:rPr>
                  </w:pPr>
                  <w:r>
                    <w:rPr>
                      <w:rFonts w:hint="eastAsia"/>
                      <w:highlight w:val="none"/>
                    </w:rPr>
                    <w:t>2800</w:t>
                  </w:r>
                </w:p>
              </w:tc>
            </w:tr>
            <w:tr w14:paraId="65CF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4" w:type="dxa"/>
                  <w:vMerge w:val="restart"/>
                  <w:vAlign w:val="center"/>
                </w:tcPr>
                <w:p w14:paraId="3CF7625D">
                  <w:pPr>
                    <w:pStyle w:val="28"/>
                    <w:rPr>
                      <w:highlight w:val="none"/>
                    </w:rPr>
                  </w:pPr>
                  <w:r>
                    <w:rPr>
                      <w:rFonts w:hint="eastAsia"/>
                      <w:highlight w:val="none"/>
                    </w:rPr>
                    <w:t>产生情况</w:t>
                  </w:r>
                </w:p>
              </w:tc>
              <w:tc>
                <w:tcPr>
                  <w:tcW w:w="2666" w:type="dxa"/>
                  <w:vAlign w:val="center"/>
                </w:tcPr>
                <w:p w14:paraId="79854B92">
                  <w:pPr>
                    <w:pStyle w:val="28"/>
                    <w:rPr>
                      <w:highlight w:val="none"/>
                    </w:rPr>
                  </w:pPr>
                  <w:r>
                    <w:rPr>
                      <w:rFonts w:hint="eastAsia"/>
                      <w:highlight w:val="none"/>
                    </w:rPr>
                    <w:t>产生量（t/a）</w:t>
                  </w:r>
                </w:p>
              </w:tc>
              <w:tc>
                <w:tcPr>
                  <w:tcW w:w="2080" w:type="dxa"/>
                  <w:vAlign w:val="center"/>
                </w:tcPr>
                <w:p w14:paraId="09B10C50">
                  <w:pPr>
                    <w:pStyle w:val="28"/>
                    <w:rPr>
                      <w:highlight w:val="none"/>
                    </w:rPr>
                  </w:pPr>
                  <w:r>
                    <w:rPr>
                      <w:rFonts w:hint="eastAsia"/>
                      <w:highlight w:val="none"/>
                    </w:rPr>
                    <w:t>0.063</w:t>
                  </w:r>
                </w:p>
              </w:tc>
              <w:tc>
                <w:tcPr>
                  <w:tcW w:w="2081" w:type="dxa"/>
                  <w:vAlign w:val="center"/>
                </w:tcPr>
                <w:p w14:paraId="68321EAB">
                  <w:pPr>
                    <w:pStyle w:val="28"/>
                    <w:rPr>
                      <w:highlight w:val="none"/>
                    </w:rPr>
                  </w:pPr>
                  <w:r>
                    <w:rPr>
                      <w:rFonts w:hint="eastAsia"/>
                      <w:highlight w:val="none"/>
                    </w:rPr>
                    <w:t>0.0126</w:t>
                  </w:r>
                </w:p>
              </w:tc>
            </w:tr>
            <w:tr w14:paraId="5836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continue"/>
                  <w:vAlign w:val="center"/>
                </w:tcPr>
                <w:p w14:paraId="63E860C4">
                  <w:pPr>
                    <w:pStyle w:val="28"/>
                    <w:rPr>
                      <w:highlight w:val="none"/>
                    </w:rPr>
                  </w:pPr>
                </w:p>
              </w:tc>
              <w:tc>
                <w:tcPr>
                  <w:tcW w:w="2666" w:type="dxa"/>
                  <w:vAlign w:val="center"/>
                </w:tcPr>
                <w:p w14:paraId="64D51B5D">
                  <w:pPr>
                    <w:pStyle w:val="28"/>
                    <w:rPr>
                      <w:highlight w:val="none"/>
                    </w:rPr>
                  </w:pPr>
                  <w:r>
                    <w:rPr>
                      <w:rFonts w:hint="eastAsia"/>
                      <w:highlight w:val="none"/>
                    </w:rPr>
                    <w:t>产生速率（kg/h）</w:t>
                  </w:r>
                </w:p>
              </w:tc>
              <w:tc>
                <w:tcPr>
                  <w:tcW w:w="2080" w:type="dxa"/>
                  <w:vAlign w:val="center"/>
                </w:tcPr>
                <w:p w14:paraId="5E87A8A8">
                  <w:pPr>
                    <w:pStyle w:val="28"/>
                    <w:rPr>
                      <w:highlight w:val="none"/>
                    </w:rPr>
                  </w:pPr>
                  <w:r>
                    <w:rPr>
                      <w:rFonts w:hint="eastAsia"/>
                      <w:highlight w:val="none"/>
                    </w:rPr>
                    <w:t>0.0225</w:t>
                  </w:r>
                </w:p>
              </w:tc>
              <w:tc>
                <w:tcPr>
                  <w:tcW w:w="2081" w:type="dxa"/>
                  <w:vAlign w:val="center"/>
                </w:tcPr>
                <w:p w14:paraId="155E2820">
                  <w:pPr>
                    <w:pStyle w:val="28"/>
                    <w:rPr>
                      <w:highlight w:val="none"/>
                    </w:rPr>
                  </w:pPr>
                  <w:r>
                    <w:rPr>
                      <w:rFonts w:hint="eastAsia"/>
                      <w:highlight w:val="none"/>
                    </w:rPr>
                    <w:t>0.0045</w:t>
                  </w:r>
                </w:p>
              </w:tc>
            </w:tr>
            <w:tr w14:paraId="2243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continue"/>
                  <w:vAlign w:val="center"/>
                </w:tcPr>
                <w:p w14:paraId="2BBB421E">
                  <w:pPr>
                    <w:pStyle w:val="28"/>
                    <w:rPr>
                      <w:highlight w:val="none"/>
                    </w:rPr>
                  </w:pPr>
                </w:p>
              </w:tc>
              <w:tc>
                <w:tcPr>
                  <w:tcW w:w="2666" w:type="dxa"/>
                  <w:vAlign w:val="center"/>
                </w:tcPr>
                <w:p w14:paraId="49E4524A">
                  <w:pPr>
                    <w:pStyle w:val="28"/>
                    <w:rPr>
                      <w:highlight w:val="none"/>
                    </w:rPr>
                  </w:pPr>
                  <w:r>
                    <w:rPr>
                      <w:rFonts w:hint="eastAsia"/>
                      <w:highlight w:val="none"/>
                    </w:rPr>
                    <w:t>产生浓度（mg/m</w:t>
                  </w:r>
                  <w:r>
                    <w:rPr>
                      <w:rFonts w:hint="eastAsia"/>
                      <w:highlight w:val="none"/>
                      <w:vertAlign w:val="superscript"/>
                    </w:rPr>
                    <w:t>3</w:t>
                  </w:r>
                  <w:r>
                    <w:rPr>
                      <w:rFonts w:hint="eastAsia"/>
                      <w:highlight w:val="none"/>
                    </w:rPr>
                    <w:t>）</w:t>
                  </w:r>
                </w:p>
              </w:tc>
              <w:tc>
                <w:tcPr>
                  <w:tcW w:w="2080" w:type="dxa"/>
                  <w:vAlign w:val="center"/>
                </w:tcPr>
                <w:p w14:paraId="5735AF1B">
                  <w:pPr>
                    <w:pStyle w:val="28"/>
                    <w:rPr>
                      <w:highlight w:val="none"/>
                    </w:rPr>
                  </w:pPr>
                  <w:r>
                    <w:rPr>
                      <w:rFonts w:hint="eastAsia"/>
                      <w:highlight w:val="none"/>
                    </w:rPr>
                    <w:t>22.5</w:t>
                  </w:r>
                </w:p>
              </w:tc>
              <w:tc>
                <w:tcPr>
                  <w:tcW w:w="2081" w:type="dxa"/>
                  <w:vAlign w:val="center"/>
                </w:tcPr>
                <w:p w14:paraId="418B90ED">
                  <w:pPr>
                    <w:pStyle w:val="28"/>
                    <w:rPr>
                      <w:highlight w:val="none"/>
                    </w:rPr>
                  </w:pPr>
                  <w:r>
                    <w:rPr>
                      <w:rFonts w:hint="eastAsia"/>
                      <w:highlight w:val="none"/>
                    </w:rPr>
                    <w:t>4.5</w:t>
                  </w:r>
                </w:p>
              </w:tc>
            </w:tr>
          </w:tbl>
          <w:p w14:paraId="1760D9CA">
            <w:pPr>
              <w:adjustRightInd w:val="0"/>
              <w:snapToGrid w:val="0"/>
              <w:spacing w:line="360" w:lineRule="auto"/>
              <w:ind w:firstLine="484" w:firstLineChars="200"/>
              <w:jc w:val="left"/>
              <w:rPr>
                <w:rFonts w:cs="宋体"/>
                <w:color w:val="1F497D" w:themeColor="text2"/>
                <w:spacing w:val="1"/>
                <w:sz w:val="24"/>
                <w:highlight w:val="none"/>
                <w14:textFill>
                  <w14:solidFill>
                    <w14:schemeClr w14:val="tx2"/>
                  </w14:solidFill>
                </w14:textFill>
              </w:rPr>
            </w:pPr>
            <w:r>
              <w:rPr>
                <w:rFonts w:cs="宋体"/>
                <w:spacing w:val="1"/>
                <w:sz w:val="24"/>
                <w:highlight w:val="none"/>
              </w:rPr>
              <w:t>本项目屠宰车间均采取封闭措施，车间内定期冲洗并且增加通风次数，通过以上措施，屠宰车间恶臭气体厂界无组织排放浓度能够满足《恶臭污染物排放标准》（GB14554-93）表1中厂界标准值。</w:t>
            </w:r>
          </w:p>
          <w:p w14:paraId="798FC889">
            <w:pPr>
              <w:adjustRightInd w:val="0"/>
              <w:snapToGrid w:val="0"/>
              <w:spacing w:line="360" w:lineRule="auto"/>
              <w:ind w:firstLine="480" w:firstLineChars="200"/>
              <w:jc w:val="left"/>
              <w:rPr>
                <w:bCs/>
                <w:sz w:val="24"/>
                <w:highlight w:val="none"/>
              </w:rPr>
            </w:pPr>
            <w:r>
              <w:rPr>
                <w:rFonts w:hint="eastAsia"/>
                <w:bCs/>
                <w:sz w:val="24"/>
                <w:highlight w:val="none"/>
              </w:rPr>
              <w:t>④车辆运输扬尘</w:t>
            </w:r>
          </w:p>
          <w:p w14:paraId="1C0D2BC7">
            <w:pPr>
              <w:adjustRightInd w:val="0"/>
              <w:snapToGrid w:val="0"/>
              <w:spacing w:line="360" w:lineRule="auto"/>
              <w:ind w:firstLine="480" w:firstLineChars="200"/>
              <w:jc w:val="left"/>
              <w:rPr>
                <w:bCs/>
                <w:kern w:val="0"/>
                <w:sz w:val="24"/>
                <w:highlight w:val="none"/>
              </w:rPr>
            </w:pPr>
            <w:r>
              <w:rPr>
                <w:rFonts w:hint="eastAsia"/>
                <w:bCs/>
                <w:kern w:val="0"/>
                <w:sz w:val="24"/>
                <w:highlight w:val="none"/>
              </w:rPr>
              <w:t>本项目所用的原辅材料均为市场采购且采用车辆运输，其中肉羊运输过程会产生少量恶臭气体，分为场内和场外两部分。场外运输时，主要依靠高速公路及省道，恶臭气体扩散条件好，根据实际情况，除与肉羊运输车辆接近的情况外，其他情况下基本无法嗅到气味，因此对周围居民区影响不明显；场内运输时，运输距离与停留时间均很短，少量恶臭气体无组织排放。</w:t>
            </w:r>
          </w:p>
          <w:p w14:paraId="40553C72">
            <w:pPr>
              <w:adjustRightInd w:val="0"/>
              <w:snapToGrid w:val="0"/>
              <w:spacing w:line="360" w:lineRule="auto"/>
              <w:ind w:firstLine="480" w:firstLineChars="200"/>
              <w:jc w:val="left"/>
              <w:rPr>
                <w:bCs/>
                <w:kern w:val="0"/>
                <w:sz w:val="24"/>
                <w:highlight w:val="none"/>
              </w:rPr>
            </w:pPr>
            <w:r>
              <w:rPr>
                <w:rFonts w:hint="eastAsia"/>
                <w:bCs/>
                <w:kern w:val="0"/>
                <w:sz w:val="24"/>
                <w:highlight w:val="none"/>
              </w:rPr>
              <w:t>本项目对厂区路面全部进行硬化，车辆行驶产生的扬尘，在道路完全干燥的情况下，可按以下经验公式计算：</w:t>
            </w:r>
          </w:p>
          <w:p w14:paraId="20FCC260">
            <w:pPr>
              <w:spacing w:line="360" w:lineRule="auto"/>
              <w:ind w:left="420" w:leftChars="200" w:firstLine="1200" w:firstLineChars="500"/>
              <w:rPr>
                <w:sz w:val="24"/>
                <w:highlight w:val="none"/>
              </w:rPr>
            </w:pPr>
            <w:r>
              <w:rPr>
                <w:rFonts w:hint="eastAsia"/>
                <w:sz w:val="24"/>
                <w:highlight w:val="none"/>
              </w:rPr>
              <w:t>Q=0.123(V/5)(W/6.8)</w:t>
            </w:r>
            <w:r>
              <w:rPr>
                <w:sz w:val="24"/>
                <w:highlight w:val="none"/>
                <w:vertAlign w:val="superscript"/>
              </w:rPr>
              <w:t>0.85</w:t>
            </w:r>
            <w:r>
              <w:rPr>
                <w:rFonts w:hint="eastAsia"/>
                <w:sz w:val="24"/>
                <w:highlight w:val="none"/>
              </w:rPr>
              <w:t>(P/0.5)</w:t>
            </w:r>
            <w:r>
              <w:rPr>
                <w:sz w:val="24"/>
                <w:highlight w:val="none"/>
                <w:vertAlign w:val="superscript"/>
              </w:rPr>
              <w:t>0.72</w:t>
            </w:r>
          </w:p>
          <w:p w14:paraId="1BB99200">
            <w:pPr>
              <w:spacing w:line="360" w:lineRule="auto"/>
              <w:ind w:firstLine="480" w:firstLineChars="200"/>
              <w:rPr>
                <w:bCs/>
                <w:sz w:val="24"/>
                <w:highlight w:val="none"/>
              </w:rPr>
            </w:pPr>
            <w:r>
              <w:rPr>
                <w:bCs/>
                <w:sz w:val="24"/>
                <w:highlight w:val="none"/>
              </w:rPr>
              <w:t>式中</w:t>
            </w:r>
            <w:r>
              <w:rPr>
                <w:rFonts w:hint="eastAsia"/>
                <w:bCs/>
                <w:sz w:val="24"/>
                <w:highlight w:val="none"/>
              </w:rPr>
              <w:t>：</w:t>
            </w:r>
            <w:r>
              <w:rPr>
                <w:bCs/>
                <w:sz w:val="24"/>
                <w:highlight w:val="none"/>
              </w:rPr>
              <w:t>Q——汽车运输总扬尘</w:t>
            </w:r>
            <w:r>
              <w:rPr>
                <w:rFonts w:hint="eastAsia"/>
                <w:bCs/>
                <w:sz w:val="24"/>
                <w:highlight w:val="none"/>
              </w:rPr>
              <w:t>；</w:t>
            </w:r>
          </w:p>
          <w:p w14:paraId="3922DB86">
            <w:pPr>
              <w:snapToGrid w:val="0"/>
              <w:spacing w:line="360" w:lineRule="auto"/>
              <w:ind w:left="630" w:leftChars="300"/>
              <w:jc w:val="left"/>
              <w:rPr>
                <w:bCs/>
                <w:sz w:val="24"/>
                <w:highlight w:val="none"/>
              </w:rPr>
            </w:pPr>
            <w:r>
              <w:rPr>
                <w:bCs/>
                <w:sz w:val="24"/>
                <w:highlight w:val="none"/>
              </w:rPr>
              <w:t>V——汽车速度（km/h）</w:t>
            </w:r>
            <w:r>
              <w:rPr>
                <w:rFonts w:hint="eastAsia"/>
                <w:bCs/>
                <w:sz w:val="24"/>
                <w:highlight w:val="none"/>
              </w:rPr>
              <w:t>，1</w:t>
            </w:r>
            <w:r>
              <w:rPr>
                <w:bCs/>
                <w:sz w:val="24"/>
                <w:highlight w:val="none"/>
              </w:rPr>
              <w:t>0km/h；</w:t>
            </w:r>
          </w:p>
          <w:p w14:paraId="094C6F23">
            <w:pPr>
              <w:snapToGrid w:val="0"/>
              <w:spacing w:line="360" w:lineRule="auto"/>
              <w:ind w:left="630" w:leftChars="300"/>
              <w:jc w:val="left"/>
              <w:rPr>
                <w:bCs/>
                <w:sz w:val="24"/>
                <w:highlight w:val="none"/>
              </w:rPr>
            </w:pPr>
            <w:r>
              <w:rPr>
                <w:bCs/>
                <w:sz w:val="24"/>
                <w:highlight w:val="none"/>
              </w:rPr>
              <w:t>W——汽车重量（</w:t>
            </w:r>
            <w:r>
              <w:rPr>
                <w:rFonts w:hint="eastAsia"/>
                <w:bCs/>
                <w:sz w:val="24"/>
                <w:highlight w:val="none"/>
              </w:rPr>
              <w:t>t</w:t>
            </w:r>
            <w:r>
              <w:rPr>
                <w:bCs/>
                <w:sz w:val="24"/>
                <w:highlight w:val="none"/>
              </w:rPr>
              <w:t>）</w:t>
            </w:r>
            <w:r>
              <w:rPr>
                <w:rFonts w:hint="eastAsia"/>
                <w:bCs/>
                <w:sz w:val="24"/>
                <w:highlight w:val="none"/>
              </w:rPr>
              <w:t>，活羊运输为载货车</w:t>
            </w:r>
            <w:r>
              <w:rPr>
                <w:bCs/>
                <w:sz w:val="24"/>
                <w:highlight w:val="none"/>
              </w:rPr>
              <w:t>空车</w:t>
            </w:r>
            <w:r>
              <w:rPr>
                <w:rFonts w:hint="eastAsia"/>
                <w:bCs/>
                <w:sz w:val="24"/>
                <w:highlight w:val="none"/>
              </w:rPr>
              <w:t>6</w:t>
            </w:r>
            <w:r>
              <w:rPr>
                <w:bCs/>
                <w:sz w:val="24"/>
                <w:highlight w:val="none"/>
              </w:rPr>
              <w:t>t/辆</w:t>
            </w:r>
            <w:r>
              <w:rPr>
                <w:rFonts w:hint="eastAsia"/>
                <w:bCs/>
                <w:sz w:val="24"/>
                <w:highlight w:val="none"/>
              </w:rPr>
              <w:t>、载重15</w:t>
            </w:r>
            <w:r>
              <w:rPr>
                <w:bCs/>
                <w:sz w:val="24"/>
                <w:highlight w:val="none"/>
              </w:rPr>
              <w:t>t/辆</w:t>
            </w:r>
            <w:r>
              <w:rPr>
                <w:rFonts w:hint="eastAsia"/>
                <w:bCs/>
                <w:sz w:val="24"/>
                <w:highlight w:val="none"/>
              </w:rPr>
              <w:t>，肉羊胴体运输为汽车空车1</w:t>
            </w:r>
            <w:r>
              <w:rPr>
                <w:bCs/>
                <w:sz w:val="24"/>
                <w:highlight w:val="none"/>
              </w:rPr>
              <w:t>t/辆</w:t>
            </w:r>
            <w:r>
              <w:rPr>
                <w:rFonts w:hint="eastAsia"/>
                <w:bCs/>
                <w:sz w:val="24"/>
                <w:highlight w:val="none"/>
              </w:rPr>
              <w:t>、载重2</w:t>
            </w:r>
            <w:r>
              <w:rPr>
                <w:bCs/>
                <w:sz w:val="24"/>
                <w:highlight w:val="none"/>
              </w:rPr>
              <w:t>t/辆；</w:t>
            </w:r>
          </w:p>
          <w:p w14:paraId="545041D1">
            <w:pPr>
              <w:snapToGrid w:val="0"/>
              <w:spacing w:line="360" w:lineRule="auto"/>
              <w:ind w:left="630" w:leftChars="300"/>
              <w:jc w:val="left"/>
              <w:rPr>
                <w:bCs/>
                <w:sz w:val="24"/>
                <w:highlight w:val="none"/>
              </w:rPr>
            </w:pPr>
            <w:r>
              <w:rPr>
                <w:bCs/>
                <w:sz w:val="24"/>
                <w:highlight w:val="none"/>
              </w:rPr>
              <w:t>P——道路表面粉尘量（kg/m</w:t>
            </w:r>
            <w:r>
              <w:rPr>
                <w:bCs/>
                <w:sz w:val="24"/>
                <w:highlight w:val="none"/>
                <w:vertAlign w:val="superscript"/>
              </w:rPr>
              <w:t>2</w:t>
            </w:r>
            <w:r>
              <w:rPr>
                <w:bCs/>
                <w:sz w:val="24"/>
                <w:highlight w:val="none"/>
              </w:rPr>
              <w:t>）</w:t>
            </w:r>
            <w:r>
              <w:rPr>
                <w:rFonts w:hint="eastAsia"/>
                <w:bCs/>
                <w:sz w:val="24"/>
                <w:highlight w:val="none"/>
              </w:rPr>
              <w:t>，0.2kg/m</w:t>
            </w:r>
            <w:r>
              <w:rPr>
                <w:rFonts w:hint="eastAsia"/>
                <w:bCs/>
                <w:sz w:val="24"/>
                <w:highlight w:val="none"/>
                <w:vertAlign w:val="superscript"/>
              </w:rPr>
              <w:t>2</w:t>
            </w:r>
            <w:r>
              <w:rPr>
                <w:rFonts w:hint="eastAsia"/>
                <w:bCs/>
                <w:sz w:val="24"/>
                <w:highlight w:val="none"/>
              </w:rPr>
              <w:t>。</w:t>
            </w:r>
          </w:p>
          <w:p w14:paraId="25F9E04B">
            <w:pPr>
              <w:pStyle w:val="34"/>
              <w:rPr>
                <w:color w:val="000000" w:themeColor="text1"/>
                <w:highlight w:val="none"/>
                <w:lang w:eastAsia="zh-CN"/>
                <w14:textFill>
                  <w14:solidFill>
                    <w14:schemeClr w14:val="tx1"/>
                  </w14:solidFill>
                </w14:textFill>
              </w:rPr>
            </w:pPr>
            <w:r>
              <w:rPr>
                <w:rFonts w:hint="eastAsia"/>
                <w:bCs/>
                <w:kern w:val="0"/>
                <w:highlight w:val="none"/>
                <w:lang w:eastAsia="zh-CN"/>
              </w:rPr>
              <w:t>项目场内运输车辆主要为汽车。</w:t>
            </w:r>
            <w:r>
              <w:rPr>
                <w:highlight w:val="none"/>
                <w:lang w:eastAsia="zh-CN"/>
              </w:rPr>
              <w:t>本项目</w:t>
            </w:r>
            <w:r>
              <w:rPr>
                <w:rFonts w:hint="eastAsia"/>
                <w:highlight w:val="none"/>
                <w:lang w:eastAsia="zh-CN"/>
              </w:rPr>
              <w:t>肉羊屠宰</w:t>
            </w:r>
            <w:r>
              <w:rPr>
                <w:highlight w:val="none"/>
                <w:lang w:eastAsia="zh-CN"/>
              </w:rPr>
              <w:t>规模为</w:t>
            </w:r>
            <w:r>
              <w:rPr>
                <w:rFonts w:hint="eastAsia"/>
                <w:highlight w:val="none"/>
                <w:lang w:eastAsia="zh-CN"/>
              </w:rPr>
              <w:t>140只</w:t>
            </w:r>
            <w:r>
              <w:rPr>
                <w:highlight w:val="none"/>
                <w:lang w:eastAsia="zh-CN"/>
              </w:rPr>
              <w:t>/</w:t>
            </w:r>
            <w:r>
              <w:rPr>
                <w:rFonts w:hint="eastAsia"/>
                <w:highlight w:val="none"/>
                <w:lang w:eastAsia="zh-CN"/>
              </w:rPr>
              <w:t>天</w:t>
            </w:r>
            <w:r>
              <w:rPr>
                <w:highlight w:val="none"/>
                <w:lang w:eastAsia="zh-CN"/>
              </w:rPr>
              <w:t>，每天约需运输</w:t>
            </w:r>
            <w:r>
              <w:rPr>
                <w:rFonts w:hint="eastAsia"/>
                <w:highlight w:val="none"/>
                <w:lang w:eastAsia="zh-CN"/>
              </w:rPr>
              <w:t>活羊1次、肉羊胴体14次</w:t>
            </w:r>
            <w:r>
              <w:rPr>
                <w:rFonts w:hint="eastAsia"/>
                <w:kern w:val="0"/>
                <w:highlight w:val="none"/>
                <w:lang w:eastAsia="zh-CN"/>
              </w:rPr>
              <w:t>。</w:t>
            </w:r>
            <w:r>
              <w:rPr>
                <w:rFonts w:hint="eastAsia"/>
                <w:highlight w:val="none"/>
                <w:lang w:eastAsia="zh-CN"/>
              </w:rPr>
              <w:t>本项目</w:t>
            </w:r>
            <w:r>
              <w:rPr>
                <w:bCs/>
                <w:kern w:val="0"/>
                <w:highlight w:val="none"/>
                <w:lang w:eastAsia="zh-CN"/>
              </w:rPr>
              <w:t>每辆运输车在厂内单次行驶距离按</w:t>
            </w:r>
            <w:r>
              <w:rPr>
                <w:rFonts w:hint="eastAsia"/>
                <w:bCs/>
                <w:kern w:val="0"/>
                <w:highlight w:val="none"/>
                <w:lang w:eastAsia="zh-CN"/>
              </w:rPr>
              <w:t>0.2k</w:t>
            </w:r>
            <w:r>
              <w:rPr>
                <w:bCs/>
                <w:kern w:val="0"/>
                <w:highlight w:val="none"/>
                <w:lang w:eastAsia="zh-CN"/>
              </w:rPr>
              <w:t>m计，以速度10km</w:t>
            </w:r>
            <w:r>
              <w:rPr>
                <w:rFonts w:hint="eastAsia"/>
                <w:bCs/>
                <w:kern w:val="0"/>
                <w:highlight w:val="none"/>
                <w:lang w:eastAsia="zh-CN"/>
              </w:rPr>
              <w:t>/</w:t>
            </w:r>
            <w:r>
              <w:rPr>
                <w:bCs/>
                <w:kern w:val="0"/>
                <w:highlight w:val="none"/>
                <w:lang w:eastAsia="zh-CN"/>
              </w:rPr>
              <w:t>h行驶，项目路面硬化，汽车运输起尘量较少，道路表面粉尘量按0</w:t>
            </w:r>
            <w:r>
              <w:rPr>
                <w:rFonts w:hint="eastAsia"/>
                <w:bCs/>
                <w:kern w:val="0"/>
                <w:highlight w:val="none"/>
                <w:lang w:eastAsia="zh-CN"/>
              </w:rPr>
              <w:t>.</w:t>
            </w:r>
            <w:r>
              <w:rPr>
                <w:bCs/>
                <w:kern w:val="0"/>
                <w:highlight w:val="none"/>
                <w:lang w:eastAsia="zh-CN"/>
              </w:rPr>
              <w:t>2kg/m</w:t>
            </w:r>
            <w:r>
              <w:rPr>
                <w:rFonts w:hint="eastAsia"/>
                <w:bCs/>
                <w:kern w:val="0"/>
                <w:highlight w:val="none"/>
                <w:vertAlign w:val="superscript"/>
                <w:lang w:eastAsia="zh-CN"/>
              </w:rPr>
              <w:t>2</w:t>
            </w:r>
            <w:r>
              <w:rPr>
                <w:bCs/>
                <w:kern w:val="0"/>
                <w:highlight w:val="none"/>
                <w:lang w:eastAsia="zh-CN"/>
              </w:rPr>
              <w:t>计算，道路扬尘量为</w:t>
            </w:r>
            <w:r>
              <w:rPr>
                <w:rFonts w:hint="eastAsia"/>
                <w:bCs/>
                <w:kern w:val="0"/>
                <w:highlight w:val="none"/>
                <w:lang w:eastAsia="zh-CN"/>
              </w:rPr>
              <w:t>1.342</w:t>
            </w:r>
            <w:r>
              <w:rPr>
                <w:bCs/>
                <w:kern w:val="0"/>
                <w:highlight w:val="none"/>
                <w:lang w:eastAsia="zh-CN"/>
              </w:rPr>
              <w:t>kg/d</w:t>
            </w:r>
            <w:r>
              <w:rPr>
                <w:rFonts w:hint="eastAsia"/>
                <w:bCs/>
                <w:kern w:val="0"/>
                <w:highlight w:val="none"/>
                <w:lang w:eastAsia="zh-CN"/>
              </w:rPr>
              <w:t>，0.470</w:t>
            </w:r>
            <w:r>
              <w:rPr>
                <w:bCs/>
                <w:kern w:val="0"/>
                <w:highlight w:val="none"/>
                <w:lang w:eastAsia="zh-CN"/>
              </w:rPr>
              <w:t>t</w:t>
            </w:r>
            <w:r>
              <w:rPr>
                <w:rFonts w:hint="eastAsia"/>
                <w:bCs/>
                <w:kern w:val="0"/>
                <w:highlight w:val="none"/>
                <w:lang w:eastAsia="zh-CN"/>
              </w:rPr>
              <w:t>/</w:t>
            </w:r>
            <w:r>
              <w:rPr>
                <w:bCs/>
                <w:kern w:val="0"/>
                <w:highlight w:val="none"/>
                <w:lang w:eastAsia="zh-CN"/>
              </w:rPr>
              <w:t>a。企业通过定时对厂区洒水，及时清扫，保持道路湿润、清洁</w:t>
            </w:r>
            <w:r>
              <w:rPr>
                <w:rFonts w:hint="eastAsia"/>
                <w:bCs/>
                <w:kern w:val="0"/>
                <w:highlight w:val="none"/>
                <w:lang w:eastAsia="zh-CN"/>
              </w:rPr>
              <w:t>，</w:t>
            </w:r>
            <w:r>
              <w:rPr>
                <w:bCs/>
                <w:kern w:val="0"/>
                <w:highlight w:val="none"/>
                <w:lang w:eastAsia="zh-CN"/>
              </w:rPr>
              <w:t>同时在厂区大门内侧设置减速带，降低车辆行驶速度，减少道路扬尘</w:t>
            </w:r>
            <w:r>
              <w:rPr>
                <w:rFonts w:hint="eastAsia"/>
                <w:bCs/>
                <w:kern w:val="0"/>
                <w:highlight w:val="none"/>
                <w:lang w:eastAsia="zh-CN"/>
              </w:rPr>
              <w:t>，</w:t>
            </w:r>
            <w:r>
              <w:rPr>
                <w:bCs/>
                <w:kern w:val="0"/>
                <w:highlight w:val="none"/>
                <w:lang w:eastAsia="zh-CN"/>
              </w:rPr>
              <w:t>扬尘产生量按原产生量的</w:t>
            </w:r>
            <w:r>
              <w:rPr>
                <w:rFonts w:hint="eastAsia"/>
                <w:bCs/>
                <w:kern w:val="0"/>
                <w:highlight w:val="none"/>
                <w:lang w:eastAsia="zh-CN"/>
              </w:rPr>
              <w:t>10</w:t>
            </w:r>
            <w:r>
              <w:rPr>
                <w:bCs/>
                <w:kern w:val="0"/>
                <w:highlight w:val="none"/>
                <w:lang w:eastAsia="zh-CN"/>
              </w:rPr>
              <w:t>%计算，即0.</w:t>
            </w:r>
            <w:r>
              <w:rPr>
                <w:rFonts w:hint="eastAsia"/>
                <w:bCs/>
                <w:kern w:val="0"/>
                <w:highlight w:val="none"/>
                <w:lang w:eastAsia="zh-CN"/>
              </w:rPr>
              <w:t>047t/a，47kg/a</w:t>
            </w:r>
            <w:r>
              <w:rPr>
                <w:bCs/>
                <w:kern w:val="0"/>
                <w:highlight w:val="none"/>
                <w:lang w:eastAsia="zh-CN"/>
              </w:rPr>
              <w:t>。</w:t>
            </w:r>
          </w:p>
          <w:p w14:paraId="7E1E7043">
            <w:pPr>
              <w:pStyle w:val="34"/>
              <w:rPr>
                <w:highlight w:val="none"/>
                <w:lang w:eastAsia="zh-CN" w:bidi="ar"/>
              </w:rPr>
            </w:pPr>
            <w:r>
              <w:rPr>
                <w:highlight w:val="none"/>
                <w:lang w:eastAsia="zh-CN" w:bidi="ar"/>
              </w:rPr>
              <w:t>本项目废气产生及排放情况详见下表：</w:t>
            </w:r>
          </w:p>
          <w:p w14:paraId="70C5C46E">
            <w:pPr>
              <w:pStyle w:val="30"/>
              <w:rPr>
                <w:rFonts w:hint="default"/>
                <w:highlight w:val="none"/>
              </w:rPr>
            </w:pPr>
            <w:r>
              <w:rPr>
                <w:highlight w:val="none"/>
              </w:rPr>
              <w:t>表4-3无组织废气情况一览表</w:t>
            </w:r>
          </w:p>
          <w:tbl>
            <w:tblPr>
              <w:tblStyle w:val="21"/>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50"/>
              <w:gridCol w:w="1125"/>
              <w:gridCol w:w="1656"/>
              <w:gridCol w:w="894"/>
              <w:gridCol w:w="1065"/>
              <w:gridCol w:w="1608"/>
            </w:tblGrid>
            <w:tr w14:paraId="7D8E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dxa"/>
                  <w:vAlign w:val="center"/>
                </w:tcPr>
                <w:p w14:paraId="6E0DA72B">
                  <w:pPr>
                    <w:pStyle w:val="28"/>
                    <w:rPr>
                      <w:b/>
                      <w:bCs/>
                      <w:highlight w:val="none"/>
                    </w:rPr>
                  </w:pPr>
                  <w:r>
                    <w:rPr>
                      <w:rFonts w:hint="eastAsia"/>
                      <w:b/>
                      <w:bCs/>
                      <w:highlight w:val="none"/>
                    </w:rPr>
                    <w:t>污染源位置</w:t>
                  </w:r>
                </w:p>
              </w:tc>
              <w:tc>
                <w:tcPr>
                  <w:tcW w:w="1050" w:type="dxa"/>
                  <w:vAlign w:val="center"/>
                </w:tcPr>
                <w:p w14:paraId="1CD31C87">
                  <w:pPr>
                    <w:pStyle w:val="28"/>
                    <w:rPr>
                      <w:b/>
                      <w:bCs/>
                      <w:highlight w:val="none"/>
                    </w:rPr>
                  </w:pPr>
                  <w:r>
                    <w:rPr>
                      <w:rFonts w:hint="eastAsia"/>
                      <w:b/>
                      <w:bCs/>
                      <w:highlight w:val="none"/>
                    </w:rPr>
                    <w:t>污染物名称</w:t>
                  </w:r>
                </w:p>
              </w:tc>
              <w:tc>
                <w:tcPr>
                  <w:tcW w:w="1125" w:type="dxa"/>
                  <w:vAlign w:val="center"/>
                </w:tcPr>
                <w:p w14:paraId="69FA1CEA">
                  <w:pPr>
                    <w:pStyle w:val="28"/>
                    <w:rPr>
                      <w:b/>
                      <w:bCs/>
                      <w:highlight w:val="none"/>
                    </w:rPr>
                  </w:pPr>
                  <w:r>
                    <w:rPr>
                      <w:rFonts w:hint="eastAsia"/>
                      <w:b/>
                      <w:bCs/>
                      <w:highlight w:val="none"/>
                    </w:rPr>
                    <w:t>产生量（t/a）</w:t>
                  </w:r>
                </w:p>
              </w:tc>
              <w:tc>
                <w:tcPr>
                  <w:tcW w:w="1656" w:type="dxa"/>
                  <w:vAlign w:val="center"/>
                </w:tcPr>
                <w:p w14:paraId="3B342DDA">
                  <w:pPr>
                    <w:pStyle w:val="28"/>
                    <w:rPr>
                      <w:b/>
                      <w:bCs/>
                      <w:highlight w:val="none"/>
                    </w:rPr>
                  </w:pPr>
                  <w:r>
                    <w:rPr>
                      <w:rFonts w:hint="eastAsia"/>
                      <w:b/>
                      <w:bCs/>
                      <w:highlight w:val="none"/>
                    </w:rPr>
                    <w:t>防治措施</w:t>
                  </w:r>
                </w:p>
              </w:tc>
              <w:tc>
                <w:tcPr>
                  <w:tcW w:w="894" w:type="dxa"/>
                  <w:vAlign w:val="center"/>
                </w:tcPr>
                <w:p w14:paraId="5BCFCCCD">
                  <w:pPr>
                    <w:pStyle w:val="28"/>
                    <w:rPr>
                      <w:b/>
                      <w:bCs/>
                      <w:highlight w:val="none"/>
                    </w:rPr>
                  </w:pPr>
                  <w:r>
                    <w:rPr>
                      <w:rFonts w:hint="eastAsia"/>
                      <w:b/>
                      <w:bCs/>
                      <w:highlight w:val="none"/>
                    </w:rPr>
                    <w:t>排放方式</w:t>
                  </w:r>
                </w:p>
              </w:tc>
              <w:tc>
                <w:tcPr>
                  <w:tcW w:w="1065" w:type="dxa"/>
                  <w:vAlign w:val="center"/>
                </w:tcPr>
                <w:p w14:paraId="4DF0AEB0">
                  <w:pPr>
                    <w:pStyle w:val="28"/>
                    <w:rPr>
                      <w:b/>
                      <w:bCs/>
                      <w:highlight w:val="none"/>
                    </w:rPr>
                  </w:pPr>
                  <w:r>
                    <w:rPr>
                      <w:rFonts w:hint="eastAsia"/>
                      <w:b/>
                      <w:bCs/>
                      <w:highlight w:val="none"/>
                    </w:rPr>
                    <w:t>排放量（t/a）</w:t>
                  </w:r>
                </w:p>
              </w:tc>
              <w:tc>
                <w:tcPr>
                  <w:tcW w:w="1608" w:type="dxa"/>
                  <w:vAlign w:val="center"/>
                </w:tcPr>
                <w:p w14:paraId="256A6417">
                  <w:pPr>
                    <w:pStyle w:val="28"/>
                    <w:rPr>
                      <w:b/>
                      <w:bCs/>
                      <w:highlight w:val="none"/>
                    </w:rPr>
                  </w:pPr>
                  <w:r>
                    <w:rPr>
                      <w:rFonts w:hint="eastAsia"/>
                      <w:b/>
                      <w:bCs/>
                      <w:highlight w:val="none"/>
                    </w:rPr>
                    <w:t>排放标准</w:t>
                  </w:r>
                </w:p>
              </w:tc>
            </w:tr>
            <w:tr w14:paraId="29FB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dxa"/>
                  <w:vMerge w:val="restart"/>
                  <w:vAlign w:val="center"/>
                </w:tcPr>
                <w:p w14:paraId="607CB42D">
                  <w:pPr>
                    <w:pStyle w:val="28"/>
                    <w:rPr>
                      <w:highlight w:val="none"/>
                    </w:rPr>
                  </w:pPr>
                  <w:r>
                    <w:rPr>
                      <w:rFonts w:hint="eastAsia"/>
                      <w:highlight w:val="none"/>
                    </w:rPr>
                    <w:t>屠宰车间</w:t>
                  </w:r>
                </w:p>
              </w:tc>
              <w:tc>
                <w:tcPr>
                  <w:tcW w:w="1050" w:type="dxa"/>
                  <w:vAlign w:val="center"/>
                </w:tcPr>
                <w:p w14:paraId="2B1902EF">
                  <w:pPr>
                    <w:pStyle w:val="28"/>
                    <w:rPr>
                      <w:highlight w:val="none"/>
                    </w:rPr>
                  </w:pPr>
                  <w:r>
                    <w:rPr>
                      <w:rFonts w:hint="eastAsia"/>
                      <w:highlight w:val="none"/>
                    </w:rPr>
                    <w:t>NH</w:t>
                  </w:r>
                  <w:r>
                    <w:rPr>
                      <w:rFonts w:hint="eastAsia"/>
                      <w:highlight w:val="none"/>
                      <w:vertAlign w:val="subscript"/>
                    </w:rPr>
                    <w:t>3</w:t>
                  </w:r>
                </w:p>
              </w:tc>
              <w:tc>
                <w:tcPr>
                  <w:tcW w:w="1125" w:type="dxa"/>
                  <w:vAlign w:val="center"/>
                </w:tcPr>
                <w:p w14:paraId="79924378">
                  <w:pPr>
                    <w:pStyle w:val="28"/>
                    <w:rPr>
                      <w:highlight w:val="none"/>
                    </w:rPr>
                  </w:pPr>
                  <w:r>
                    <w:rPr>
                      <w:rFonts w:hint="eastAsia"/>
                      <w:highlight w:val="none"/>
                    </w:rPr>
                    <w:t>0.063</w:t>
                  </w:r>
                </w:p>
              </w:tc>
              <w:tc>
                <w:tcPr>
                  <w:tcW w:w="1656" w:type="dxa"/>
                  <w:vMerge w:val="restart"/>
                  <w:vAlign w:val="center"/>
                </w:tcPr>
                <w:p w14:paraId="7B3338B8">
                  <w:pPr>
                    <w:pStyle w:val="28"/>
                    <w:rPr>
                      <w:highlight w:val="none"/>
                    </w:rPr>
                  </w:pPr>
                  <w:r>
                    <w:rPr>
                      <w:rFonts w:hint="eastAsia"/>
                      <w:highlight w:val="none"/>
                    </w:rPr>
                    <w:t>车间封闭，定期冲洗增加通风次数</w:t>
                  </w:r>
                </w:p>
              </w:tc>
              <w:tc>
                <w:tcPr>
                  <w:tcW w:w="894" w:type="dxa"/>
                  <w:vMerge w:val="restart"/>
                  <w:vAlign w:val="center"/>
                </w:tcPr>
                <w:p w14:paraId="7713DADC">
                  <w:pPr>
                    <w:pStyle w:val="28"/>
                    <w:rPr>
                      <w:highlight w:val="none"/>
                    </w:rPr>
                  </w:pPr>
                  <w:r>
                    <w:rPr>
                      <w:rFonts w:hint="eastAsia"/>
                      <w:highlight w:val="none"/>
                    </w:rPr>
                    <w:t>无组织</w:t>
                  </w:r>
                </w:p>
              </w:tc>
              <w:tc>
                <w:tcPr>
                  <w:tcW w:w="1065" w:type="dxa"/>
                  <w:vAlign w:val="center"/>
                </w:tcPr>
                <w:p w14:paraId="4FC0190A">
                  <w:pPr>
                    <w:pStyle w:val="28"/>
                    <w:rPr>
                      <w:highlight w:val="none"/>
                    </w:rPr>
                  </w:pPr>
                  <w:r>
                    <w:rPr>
                      <w:rFonts w:hint="eastAsia"/>
                      <w:highlight w:val="none"/>
                    </w:rPr>
                    <w:t>0.063</w:t>
                  </w:r>
                </w:p>
              </w:tc>
              <w:tc>
                <w:tcPr>
                  <w:tcW w:w="1608" w:type="dxa"/>
                  <w:vMerge w:val="restart"/>
                  <w:vAlign w:val="center"/>
                </w:tcPr>
                <w:p w14:paraId="178D7CDC">
                  <w:pPr>
                    <w:pStyle w:val="28"/>
                    <w:rPr>
                      <w:highlight w:val="none"/>
                    </w:rPr>
                  </w:pPr>
                  <w:r>
                    <w:rPr>
                      <w:rFonts w:hint="eastAsia"/>
                      <w:highlight w:val="none"/>
                    </w:rPr>
                    <w:t>《恶臭污染物排放标准》（GB14554-93）</w:t>
                  </w:r>
                </w:p>
              </w:tc>
            </w:tr>
            <w:tr w14:paraId="1E32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dxa"/>
                  <w:vMerge w:val="continue"/>
                  <w:vAlign w:val="center"/>
                </w:tcPr>
                <w:p w14:paraId="3C8609E3">
                  <w:pPr>
                    <w:pStyle w:val="28"/>
                    <w:rPr>
                      <w:highlight w:val="none"/>
                    </w:rPr>
                  </w:pPr>
                </w:p>
              </w:tc>
              <w:tc>
                <w:tcPr>
                  <w:tcW w:w="1050" w:type="dxa"/>
                  <w:vAlign w:val="center"/>
                </w:tcPr>
                <w:p w14:paraId="7D3612E4">
                  <w:pPr>
                    <w:pStyle w:val="28"/>
                    <w:rPr>
                      <w:highlight w:val="none"/>
                    </w:rPr>
                  </w:pPr>
                  <w:r>
                    <w:rPr>
                      <w:rFonts w:hint="eastAsia"/>
                      <w:highlight w:val="none"/>
                    </w:rPr>
                    <w:t>H</w:t>
                  </w:r>
                  <w:r>
                    <w:rPr>
                      <w:rFonts w:hint="eastAsia"/>
                      <w:highlight w:val="none"/>
                      <w:vertAlign w:val="subscript"/>
                    </w:rPr>
                    <w:t>2</w:t>
                  </w:r>
                  <w:r>
                    <w:rPr>
                      <w:rFonts w:hint="eastAsia"/>
                      <w:highlight w:val="none"/>
                    </w:rPr>
                    <w:t>S</w:t>
                  </w:r>
                </w:p>
              </w:tc>
              <w:tc>
                <w:tcPr>
                  <w:tcW w:w="1125" w:type="dxa"/>
                  <w:vAlign w:val="center"/>
                </w:tcPr>
                <w:p w14:paraId="1E7FB555">
                  <w:pPr>
                    <w:pStyle w:val="28"/>
                    <w:rPr>
                      <w:highlight w:val="none"/>
                    </w:rPr>
                  </w:pPr>
                  <w:r>
                    <w:rPr>
                      <w:rFonts w:hint="eastAsia"/>
                      <w:highlight w:val="none"/>
                    </w:rPr>
                    <w:t>0.0126</w:t>
                  </w:r>
                </w:p>
              </w:tc>
              <w:tc>
                <w:tcPr>
                  <w:tcW w:w="1656" w:type="dxa"/>
                  <w:vMerge w:val="continue"/>
                  <w:vAlign w:val="center"/>
                </w:tcPr>
                <w:p w14:paraId="245C4523">
                  <w:pPr>
                    <w:pStyle w:val="28"/>
                    <w:rPr>
                      <w:highlight w:val="none"/>
                    </w:rPr>
                  </w:pPr>
                </w:p>
              </w:tc>
              <w:tc>
                <w:tcPr>
                  <w:tcW w:w="894" w:type="dxa"/>
                  <w:vMerge w:val="continue"/>
                  <w:vAlign w:val="center"/>
                </w:tcPr>
                <w:p w14:paraId="02D51F98">
                  <w:pPr>
                    <w:pStyle w:val="28"/>
                    <w:rPr>
                      <w:highlight w:val="none"/>
                    </w:rPr>
                  </w:pPr>
                </w:p>
              </w:tc>
              <w:tc>
                <w:tcPr>
                  <w:tcW w:w="1065" w:type="dxa"/>
                  <w:vAlign w:val="center"/>
                </w:tcPr>
                <w:p w14:paraId="4529AF75">
                  <w:pPr>
                    <w:pStyle w:val="28"/>
                    <w:rPr>
                      <w:highlight w:val="none"/>
                    </w:rPr>
                  </w:pPr>
                  <w:r>
                    <w:rPr>
                      <w:rFonts w:hint="eastAsia"/>
                      <w:highlight w:val="none"/>
                    </w:rPr>
                    <w:t>0.0126</w:t>
                  </w:r>
                </w:p>
              </w:tc>
              <w:tc>
                <w:tcPr>
                  <w:tcW w:w="1608" w:type="dxa"/>
                  <w:vMerge w:val="continue"/>
                  <w:vAlign w:val="center"/>
                </w:tcPr>
                <w:p w14:paraId="6B3CFFE8">
                  <w:pPr>
                    <w:pStyle w:val="28"/>
                    <w:rPr>
                      <w:highlight w:val="none"/>
                    </w:rPr>
                  </w:pPr>
                </w:p>
              </w:tc>
            </w:tr>
            <w:tr w14:paraId="7590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dxa"/>
                  <w:vMerge w:val="restart"/>
                  <w:vAlign w:val="center"/>
                </w:tcPr>
                <w:p w14:paraId="0EB5F200">
                  <w:pPr>
                    <w:pStyle w:val="28"/>
                    <w:rPr>
                      <w:highlight w:val="none"/>
                    </w:rPr>
                  </w:pPr>
                  <w:r>
                    <w:rPr>
                      <w:rFonts w:hint="eastAsia"/>
                      <w:highlight w:val="none"/>
                    </w:rPr>
                    <w:t>待宰圈</w:t>
                  </w:r>
                </w:p>
              </w:tc>
              <w:tc>
                <w:tcPr>
                  <w:tcW w:w="1050" w:type="dxa"/>
                  <w:vAlign w:val="center"/>
                </w:tcPr>
                <w:p w14:paraId="7511AF15">
                  <w:pPr>
                    <w:pStyle w:val="28"/>
                    <w:rPr>
                      <w:highlight w:val="none"/>
                    </w:rPr>
                  </w:pPr>
                  <w:r>
                    <w:rPr>
                      <w:rFonts w:hint="eastAsia"/>
                      <w:highlight w:val="none"/>
                    </w:rPr>
                    <w:t>NH</w:t>
                  </w:r>
                  <w:r>
                    <w:rPr>
                      <w:rFonts w:hint="eastAsia"/>
                      <w:highlight w:val="none"/>
                      <w:vertAlign w:val="subscript"/>
                    </w:rPr>
                    <w:t>3</w:t>
                  </w:r>
                </w:p>
              </w:tc>
              <w:tc>
                <w:tcPr>
                  <w:tcW w:w="1125" w:type="dxa"/>
                  <w:vAlign w:val="center"/>
                </w:tcPr>
                <w:p w14:paraId="4276A49A">
                  <w:pPr>
                    <w:pStyle w:val="28"/>
                    <w:rPr>
                      <w:highlight w:val="none"/>
                    </w:rPr>
                  </w:pPr>
                  <w:r>
                    <w:rPr>
                      <w:rFonts w:hint="eastAsia"/>
                      <w:highlight w:val="none"/>
                    </w:rPr>
                    <w:t>0.887</w:t>
                  </w:r>
                </w:p>
              </w:tc>
              <w:tc>
                <w:tcPr>
                  <w:tcW w:w="1656" w:type="dxa"/>
                  <w:vMerge w:val="restart"/>
                  <w:vAlign w:val="center"/>
                </w:tcPr>
                <w:p w14:paraId="5C95780B">
                  <w:pPr>
                    <w:pStyle w:val="28"/>
                    <w:rPr>
                      <w:highlight w:val="none"/>
                    </w:rPr>
                  </w:pPr>
                  <w:r>
                    <w:rPr>
                      <w:rFonts w:hint="eastAsia"/>
                      <w:highlight w:val="none"/>
                    </w:rPr>
                    <w:t>及时进行冲洗、粪便清理，喷洒除臭剂</w:t>
                  </w:r>
                </w:p>
              </w:tc>
              <w:tc>
                <w:tcPr>
                  <w:tcW w:w="894" w:type="dxa"/>
                  <w:vMerge w:val="continue"/>
                  <w:vAlign w:val="center"/>
                </w:tcPr>
                <w:p w14:paraId="6D2B1E80">
                  <w:pPr>
                    <w:pStyle w:val="28"/>
                    <w:rPr>
                      <w:highlight w:val="none"/>
                    </w:rPr>
                  </w:pPr>
                </w:p>
              </w:tc>
              <w:tc>
                <w:tcPr>
                  <w:tcW w:w="1065" w:type="dxa"/>
                  <w:vAlign w:val="center"/>
                </w:tcPr>
                <w:p w14:paraId="2A3E12E8">
                  <w:pPr>
                    <w:pStyle w:val="28"/>
                    <w:rPr>
                      <w:highlight w:val="none"/>
                    </w:rPr>
                  </w:pPr>
                  <w:r>
                    <w:rPr>
                      <w:rFonts w:hint="eastAsia"/>
                      <w:highlight w:val="none"/>
                    </w:rPr>
                    <w:t>0.066</w:t>
                  </w:r>
                </w:p>
              </w:tc>
              <w:tc>
                <w:tcPr>
                  <w:tcW w:w="1608" w:type="dxa"/>
                  <w:vMerge w:val="continue"/>
                  <w:vAlign w:val="center"/>
                </w:tcPr>
                <w:p w14:paraId="2A68123E">
                  <w:pPr>
                    <w:pStyle w:val="28"/>
                    <w:rPr>
                      <w:highlight w:val="none"/>
                    </w:rPr>
                  </w:pPr>
                </w:p>
              </w:tc>
            </w:tr>
            <w:tr w14:paraId="06C0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dxa"/>
                  <w:vMerge w:val="continue"/>
                  <w:vAlign w:val="center"/>
                </w:tcPr>
                <w:p w14:paraId="490B2824">
                  <w:pPr>
                    <w:pStyle w:val="28"/>
                    <w:rPr>
                      <w:highlight w:val="none"/>
                    </w:rPr>
                  </w:pPr>
                </w:p>
              </w:tc>
              <w:tc>
                <w:tcPr>
                  <w:tcW w:w="1050" w:type="dxa"/>
                  <w:vAlign w:val="center"/>
                </w:tcPr>
                <w:p w14:paraId="4C0FC113">
                  <w:pPr>
                    <w:pStyle w:val="28"/>
                    <w:rPr>
                      <w:highlight w:val="none"/>
                    </w:rPr>
                  </w:pPr>
                  <w:r>
                    <w:rPr>
                      <w:rFonts w:hint="eastAsia"/>
                      <w:highlight w:val="none"/>
                    </w:rPr>
                    <w:t>H</w:t>
                  </w:r>
                  <w:r>
                    <w:rPr>
                      <w:rFonts w:hint="eastAsia"/>
                      <w:highlight w:val="none"/>
                      <w:vertAlign w:val="subscript"/>
                    </w:rPr>
                    <w:t>2</w:t>
                  </w:r>
                  <w:r>
                    <w:rPr>
                      <w:rFonts w:hint="eastAsia"/>
                      <w:highlight w:val="none"/>
                    </w:rPr>
                    <w:t>S</w:t>
                  </w:r>
                </w:p>
              </w:tc>
              <w:tc>
                <w:tcPr>
                  <w:tcW w:w="1125" w:type="dxa"/>
                  <w:vAlign w:val="center"/>
                </w:tcPr>
                <w:p w14:paraId="136EC122">
                  <w:pPr>
                    <w:pStyle w:val="28"/>
                    <w:rPr>
                      <w:highlight w:val="none"/>
                    </w:rPr>
                  </w:pPr>
                  <w:r>
                    <w:rPr>
                      <w:rFonts w:hint="eastAsia"/>
                      <w:highlight w:val="none"/>
                    </w:rPr>
                    <w:t>0.071</w:t>
                  </w:r>
                </w:p>
              </w:tc>
              <w:tc>
                <w:tcPr>
                  <w:tcW w:w="1656" w:type="dxa"/>
                  <w:vMerge w:val="continue"/>
                  <w:vAlign w:val="center"/>
                </w:tcPr>
                <w:p w14:paraId="1AF3F6EB">
                  <w:pPr>
                    <w:pStyle w:val="28"/>
                    <w:rPr>
                      <w:highlight w:val="none"/>
                    </w:rPr>
                  </w:pPr>
                </w:p>
              </w:tc>
              <w:tc>
                <w:tcPr>
                  <w:tcW w:w="894" w:type="dxa"/>
                  <w:vMerge w:val="continue"/>
                  <w:vAlign w:val="center"/>
                </w:tcPr>
                <w:p w14:paraId="1C544660">
                  <w:pPr>
                    <w:pStyle w:val="28"/>
                    <w:rPr>
                      <w:highlight w:val="none"/>
                    </w:rPr>
                  </w:pPr>
                </w:p>
              </w:tc>
              <w:tc>
                <w:tcPr>
                  <w:tcW w:w="1065" w:type="dxa"/>
                  <w:vAlign w:val="center"/>
                </w:tcPr>
                <w:p w14:paraId="681CA2C5">
                  <w:pPr>
                    <w:pStyle w:val="28"/>
                    <w:rPr>
                      <w:highlight w:val="none"/>
                    </w:rPr>
                  </w:pPr>
                  <w:r>
                    <w:rPr>
                      <w:rFonts w:hint="eastAsia"/>
                      <w:highlight w:val="none"/>
                    </w:rPr>
                    <w:t>0.0078</w:t>
                  </w:r>
                </w:p>
              </w:tc>
              <w:tc>
                <w:tcPr>
                  <w:tcW w:w="1608" w:type="dxa"/>
                  <w:vMerge w:val="continue"/>
                  <w:vAlign w:val="center"/>
                </w:tcPr>
                <w:p w14:paraId="2D9D4DDD">
                  <w:pPr>
                    <w:pStyle w:val="28"/>
                    <w:rPr>
                      <w:highlight w:val="none"/>
                    </w:rPr>
                  </w:pPr>
                </w:p>
              </w:tc>
            </w:tr>
            <w:tr w14:paraId="38D6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dxa"/>
                  <w:vMerge w:val="restart"/>
                  <w:vAlign w:val="center"/>
                </w:tcPr>
                <w:p w14:paraId="2F5753AF">
                  <w:pPr>
                    <w:pStyle w:val="28"/>
                    <w:rPr>
                      <w:highlight w:val="none"/>
                    </w:rPr>
                  </w:pPr>
                  <w:r>
                    <w:rPr>
                      <w:rFonts w:hint="eastAsia"/>
                      <w:highlight w:val="none"/>
                    </w:rPr>
                    <w:t>污水处理站</w:t>
                  </w:r>
                </w:p>
              </w:tc>
              <w:tc>
                <w:tcPr>
                  <w:tcW w:w="1050" w:type="dxa"/>
                  <w:vAlign w:val="center"/>
                </w:tcPr>
                <w:p w14:paraId="443221FD">
                  <w:pPr>
                    <w:pStyle w:val="28"/>
                    <w:rPr>
                      <w:highlight w:val="none"/>
                    </w:rPr>
                  </w:pPr>
                  <w:r>
                    <w:rPr>
                      <w:rFonts w:hint="eastAsia"/>
                      <w:highlight w:val="none"/>
                    </w:rPr>
                    <w:t>NH</w:t>
                  </w:r>
                  <w:r>
                    <w:rPr>
                      <w:rFonts w:hint="eastAsia"/>
                      <w:highlight w:val="none"/>
                      <w:vertAlign w:val="subscript"/>
                    </w:rPr>
                    <w:t>3</w:t>
                  </w:r>
                </w:p>
              </w:tc>
              <w:tc>
                <w:tcPr>
                  <w:tcW w:w="1125" w:type="dxa"/>
                  <w:vAlign w:val="center"/>
                </w:tcPr>
                <w:p w14:paraId="524EB057">
                  <w:pPr>
                    <w:pStyle w:val="28"/>
                    <w:rPr>
                      <w:highlight w:val="none"/>
                    </w:rPr>
                  </w:pPr>
                  <w:r>
                    <w:rPr>
                      <w:rFonts w:hint="eastAsia"/>
                      <w:highlight w:val="none"/>
                    </w:rPr>
                    <w:t>0.0047</w:t>
                  </w:r>
                </w:p>
              </w:tc>
              <w:tc>
                <w:tcPr>
                  <w:tcW w:w="1656" w:type="dxa"/>
                  <w:vMerge w:val="restart"/>
                  <w:vAlign w:val="center"/>
                </w:tcPr>
                <w:p w14:paraId="2FCFD3BF">
                  <w:pPr>
                    <w:pStyle w:val="28"/>
                    <w:rPr>
                      <w:highlight w:val="none"/>
                    </w:rPr>
                  </w:pPr>
                  <w:r>
                    <w:rPr>
                      <w:rFonts w:hint="eastAsia"/>
                      <w:highlight w:val="none"/>
                    </w:rPr>
                    <w:t>污水站对</w:t>
                  </w:r>
                  <w:r>
                    <w:rPr>
                      <w:highlight w:val="none"/>
                    </w:rPr>
                    <w:t>产生恶臭区域</w:t>
                  </w:r>
                  <w:r>
                    <w:rPr>
                      <w:rFonts w:hint="eastAsia"/>
                      <w:highlight w:val="none"/>
                    </w:rPr>
                    <w:t>均进行</w:t>
                  </w:r>
                  <w:r>
                    <w:rPr>
                      <w:highlight w:val="none"/>
                    </w:rPr>
                    <w:t>加罩或加盖</w:t>
                  </w:r>
                  <w:r>
                    <w:rPr>
                      <w:rFonts w:hint="eastAsia"/>
                      <w:highlight w:val="none"/>
                    </w:rPr>
                    <w:t>处理</w:t>
                  </w:r>
                  <w:r>
                    <w:rPr>
                      <w:highlight w:val="none"/>
                    </w:rPr>
                    <w:t>，</w:t>
                  </w:r>
                  <w:r>
                    <w:rPr>
                      <w:rFonts w:hint="eastAsia"/>
                      <w:highlight w:val="none"/>
                    </w:rPr>
                    <w:t>并在污水站旁种植绿植</w:t>
                  </w:r>
                </w:p>
              </w:tc>
              <w:tc>
                <w:tcPr>
                  <w:tcW w:w="894" w:type="dxa"/>
                  <w:vMerge w:val="continue"/>
                  <w:vAlign w:val="center"/>
                </w:tcPr>
                <w:p w14:paraId="52FB0D91">
                  <w:pPr>
                    <w:pStyle w:val="28"/>
                    <w:rPr>
                      <w:highlight w:val="none"/>
                    </w:rPr>
                  </w:pPr>
                </w:p>
              </w:tc>
              <w:tc>
                <w:tcPr>
                  <w:tcW w:w="1065" w:type="dxa"/>
                  <w:vAlign w:val="center"/>
                </w:tcPr>
                <w:p w14:paraId="044462F3">
                  <w:pPr>
                    <w:pStyle w:val="28"/>
                    <w:rPr>
                      <w:highlight w:val="none"/>
                    </w:rPr>
                  </w:pPr>
                  <w:r>
                    <w:rPr>
                      <w:rFonts w:hint="eastAsia"/>
                      <w:highlight w:val="none"/>
                    </w:rPr>
                    <w:t>0.0047</w:t>
                  </w:r>
                </w:p>
              </w:tc>
              <w:tc>
                <w:tcPr>
                  <w:tcW w:w="1608" w:type="dxa"/>
                  <w:vMerge w:val="continue"/>
                  <w:vAlign w:val="center"/>
                </w:tcPr>
                <w:p w14:paraId="4E94ADA3">
                  <w:pPr>
                    <w:pStyle w:val="28"/>
                    <w:rPr>
                      <w:highlight w:val="none"/>
                    </w:rPr>
                  </w:pPr>
                </w:p>
              </w:tc>
            </w:tr>
            <w:tr w14:paraId="1FF8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dxa"/>
                  <w:vMerge w:val="continue"/>
                  <w:vAlign w:val="center"/>
                </w:tcPr>
                <w:p w14:paraId="0B1F792C">
                  <w:pPr>
                    <w:pStyle w:val="28"/>
                    <w:rPr>
                      <w:highlight w:val="none"/>
                    </w:rPr>
                  </w:pPr>
                </w:p>
              </w:tc>
              <w:tc>
                <w:tcPr>
                  <w:tcW w:w="1050" w:type="dxa"/>
                  <w:vAlign w:val="center"/>
                </w:tcPr>
                <w:p w14:paraId="51784EFF">
                  <w:pPr>
                    <w:pStyle w:val="28"/>
                    <w:rPr>
                      <w:highlight w:val="none"/>
                    </w:rPr>
                  </w:pPr>
                  <w:r>
                    <w:rPr>
                      <w:rFonts w:hint="eastAsia"/>
                      <w:highlight w:val="none"/>
                    </w:rPr>
                    <w:t>H</w:t>
                  </w:r>
                  <w:r>
                    <w:rPr>
                      <w:rFonts w:hint="eastAsia"/>
                      <w:highlight w:val="none"/>
                      <w:vertAlign w:val="subscript"/>
                    </w:rPr>
                    <w:t>2</w:t>
                  </w:r>
                  <w:r>
                    <w:rPr>
                      <w:rFonts w:hint="eastAsia"/>
                      <w:highlight w:val="none"/>
                    </w:rPr>
                    <w:t>S</w:t>
                  </w:r>
                </w:p>
              </w:tc>
              <w:tc>
                <w:tcPr>
                  <w:tcW w:w="1125" w:type="dxa"/>
                  <w:vAlign w:val="center"/>
                </w:tcPr>
                <w:p w14:paraId="0F7B6774">
                  <w:pPr>
                    <w:pStyle w:val="28"/>
                    <w:rPr>
                      <w:highlight w:val="none"/>
                    </w:rPr>
                  </w:pPr>
                  <w:r>
                    <w:rPr>
                      <w:rFonts w:hint="eastAsia"/>
                      <w:highlight w:val="none"/>
                    </w:rPr>
                    <w:t>0.00018</w:t>
                  </w:r>
                </w:p>
              </w:tc>
              <w:tc>
                <w:tcPr>
                  <w:tcW w:w="1656" w:type="dxa"/>
                  <w:vMerge w:val="continue"/>
                  <w:vAlign w:val="center"/>
                </w:tcPr>
                <w:p w14:paraId="0C3C8650">
                  <w:pPr>
                    <w:pStyle w:val="28"/>
                    <w:rPr>
                      <w:highlight w:val="none"/>
                    </w:rPr>
                  </w:pPr>
                </w:p>
              </w:tc>
              <w:tc>
                <w:tcPr>
                  <w:tcW w:w="894" w:type="dxa"/>
                  <w:vMerge w:val="continue"/>
                  <w:vAlign w:val="center"/>
                </w:tcPr>
                <w:p w14:paraId="08F9753F">
                  <w:pPr>
                    <w:pStyle w:val="28"/>
                    <w:rPr>
                      <w:highlight w:val="none"/>
                    </w:rPr>
                  </w:pPr>
                </w:p>
              </w:tc>
              <w:tc>
                <w:tcPr>
                  <w:tcW w:w="1065" w:type="dxa"/>
                  <w:vAlign w:val="center"/>
                </w:tcPr>
                <w:p w14:paraId="65139E9E">
                  <w:pPr>
                    <w:pStyle w:val="28"/>
                    <w:rPr>
                      <w:highlight w:val="none"/>
                    </w:rPr>
                  </w:pPr>
                  <w:r>
                    <w:rPr>
                      <w:rFonts w:hint="eastAsia"/>
                      <w:highlight w:val="none"/>
                    </w:rPr>
                    <w:t>0.00018</w:t>
                  </w:r>
                </w:p>
              </w:tc>
              <w:tc>
                <w:tcPr>
                  <w:tcW w:w="1608" w:type="dxa"/>
                  <w:vMerge w:val="continue"/>
                  <w:vAlign w:val="center"/>
                </w:tcPr>
                <w:p w14:paraId="3CB8FE19">
                  <w:pPr>
                    <w:pStyle w:val="28"/>
                    <w:rPr>
                      <w:highlight w:val="none"/>
                    </w:rPr>
                  </w:pPr>
                </w:p>
              </w:tc>
            </w:tr>
            <w:tr w14:paraId="5D20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3" w:type="dxa"/>
                  <w:vAlign w:val="center"/>
                </w:tcPr>
                <w:p w14:paraId="2792EC2B">
                  <w:pPr>
                    <w:pStyle w:val="28"/>
                    <w:rPr>
                      <w:highlight w:val="none"/>
                    </w:rPr>
                  </w:pPr>
                  <w:r>
                    <w:rPr>
                      <w:rFonts w:hint="eastAsia"/>
                      <w:highlight w:val="none"/>
                    </w:rPr>
                    <w:t>车辆运输</w:t>
                  </w:r>
                </w:p>
              </w:tc>
              <w:tc>
                <w:tcPr>
                  <w:tcW w:w="1050" w:type="dxa"/>
                  <w:vAlign w:val="center"/>
                </w:tcPr>
                <w:p w14:paraId="4A7B036A">
                  <w:pPr>
                    <w:pStyle w:val="28"/>
                    <w:rPr>
                      <w:highlight w:val="none"/>
                    </w:rPr>
                  </w:pPr>
                  <w:r>
                    <w:rPr>
                      <w:rFonts w:hint="eastAsia"/>
                      <w:highlight w:val="none"/>
                    </w:rPr>
                    <w:t>扬尘</w:t>
                  </w:r>
                </w:p>
              </w:tc>
              <w:tc>
                <w:tcPr>
                  <w:tcW w:w="1125" w:type="dxa"/>
                  <w:vAlign w:val="center"/>
                </w:tcPr>
                <w:p w14:paraId="6C3ED285">
                  <w:pPr>
                    <w:pStyle w:val="28"/>
                    <w:rPr>
                      <w:highlight w:val="none"/>
                    </w:rPr>
                  </w:pPr>
                  <w:r>
                    <w:rPr>
                      <w:rFonts w:hint="eastAsia"/>
                      <w:highlight w:val="none"/>
                    </w:rPr>
                    <w:t>0.047</w:t>
                  </w:r>
                </w:p>
              </w:tc>
              <w:tc>
                <w:tcPr>
                  <w:tcW w:w="1656" w:type="dxa"/>
                  <w:vAlign w:val="center"/>
                </w:tcPr>
                <w:p w14:paraId="411F306D">
                  <w:pPr>
                    <w:pStyle w:val="28"/>
                    <w:rPr>
                      <w:highlight w:val="none"/>
                    </w:rPr>
                  </w:pPr>
                  <w:r>
                    <w:rPr>
                      <w:rFonts w:hint="eastAsia"/>
                      <w:highlight w:val="none"/>
                    </w:rPr>
                    <w:t>定期洒水降尘，自然扩散</w:t>
                  </w:r>
                </w:p>
              </w:tc>
              <w:tc>
                <w:tcPr>
                  <w:tcW w:w="894" w:type="dxa"/>
                  <w:vMerge w:val="continue"/>
                  <w:vAlign w:val="center"/>
                </w:tcPr>
                <w:p w14:paraId="6491A607">
                  <w:pPr>
                    <w:pStyle w:val="28"/>
                    <w:rPr>
                      <w:highlight w:val="none"/>
                    </w:rPr>
                  </w:pPr>
                </w:p>
              </w:tc>
              <w:tc>
                <w:tcPr>
                  <w:tcW w:w="1065" w:type="dxa"/>
                  <w:vAlign w:val="center"/>
                </w:tcPr>
                <w:p w14:paraId="429B51FB">
                  <w:pPr>
                    <w:pStyle w:val="28"/>
                    <w:rPr>
                      <w:highlight w:val="none"/>
                    </w:rPr>
                  </w:pPr>
                  <w:r>
                    <w:rPr>
                      <w:rFonts w:hint="eastAsia"/>
                      <w:highlight w:val="none"/>
                    </w:rPr>
                    <w:t>0.047</w:t>
                  </w:r>
                </w:p>
              </w:tc>
              <w:tc>
                <w:tcPr>
                  <w:tcW w:w="1608" w:type="dxa"/>
                  <w:vAlign w:val="center"/>
                </w:tcPr>
                <w:p w14:paraId="5BA4D230">
                  <w:pPr>
                    <w:pStyle w:val="28"/>
                    <w:rPr>
                      <w:highlight w:val="none"/>
                    </w:rPr>
                  </w:pPr>
                  <w:r>
                    <w:rPr>
                      <w:rFonts w:hint="eastAsia"/>
                      <w:highlight w:val="none"/>
                    </w:rPr>
                    <w:t>《大气污染物综合排放标准》（</w:t>
                  </w:r>
                  <w:r>
                    <w:rPr>
                      <w:highlight w:val="none"/>
                    </w:rPr>
                    <w:t>GB16297-1996</w:t>
                  </w:r>
                  <w:r>
                    <w:rPr>
                      <w:rFonts w:hint="eastAsia"/>
                      <w:highlight w:val="none"/>
                    </w:rPr>
                    <w:t>）</w:t>
                  </w:r>
                </w:p>
              </w:tc>
            </w:tr>
          </w:tbl>
          <w:p w14:paraId="3FA7919B">
            <w:pPr>
              <w:pStyle w:val="34"/>
              <w:ind w:firstLine="486"/>
              <w:rPr>
                <w:b/>
                <w:bCs/>
                <w:highlight w:val="none"/>
                <w:lang w:eastAsia="zh-CN"/>
              </w:rPr>
            </w:pPr>
            <w:r>
              <w:rPr>
                <w:b/>
                <w:bCs/>
                <w:highlight w:val="none"/>
                <w:lang w:eastAsia="zh-CN"/>
              </w:rPr>
              <w:t>（2）废气污染治理措施</w:t>
            </w:r>
          </w:p>
          <w:p w14:paraId="1A89CF76">
            <w:pPr>
              <w:pStyle w:val="34"/>
              <w:rPr>
                <w:highlight w:val="none"/>
                <w:lang w:eastAsia="zh-CN"/>
              </w:rPr>
            </w:pPr>
            <w:r>
              <w:rPr>
                <w:highlight w:val="none"/>
                <w:lang w:eastAsia="zh-CN"/>
              </w:rPr>
              <w:t>本项目污水站</w:t>
            </w:r>
            <w:r>
              <w:rPr>
                <w:rFonts w:hint="eastAsia"/>
                <w:highlight w:val="none"/>
                <w:lang w:eastAsia="zh-CN"/>
              </w:rPr>
              <w:t>对</w:t>
            </w:r>
            <w:r>
              <w:rPr>
                <w:highlight w:val="none"/>
                <w:lang w:eastAsia="zh-CN"/>
              </w:rPr>
              <w:t>产生恶臭区域</w:t>
            </w:r>
            <w:r>
              <w:rPr>
                <w:rFonts w:hint="eastAsia"/>
                <w:highlight w:val="none"/>
                <w:lang w:eastAsia="zh-CN"/>
              </w:rPr>
              <w:t>均进行</w:t>
            </w:r>
            <w:r>
              <w:rPr>
                <w:highlight w:val="none"/>
                <w:lang w:eastAsia="zh-CN"/>
              </w:rPr>
              <w:t>加罩或加盖</w:t>
            </w:r>
            <w:r>
              <w:rPr>
                <w:rFonts w:hint="eastAsia"/>
                <w:highlight w:val="none"/>
                <w:lang w:eastAsia="zh-CN"/>
              </w:rPr>
              <w:t>处理</w:t>
            </w:r>
            <w:r>
              <w:rPr>
                <w:highlight w:val="none"/>
                <w:lang w:eastAsia="zh-CN"/>
              </w:rPr>
              <w:t>，</w:t>
            </w:r>
            <w:r>
              <w:rPr>
                <w:rFonts w:hint="eastAsia"/>
                <w:highlight w:val="none"/>
                <w:lang w:eastAsia="zh-CN"/>
              </w:rPr>
              <w:t>并在污水站旁种植绿植；</w:t>
            </w:r>
            <w:r>
              <w:rPr>
                <w:highlight w:val="none"/>
                <w:lang w:eastAsia="zh-CN"/>
              </w:rPr>
              <w:t>能够满足《恶臭污染物排放标准》（GB14554-93）表</w:t>
            </w:r>
            <w:r>
              <w:rPr>
                <w:rFonts w:hint="eastAsia"/>
                <w:highlight w:val="none"/>
                <w:lang w:eastAsia="zh-CN"/>
              </w:rPr>
              <w:t>1</w:t>
            </w:r>
            <w:r>
              <w:rPr>
                <w:highlight w:val="none"/>
                <w:lang w:eastAsia="zh-CN"/>
              </w:rPr>
              <w:t>中排放标准限值。</w:t>
            </w:r>
          </w:p>
          <w:p w14:paraId="33E8A7C7">
            <w:pPr>
              <w:pStyle w:val="34"/>
              <w:rPr>
                <w:highlight w:val="none"/>
                <w:lang w:eastAsia="zh-CN"/>
              </w:rPr>
            </w:pPr>
            <w:r>
              <w:rPr>
                <w:highlight w:val="none"/>
                <w:lang w:eastAsia="zh-CN"/>
              </w:rPr>
              <w:t>待宰</w:t>
            </w:r>
            <w:r>
              <w:rPr>
                <w:rFonts w:hint="eastAsia"/>
                <w:highlight w:val="none"/>
                <w:lang w:eastAsia="zh-CN"/>
              </w:rPr>
              <w:t>区及时的地坪清洗、粪便清理，</w:t>
            </w:r>
            <w:r>
              <w:rPr>
                <w:highlight w:val="none"/>
                <w:lang w:eastAsia="zh-CN"/>
              </w:rPr>
              <w:t>屠宰车间密闭，定期冲洗并且增加通风次数，</w:t>
            </w:r>
            <w:r>
              <w:rPr>
                <w:rFonts w:hint="eastAsia"/>
                <w:highlight w:val="none"/>
                <w:lang w:eastAsia="zh-CN"/>
              </w:rPr>
              <w:t>并增加待宰区喷洒除臭剂工序后，</w:t>
            </w:r>
            <w:r>
              <w:rPr>
                <w:highlight w:val="none"/>
                <w:lang w:eastAsia="zh-CN"/>
              </w:rPr>
              <w:t>厂界恶臭气体排放满足《恶臭污染物排放标准》（GB14554-93）表1厂界标准值。</w:t>
            </w:r>
            <w:r>
              <w:rPr>
                <w:rFonts w:hint="eastAsia"/>
                <w:highlight w:val="none"/>
                <w:lang w:eastAsia="zh-CN"/>
              </w:rPr>
              <w:t>厂区道路定期洒水降尘，厂界扬尘排放满足</w:t>
            </w:r>
            <w:r>
              <w:rPr>
                <w:highlight w:val="none"/>
                <w:lang w:eastAsia="zh-CN"/>
              </w:rPr>
              <w:t>《大气污染物综合排放标准》（GB16297-1996）表1无组织排放浓度限值。</w:t>
            </w:r>
          </w:p>
          <w:p w14:paraId="7F7942D3">
            <w:pPr>
              <w:pStyle w:val="34"/>
              <w:ind w:firstLine="486"/>
              <w:rPr>
                <w:b/>
                <w:bCs/>
                <w:highlight w:val="none"/>
                <w:lang w:eastAsia="zh-CN"/>
              </w:rPr>
            </w:pPr>
            <w:r>
              <w:rPr>
                <w:b/>
                <w:bCs/>
                <w:highlight w:val="none"/>
                <w:lang w:eastAsia="zh-CN"/>
              </w:rPr>
              <w:t>（3）废气治理措施可行性分析</w:t>
            </w:r>
          </w:p>
          <w:p w14:paraId="6A058812">
            <w:pPr>
              <w:pStyle w:val="34"/>
              <w:rPr>
                <w:highlight w:val="none"/>
                <w:lang w:eastAsia="zh-CN"/>
              </w:rPr>
            </w:pPr>
            <w:r>
              <w:rPr>
                <w:highlight w:val="none"/>
                <w:lang w:eastAsia="zh-CN"/>
              </w:rPr>
              <w:t>根据《排污许可证申请与核发技术规范农副食品加工工业一屠宰及肉类加工工业》（HJ860.3-2018）表3中</w:t>
            </w:r>
            <w:r>
              <w:rPr>
                <w:rFonts w:hint="eastAsia"/>
                <w:highlight w:val="none"/>
                <w:lang w:eastAsia="zh-CN"/>
              </w:rPr>
              <w:t>“</w:t>
            </w:r>
            <w:r>
              <w:rPr>
                <w:highlight w:val="none"/>
                <w:lang w:eastAsia="zh-CN"/>
              </w:rPr>
              <w:t>屠宰及肉类加工工业排污单位废气产污环节污染控制项目、排放形式及污染治理设施一览表</w:t>
            </w:r>
            <w:r>
              <w:rPr>
                <w:rFonts w:hint="eastAsia"/>
                <w:highlight w:val="none"/>
                <w:lang w:eastAsia="zh-CN"/>
              </w:rPr>
              <w:t>”</w:t>
            </w:r>
            <w:r>
              <w:rPr>
                <w:highlight w:val="none"/>
                <w:lang w:eastAsia="zh-CN"/>
              </w:rPr>
              <w:t>内容可知：</w:t>
            </w:r>
            <w:r>
              <w:rPr>
                <w:rFonts w:hint="eastAsia"/>
                <w:highlight w:val="none"/>
                <w:lang w:eastAsia="zh-CN"/>
              </w:rPr>
              <w:t>“</w:t>
            </w:r>
            <w:r>
              <w:rPr>
                <w:highlight w:val="none"/>
                <w:lang w:eastAsia="zh-CN"/>
              </w:rPr>
              <w:t>处理污水处理站恶臭气体，可行性技术为产生恶臭区域加罩或加盖</w:t>
            </w:r>
            <w:r>
              <w:rPr>
                <w:rFonts w:hint="eastAsia"/>
                <w:highlight w:val="none"/>
                <w:lang w:eastAsia="zh-CN"/>
              </w:rPr>
              <w:t>，</w:t>
            </w:r>
            <w:r>
              <w:rPr>
                <w:highlight w:val="none"/>
                <w:lang w:eastAsia="zh-CN"/>
              </w:rPr>
              <w:t>投放除臭剂</w:t>
            </w:r>
            <w:r>
              <w:rPr>
                <w:rFonts w:hint="eastAsia"/>
                <w:highlight w:val="none"/>
                <w:lang w:eastAsia="zh-CN"/>
              </w:rPr>
              <w:t>”</w:t>
            </w:r>
            <w:r>
              <w:rPr>
                <w:highlight w:val="none"/>
                <w:lang w:eastAsia="zh-CN"/>
              </w:rPr>
              <w:t>。</w:t>
            </w:r>
          </w:p>
          <w:p w14:paraId="7141F846">
            <w:pPr>
              <w:pStyle w:val="34"/>
              <w:rPr>
                <w:highlight w:val="none"/>
                <w:lang w:eastAsia="zh-CN"/>
              </w:rPr>
            </w:pPr>
            <w:r>
              <w:rPr>
                <w:highlight w:val="none"/>
                <w:lang w:eastAsia="zh-CN"/>
              </w:rPr>
              <w:t>本项目污水处理站</w:t>
            </w:r>
            <w:r>
              <w:rPr>
                <w:rFonts w:hint="eastAsia"/>
                <w:highlight w:val="none"/>
                <w:lang w:eastAsia="zh-CN"/>
              </w:rPr>
              <w:t>对</w:t>
            </w:r>
            <w:r>
              <w:rPr>
                <w:highlight w:val="none"/>
                <w:lang w:eastAsia="zh-CN"/>
              </w:rPr>
              <w:t>产生恶臭区域</w:t>
            </w:r>
            <w:r>
              <w:rPr>
                <w:rFonts w:hint="eastAsia"/>
                <w:highlight w:val="none"/>
                <w:lang w:eastAsia="zh-CN"/>
              </w:rPr>
              <w:t>均进行</w:t>
            </w:r>
            <w:r>
              <w:rPr>
                <w:highlight w:val="none"/>
                <w:lang w:eastAsia="zh-CN"/>
              </w:rPr>
              <w:t>加罩或加盖</w:t>
            </w:r>
            <w:r>
              <w:rPr>
                <w:rFonts w:hint="eastAsia"/>
                <w:highlight w:val="none"/>
                <w:lang w:eastAsia="zh-CN"/>
              </w:rPr>
              <w:t>处理</w:t>
            </w:r>
            <w:r>
              <w:rPr>
                <w:highlight w:val="none"/>
                <w:lang w:eastAsia="zh-CN"/>
              </w:rPr>
              <w:t>，</w:t>
            </w:r>
            <w:r>
              <w:rPr>
                <w:rFonts w:hint="eastAsia"/>
                <w:highlight w:val="none"/>
                <w:lang w:eastAsia="zh-CN"/>
              </w:rPr>
              <w:t>并在污水站旁种植绿植；待宰圈进行及时的地坪清洗、粪便清理和喷洒除臭剂工作；</w:t>
            </w:r>
            <w:r>
              <w:rPr>
                <w:highlight w:val="none"/>
                <w:lang w:eastAsia="zh-CN"/>
              </w:rPr>
              <w:t>屠宰车间均采取封闭措施，车间内定期冲洗并且增加通风次数</w:t>
            </w:r>
            <w:r>
              <w:rPr>
                <w:rFonts w:hint="eastAsia"/>
                <w:highlight w:val="none"/>
                <w:lang w:eastAsia="zh-CN"/>
              </w:rPr>
              <w:t>，厂区道路进行喷洒降尘，</w:t>
            </w:r>
            <w:r>
              <w:rPr>
                <w:highlight w:val="none"/>
                <w:lang w:eastAsia="zh-CN"/>
              </w:rPr>
              <w:t>本项目</w:t>
            </w:r>
            <w:r>
              <w:rPr>
                <w:rFonts w:hint="eastAsia"/>
                <w:highlight w:val="none"/>
                <w:lang w:eastAsia="zh-CN"/>
              </w:rPr>
              <w:t>废气</w:t>
            </w:r>
            <w:r>
              <w:rPr>
                <w:highlight w:val="none"/>
                <w:lang w:eastAsia="zh-CN"/>
              </w:rPr>
              <w:t>处理措施为可行性技术。通过以上有效处理措施，项目的废气排放对周围的环境空气影响较小，处理措施可行。</w:t>
            </w:r>
          </w:p>
          <w:p w14:paraId="0ADE7830">
            <w:pPr>
              <w:pStyle w:val="34"/>
              <w:ind w:firstLine="486"/>
              <w:rPr>
                <w:highlight w:val="none"/>
                <w:lang w:eastAsia="zh-CN"/>
              </w:rPr>
            </w:pPr>
            <w:r>
              <w:rPr>
                <w:b/>
                <w:bCs/>
                <w:highlight w:val="none"/>
                <w:lang w:eastAsia="zh-CN"/>
              </w:rPr>
              <w:t>生物除臭剂工作原理：</w:t>
            </w:r>
          </w:p>
          <w:p w14:paraId="13B58C80">
            <w:pPr>
              <w:pStyle w:val="34"/>
              <w:rPr>
                <w:highlight w:val="none"/>
                <w:lang w:eastAsia="zh-CN"/>
              </w:rPr>
            </w:pPr>
            <w:r>
              <w:rPr>
                <w:highlight w:val="none"/>
                <w:lang w:eastAsia="zh-CN"/>
              </w:rPr>
              <w:t>复合微生物除臭剂是遵循微生态工程原理，在充分借鉴国外先进复合微生物技术的基础上，采用微</w:t>
            </w:r>
            <w:r>
              <w:rPr>
                <w:rFonts w:cs="Times New Roman"/>
                <w:highlight w:val="none"/>
                <w:lang w:eastAsia="zh-CN"/>
              </w:rPr>
              <w:t>生态工程技术，精选多种有益微生物经复合发酵而成的新型生物除臭净化剂。能有效去除硫化、氨气等恶臭气体，</w:t>
            </w:r>
            <w:r>
              <w:rPr>
                <w:rFonts w:eastAsia="Arial" w:cs="Times New Roman"/>
                <w:color w:val="191919"/>
                <w:spacing w:val="0"/>
                <w:highlight w:val="none"/>
                <w:shd w:val="clear" w:color="auto" w:fill="FFFFFF"/>
                <w:lang w:eastAsia="zh-CN"/>
              </w:rPr>
              <w:t>对氨臭气的去除率达92.6%以上</w:t>
            </w:r>
            <w:r>
              <w:rPr>
                <w:rFonts w:cs="Times New Roman"/>
                <w:color w:val="191919"/>
                <w:spacing w:val="0"/>
                <w:highlight w:val="none"/>
                <w:shd w:val="clear" w:color="auto" w:fill="FFFFFF"/>
                <w:lang w:eastAsia="zh-CN"/>
              </w:rPr>
              <w:t>，</w:t>
            </w:r>
            <w:r>
              <w:rPr>
                <w:rFonts w:eastAsia="Arial" w:cs="Times New Roman"/>
                <w:color w:val="191919"/>
                <w:spacing w:val="0"/>
                <w:highlight w:val="none"/>
                <w:shd w:val="clear" w:color="auto" w:fill="FFFFFF"/>
                <w:lang w:eastAsia="zh-CN"/>
              </w:rPr>
              <w:t>对臭气浓度降解率达90%</w:t>
            </w:r>
            <w:r>
              <w:rPr>
                <w:rFonts w:hint="eastAsia" w:cs="Times New Roman"/>
                <w:color w:val="191919"/>
                <w:spacing w:val="0"/>
                <w:highlight w:val="none"/>
                <w:shd w:val="clear" w:color="auto" w:fill="FFFFFF"/>
                <w:lang w:eastAsia="zh-CN"/>
              </w:rPr>
              <w:t>，</w:t>
            </w:r>
            <w:r>
              <w:rPr>
                <w:rFonts w:eastAsia="Arial" w:cs="Times New Roman"/>
                <w:color w:val="191919"/>
                <w:spacing w:val="0"/>
                <w:highlight w:val="none"/>
                <w:shd w:val="clear" w:color="auto" w:fill="FFFFFF"/>
                <w:lang w:eastAsia="zh-CN"/>
              </w:rPr>
              <w:t>对硫化氢降解率为89%以上</w:t>
            </w:r>
            <w:r>
              <w:rPr>
                <w:rFonts w:hint="eastAsia" w:cs="Times New Roman"/>
                <w:color w:val="191919"/>
                <w:spacing w:val="0"/>
                <w:highlight w:val="none"/>
                <w:shd w:val="clear" w:color="auto" w:fill="FFFFFF"/>
                <w:lang w:eastAsia="zh-CN"/>
              </w:rPr>
              <w:t>，</w:t>
            </w:r>
            <w:r>
              <w:rPr>
                <w:rFonts w:cs="Times New Roman"/>
                <w:highlight w:val="none"/>
                <w:lang w:eastAsia="zh-CN"/>
              </w:rPr>
              <w:t>显著降低污水中COD和氨氮的含量，增强污水的净化</w:t>
            </w:r>
            <w:r>
              <w:rPr>
                <w:highlight w:val="none"/>
                <w:lang w:eastAsia="zh-CN"/>
              </w:rPr>
              <w:t>速度和能力，对人体和动植物无任何毒副作用，对环境不产生任何污染。屠宰业、食品加工业、皮革加工业等有机污水除臭处理。按每吨污水加入0.01</w:t>
            </w:r>
            <w:r>
              <w:rPr>
                <w:rFonts w:hint="eastAsia"/>
                <w:highlight w:val="none"/>
                <w:lang w:eastAsia="zh-CN"/>
              </w:rPr>
              <w:t>～</w:t>
            </w:r>
            <w:r>
              <w:rPr>
                <w:highlight w:val="none"/>
                <w:lang w:eastAsia="zh-CN"/>
              </w:rPr>
              <w:t>0.1公斤除臭净化剂稀释10倍进行</w:t>
            </w:r>
            <w:r>
              <w:rPr>
                <w:rFonts w:hint="eastAsia"/>
                <w:highlight w:val="none"/>
                <w:lang w:eastAsia="zh-CN"/>
              </w:rPr>
              <w:t>喷洒</w:t>
            </w:r>
            <w:r>
              <w:rPr>
                <w:highlight w:val="none"/>
                <w:lang w:eastAsia="zh-CN"/>
              </w:rPr>
              <w:t>或从污水排出口均匀加入。5</w:t>
            </w:r>
            <w:r>
              <w:rPr>
                <w:rFonts w:hint="eastAsia"/>
                <w:highlight w:val="none"/>
                <w:lang w:eastAsia="zh-CN"/>
              </w:rPr>
              <w:t>～</w:t>
            </w:r>
            <w:r>
              <w:rPr>
                <w:highlight w:val="none"/>
                <w:lang w:eastAsia="zh-CN"/>
              </w:rPr>
              <w:t>7天后臭气基本消除，水质明显好转。污泥沉淀物减少，尤其是油脂含量明显减少，有利于污泥的收集、运输和消纳。除臭剂可以和某些化学制剂配合使用，但不能和杀菌同时使用。除臭方式和方法因气候、收集方式、季节的不同需做适当调整。因此在处理前要进行现场规划设计，以确保满意效果。</w:t>
            </w:r>
          </w:p>
          <w:p w14:paraId="36DBD3C8">
            <w:pPr>
              <w:pStyle w:val="34"/>
              <w:ind w:firstLine="486"/>
              <w:rPr>
                <w:b/>
                <w:bCs/>
                <w:highlight w:val="none"/>
                <w:lang w:eastAsia="zh-CN"/>
              </w:rPr>
            </w:pPr>
            <w:r>
              <w:rPr>
                <w:b/>
                <w:bCs/>
                <w:highlight w:val="none"/>
                <w:lang w:eastAsia="zh-CN"/>
              </w:rPr>
              <w:t>工业通风：</w:t>
            </w:r>
          </w:p>
          <w:p w14:paraId="2A586BDC">
            <w:pPr>
              <w:pStyle w:val="34"/>
              <w:rPr>
                <w:highlight w:val="none"/>
                <w:lang w:eastAsia="zh-CN"/>
              </w:rPr>
            </w:pPr>
            <w:r>
              <w:rPr>
                <w:highlight w:val="none"/>
                <w:lang w:eastAsia="zh-CN"/>
              </w:rPr>
              <w:t>利用技术手段，合理组织气流，通过自然通风或者机械通风，控制或消除生产过程中产生的粉尘、有害气体、高温和余湿，按组织车间换气原则主要为全面通风、局部通风、混合通风。创造适宜的生产环境，达到保护工人身心健康的目的。</w:t>
            </w:r>
          </w:p>
          <w:p w14:paraId="1D2EA659">
            <w:pPr>
              <w:pStyle w:val="34"/>
              <w:ind w:firstLine="486"/>
              <w:rPr>
                <w:b/>
                <w:bCs/>
                <w:highlight w:val="none"/>
                <w:lang w:eastAsia="zh-CN"/>
              </w:rPr>
            </w:pPr>
            <w:r>
              <w:rPr>
                <w:b/>
                <w:bCs/>
                <w:highlight w:val="none"/>
                <w:lang w:eastAsia="zh-CN"/>
              </w:rPr>
              <w:t>（4）非正常工况环境影响分析：</w:t>
            </w:r>
          </w:p>
          <w:p w14:paraId="21B06C7D">
            <w:pPr>
              <w:pStyle w:val="34"/>
              <w:rPr>
                <w:highlight w:val="none"/>
                <w:lang w:eastAsia="zh-CN"/>
              </w:rPr>
            </w:pPr>
            <w:r>
              <w:rPr>
                <w:highlight w:val="none"/>
                <w:lang w:eastAsia="zh-CN"/>
              </w:rPr>
              <w:t>本项目废气非正常排放主要考虑为污水处理</w:t>
            </w:r>
            <w:r>
              <w:rPr>
                <w:rFonts w:hint="eastAsia"/>
                <w:highlight w:val="none"/>
                <w:lang w:eastAsia="zh-CN"/>
              </w:rPr>
              <w:t>站产生</w:t>
            </w:r>
            <w:r>
              <w:rPr>
                <w:highlight w:val="none"/>
                <w:lang w:eastAsia="zh-CN"/>
              </w:rPr>
              <w:t>恶臭区域加罩或加盖</w:t>
            </w:r>
            <w:r>
              <w:rPr>
                <w:rFonts w:hint="eastAsia"/>
                <w:highlight w:val="none"/>
                <w:lang w:eastAsia="zh-CN"/>
              </w:rPr>
              <w:t>处出现泄漏</w:t>
            </w:r>
            <w:r>
              <w:rPr>
                <w:highlight w:val="none"/>
                <w:lang w:eastAsia="zh-CN"/>
              </w:rPr>
              <w:t>故障，</w:t>
            </w:r>
            <w:r>
              <w:rPr>
                <w:rFonts w:hint="eastAsia"/>
                <w:highlight w:val="none"/>
                <w:lang w:eastAsia="zh-CN"/>
              </w:rPr>
              <w:t>本项目</w:t>
            </w:r>
            <w:r>
              <w:rPr>
                <w:highlight w:val="none"/>
                <w:lang w:eastAsia="zh-CN"/>
              </w:rPr>
              <w:t>废气处理设施故障时，项目非正常工况产排放情况如下：</w:t>
            </w:r>
          </w:p>
          <w:p w14:paraId="083ECE2E">
            <w:pPr>
              <w:pStyle w:val="30"/>
              <w:rPr>
                <w:rFonts w:hint="default"/>
                <w:highlight w:val="none"/>
              </w:rPr>
            </w:pPr>
            <w:r>
              <w:rPr>
                <w:highlight w:val="none"/>
              </w:rPr>
              <w:t>表4-4废气非正常排放情况一览表</w:t>
            </w:r>
          </w:p>
          <w:tbl>
            <w:tblPr>
              <w:tblStyle w:val="21"/>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40"/>
              <w:gridCol w:w="1040"/>
              <w:gridCol w:w="1040"/>
              <w:gridCol w:w="1040"/>
              <w:gridCol w:w="1040"/>
              <w:gridCol w:w="1040"/>
              <w:gridCol w:w="1041"/>
            </w:tblGrid>
            <w:tr w14:paraId="3679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restart"/>
                  <w:vAlign w:val="center"/>
                </w:tcPr>
                <w:p w14:paraId="6C787B39">
                  <w:pPr>
                    <w:pStyle w:val="28"/>
                    <w:rPr>
                      <w:b/>
                      <w:bCs/>
                      <w:highlight w:val="none"/>
                    </w:rPr>
                  </w:pPr>
                  <w:r>
                    <w:rPr>
                      <w:rFonts w:hint="eastAsia"/>
                      <w:b/>
                      <w:bCs/>
                      <w:highlight w:val="none"/>
                    </w:rPr>
                    <w:t>废气源</w:t>
                  </w:r>
                </w:p>
              </w:tc>
              <w:tc>
                <w:tcPr>
                  <w:tcW w:w="1040" w:type="dxa"/>
                  <w:vMerge w:val="restart"/>
                  <w:vAlign w:val="center"/>
                </w:tcPr>
                <w:p w14:paraId="651C229B">
                  <w:pPr>
                    <w:pStyle w:val="28"/>
                    <w:rPr>
                      <w:b/>
                      <w:bCs/>
                      <w:highlight w:val="none"/>
                    </w:rPr>
                  </w:pPr>
                  <w:r>
                    <w:rPr>
                      <w:rFonts w:hint="eastAsia"/>
                      <w:b/>
                      <w:bCs/>
                      <w:highlight w:val="none"/>
                    </w:rPr>
                    <w:t>排放方式</w:t>
                  </w:r>
                </w:p>
              </w:tc>
              <w:tc>
                <w:tcPr>
                  <w:tcW w:w="1040" w:type="dxa"/>
                  <w:vMerge w:val="restart"/>
                  <w:vAlign w:val="center"/>
                </w:tcPr>
                <w:p w14:paraId="0368798A">
                  <w:pPr>
                    <w:pStyle w:val="28"/>
                    <w:rPr>
                      <w:b/>
                      <w:bCs/>
                      <w:highlight w:val="none"/>
                    </w:rPr>
                  </w:pPr>
                  <w:r>
                    <w:rPr>
                      <w:rFonts w:hint="eastAsia"/>
                      <w:b/>
                      <w:bCs/>
                      <w:highlight w:val="none"/>
                    </w:rPr>
                    <w:t>污染物名称</w:t>
                  </w:r>
                </w:p>
              </w:tc>
              <w:tc>
                <w:tcPr>
                  <w:tcW w:w="1040" w:type="dxa"/>
                  <w:vMerge w:val="restart"/>
                  <w:vAlign w:val="center"/>
                </w:tcPr>
                <w:p w14:paraId="5A0B65D1">
                  <w:pPr>
                    <w:pStyle w:val="28"/>
                    <w:rPr>
                      <w:b/>
                      <w:bCs/>
                      <w:highlight w:val="none"/>
                    </w:rPr>
                  </w:pPr>
                  <w:r>
                    <w:rPr>
                      <w:rFonts w:hint="eastAsia"/>
                      <w:b/>
                      <w:bCs/>
                      <w:highlight w:val="none"/>
                    </w:rPr>
                    <w:t>处理措施</w:t>
                  </w:r>
                </w:p>
              </w:tc>
              <w:tc>
                <w:tcPr>
                  <w:tcW w:w="2080" w:type="dxa"/>
                  <w:gridSpan w:val="2"/>
                  <w:vAlign w:val="center"/>
                </w:tcPr>
                <w:p w14:paraId="024DF618">
                  <w:pPr>
                    <w:pStyle w:val="28"/>
                    <w:rPr>
                      <w:b/>
                      <w:bCs/>
                      <w:highlight w:val="none"/>
                    </w:rPr>
                  </w:pPr>
                  <w:r>
                    <w:rPr>
                      <w:rFonts w:hint="eastAsia"/>
                      <w:b/>
                      <w:bCs/>
                      <w:highlight w:val="none"/>
                    </w:rPr>
                    <w:t>排放情况</w:t>
                  </w:r>
                </w:p>
              </w:tc>
              <w:tc>
                <w:tcPr>
                  <w:tcW w:w="1040" w:type="dxa"/>
                  <w:vMerge w:val="restart"/>
                  <w:vAlign w:val="center"/>
                </w:tcPr>
                <w:p w14:paraId="03E6B12B">
                  <w:pPr>
                    <w:pStyle w:val="28"/>
                    <w:rPr>
                      <w:b/>
                      <w:bCs/>
                      <w:highlight w:val="none"/>
                    </w:rPr>
                  </w:pPr>
                  <w:r>
                    <w:rPr>
                      <w:rFonts w:hint="eastAsia"/>
                      <w:b/>
                      <w:bCs/>
                      <w:highlight w:val="none"/>
                    </w:rPr>
                    <w:t>排放频次</w:t>
                  </w:r>
                </w:p>
              </w:tc>
              <w:tc>
                <w:tcPr>
                  <w:tcW w:w="1041" w:type="dxa"/>
                  <w:vMerge w:val="restart"/>
                  <w:vAlign w:val="center"/>
                </w:tcPr>
                <w:p w14:paraId="442765D0">
                  <w:pPr>
                    <w:pStyle w:val="28"/>
                    <w:rPr>
                      <w:b/>
                      <w:bCs/>
                      <w:highlight w:val="none"/>
                    </w:rPr>
                  </w:pPr>
                  <w:r>
                    <w:rPr>
                      <w:rFonts w:hint="eastAsia"/>
                      <w:b/>
                      <w:bCs/>
                      <w:highlight w:val="none"/>
                    </w:rPr>
                    <w:t>持续时间</w:t>
                  </w:r>
                </w:p>
              </w:tc>
            </w:tr>
            <w:tr w14:paraId="611E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vAlign w:val="center"/>
                </w:tcPr>
                <w:p w14:paraId="7406DDB7">
                  <w:pPr>
                    <w:pStyle w:val="28"/>
                    <w:rPr>
                      <w:b/>
                      <w:bCs/>
                      <w:highlight w:val="none"/>
                    </w:rPr>
                  </w:pPr>
                </w:p>
              </w:tc>
              <w:tc>
                <w:tcPr>
                  <w:tcW w:w="1040" w:type="dxa"/>
                  <w:vMerge w:val="continue"/>
                  <w:vAlign w:val="center"/>
                </w:tcPr>
                <w:p w14:paraId="4674B815">
                  <w:pPr>
                    <w:pStyle w:val="28"/>
                    <w:rPr>
                      <w:b/>
                      <w:bCs/>
                      <w:highlight w:val="none"/>
                    </w:rPr>
                  </w:pPr>
                </w:p>
              </w:tc>
              <w:tc>
                <w:tcPr>
                  <w:tcW w:w="1040" w:type="dxa"/>
                  <w:vMerge w:val="continue"/>
                  <w:vAlign w:val="center"/>
                </w:tcPr>
                <w:p w14:paraId="06C6C830">
                  <w:pPr>
                    <w:pStyle w:val="28"/>
                    <w:rPr>
                      <w:b/>
                      <w:bCs/>
                      <w:highlight w:val="none"/>
                    </w:rPr>
                  </w:pPr>
                </w:p>
              </w:tc>
              <w:tc>
                <w:tcPr>
                  <w:tcW w:w="1040" w:type="dxa"/>
                  <w:vMerge w:val="continue"/>
                  <w:vAlign w:val="center"/>
                </w:tcPr>
                <w:p w14:paraId="12FA82A7">
                  <w:pPr>
                    <w:pStyle w:val="28"/>
                    <w:rPr>
                      <w:b/>
                      <w:bCs/>
                      <w:highlight w:val="none"/>
                    </w:rPr>
                  </w:pPr>
                </w:p>
              </w:tc>
              <w:tc>
                <w:tcPr>
                  <w:tcW w:w="1040" w:type="dxa"/>
                  <w:vAlign w:val="center"/>
                </w:tcPr>
                <w:p w14:paraId="2F72F066">
                  <w:pPr>
                    <w:pStyle w:val="28"/>
                    <w:rPr>
                      <w:b/>
                      <w:bCs/>
                      <w:highlight w:val="none"/>
                    </w:rPr>
                  </w:pPr>
                  <w:r>
                    <w:rPr>
                      <w:rFonts w:hint="eastAsia"/>
                      <w:b/>
                      <w:bCs/>
                      <w:highlight w:val="none"/>
                    </w:rPr>
                    <w:t>kg/h</w:t>
                  </w:r>
                </w:p>
              </w:tc>
              <w:tc>
                <w:tcPr>
                  <w:tcW w:w="1040" w:type="dxa"/>
                  <w:vAlign w:val="center"/>
                </w:tcPr>
                <w:p w14:paraId="677D4794">
                  <w:pPr>
                    <w:pStyle w:val="28"/>
                    <w:rPr>
                      <w:b/>
                      <w:bCs/>
                      <w:highlight w:val="none"/>
                    </w:rPr>
                  </w:pPr>
                  <w:r>
                    <w:rPr>
                      <w:rFonts w:hint="eastAsia"/>
                      <w:b/>
                      <w:bCs/>
                      <w:highlight w:val="none"/>
                    </w:rPr>
                    <w:t>kg/a</w:t>
                  </w:r>
                </w:p>
              </w:tc>
              <w:tc>
                <w:tcPr>
                  <w:tcW w:w="1040" w:type="dxa"/>
                  <w:vMerge w:val="continue"/>
                  <w:vAlign w:val="center"/>
                </w:tcPr>
                <w:p w14:paraId="4C2FE064">
                  <w:pPr>
                    <w:pStyle w:val="28"/>
                    <w:rPr>
                      <w:b/>
                      <w:bCs/>
                      <w:highlight w:val="none"/>
                    </w:rPr>
                  </w:pPr>
                </w:p>
              </w:tc>
              <w:tc>
                <w:tcPr>
                  <w:tcW w:w="1041" w:type="dxa"/>
                  <w:vMerge w:val="continue"/>
                  <w:vAlign w:val="center"/>
                </w:tcPr>
                <w:p w14:paraId="63C03E2F">
                  <w:pPr>
                    <w:pStyle w:val="28"/>
                    <w:rPr>
                      <w:b/>
                      <w:bCs/>
                      <w:highlight w:val="none"/>
                    </w:rPr>
                  </w:pPr>
                </w:p>
              </w:tc>
            </w:tr>
            <w:tr w14:paraId="01F5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restart"/>
                  <w:shd w:val="clear" w:color="auto" w:fill="auto"/>
                  <w:vAlign w:val="center"/>
                </w:tcPr>
                <w:p w14:paraId="684015EF">
                  <w:pPr>
                    <w:pStyle w:val="28"/>
                    <w:rPr>
                      <w:highlight w:val="none"/>
                    </w:rPr>
                  </w:pPr>
                  <w:r>
                    <w:rPr>
                      <w:rFonts w:hint="eastAsia"/>
                      <w:highlight w:val="none"/>
                    </w:rPr>
                    <w:t>污水处理站恶臭</w:t>
                  </w:r>
                </w:p>
              </w:tc>
              <w:tc>
                <w:tcPr>
                  <w:tcW w:w="1040" w:type="dxa"/>
                  <w:vMerge w:val="restart"/>
                  <w:shd w:val="clear" w:color="auto" w:fill="auto"/>
                  <w:vAlign w:val="center"/>
                </w:tcPr>
                <w:p w14:paraId="7D966822">
                  <w:pPr>
                    <w:pStyle w:val="28"/>
                    <w:rPr>
                      <w:highlight w:val="none"/>
                    </w:rPr>
                  </w:pPr>
                  <w:r>
                    <w:rPr>
                      <w:rFonts w:hint="eastAsia"/>
                      <w:highlight w:val="none"/>
                    </w:rPr>
                    <w:t>无组织</w:t>
                  </w:r>
                </w:p>
              </w:tc>
              <w:tc>
                <w:tcPr>
                  <w:tcW w:w="1040" w:type="dxa"/>
                  <w:shd w:val="clear" w:color="auto" w:fill="auto"/>
                  <w:vAlign w:val="center"/>
                </w:tcPr>
                <w:p w14:paraId="0E25D94A">
                  <w:pPr>
                    <w:pStyle w:val="28"/>
                    <w:rPr>
                      <w:highlight w:val="none"/>
                    </w:rPr>
                  </w:pPr>
                  <w:r>
                    <w:rPr>
                      <w:rFonts w:hint="eastAsia"/>
                      <w:highlight w:val="none"/>
                    </w:rPr>
                    <w:t>NH</w:t>
                  </w:r>
                  <w:r>
                    <w:rPr>
                      <w:rFonts w:hint="eastAsia"/>
                      <w:highlight w:val="none"/>
                      <w:vertAlign w:val="subscript"/>
                    </w:rPr>
                    <w:t>3</w:t>
                  </w:r>
                </w:p>
              </w:tc>
              <w:tc>
                <w:tcPr>
                  <w:tcW w:w="1040" w:type="dxa"/>
                  <w:vMerge w:val="restart"/>
                  <w:shd w:val="clear" w:color="auto" w:fill="auto"/>
                  <w:vAlign w:val="center"/>
                </w:tcPr>
                <w:p w14:paraId="5D0DA5F3">
                  <w:pPr>
                    <w:pStyle w:val="28"/>
                    <w:rPr>
                      <w:highlight w:val="none"/>
                    </w:rPr>
                  </w:pPr>
                  <w:r>
                    <w:rPr>
                      <w:highlight w:val="none"/>
                    </w:rPr>
                    <w:t>加罩或加盖</w:t>
                  </w:r>
                </w:p>
              </w:tc>
              <w:tc>
                <w:tcPr>
                  <w:tcW w:w="1040" w:type="dxa"/>
                  <w:vAlign w:val="center"/>
                </w:tcPr>
                <w:p w14:paraId="6FA452B6">
                  <w:pPr>
                    <w:pStyle w:val="28"/>
                    <w:rPr>
                      <w:highlight w:val="none"/>
                    </w:rPr>
                  </w:pPr>
                  <w:r>
                    <w:rPr>
                      <w:rFonts w:hint="eastAsia"/>
                      <w:highlight w:val="none"/>
                    </w:rPr>
                    <w:t>0.0055</w:t>
                  </w:r>
                </w:p>
              </w:tc>
              <w:tc>
                <w:tcPr>
                  <w:tcW w:w="1040" w:type="dxa"/>
                  <w:vAlign w:val="center"/>
                </w:tcPr>
                <w:p w14:paraId="0E05FE7D">
                  <w:pPr>
                    <w:pStyle w:val="28"/>
                    <w:rPr>
                      <w:highlight w:val="none"/>
                    </w:rPr>
                  </w:pPr>
                  <w:r>
                    <w:rPr>
                      <w:rFonts w:hint="eastAsia"/>
                      <w:highlight w:val="none"/>
                    </w:rPr>
                    <w:t>47.41</w:t>
                  </w:r>
                </w:p>
              </w:tc>
              <w:tc>
                <w:tcPr>
                  <w:tcW w:w="1040" w:type="dxa"/>
                  <w:vMerge w:val="restart"/>
                  <w:vAlign w:val="center"/>
                </w:tcPr>
                <w:p w14:paraId="1700CA51">
                  <w:pPr>
                    <w:pStyle w:val="28"/>
                    <w:rPr>
                      <w:highlight w:val="none"/>
                    </w:rPr>
                  </w:pPr>
                  <w:r>
                    <w:rPr>
                      <w:rFonts w:hint="eastAsia"/>
                      <w:highlight w:val="none"/>
                    </w:rPr>
                    <w:t>1次/a</w:t>
                  </w:r>
                </w:p>
              </w:tc>
              <w:tc>
                <w:tcPr>
                  <w:tcW w:w="1041" w:type="dxa"/>
                  <w:vMerge w:val="restart"/>
                  <w:vAlign w:val="center"/>
                </w:tcPr>
                <w:p w14:paraId="145E5527">
                  <w:pPr>
                    <w:pStyle w:val="28"/>
                    <w:rPr>
                      <w:highlight w:val="none"/>
                    </w:rPr>
                  </w:pPr>
                  <w:r>
                    <w:rPr>
                      <w:rFonts w:hint="eastAsia"/>
                      <w:highlight w:val="none"/>
                    </w:rPr>
                    <w:t>5h</w:t>
                  </w:r>
                </w:p>
              </w:tc>
            </w:tr>
            <w:tr w14:paraId="2E5A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vMerge w:val="continue"/>
                  <w:shd w:val="clear" w:color="auto" w:fill="auto"/>
                  <w:vAlign w:val="center"/>
                </w:tcPr>
                <w:p w14:paraId="40DCB606">
                  <w:pPr>
                    <w:pStyle w:val="28"/>
                    <w:rPr>
                      <w:highlight w:val="none"/>
                    </w:rPr>
                  </w:pPr>
                </w:p>
              </w:tc>
              <w:tc>
                <w:tcPr>
                  <w:tcW w:w="1040" w:type="dxa"/>
                  <w:vMerge w:val="continue"/>
                  <w:shd w:val="clear" w:color="auto" w:fill="auto"/>
                  <w:vAlign w:val="center"/>
                </w:tcPr>
                <w:p w14:paraId="6E3FEC8E">
                  <w:pPr>
                    <w:pStyle w:val="28"/>
                    <w:rPr>
                      <w:highlight w:val="none"/>
                    </w:rPr>
                  </w:pPr>
                </w:p>
              </w:tc>
              <w:tc>
                <w:tcPr>
                  <w:tcW w:w="1040" w:type="dxa"/>
                  <w:shd w:val="clear" w:color="auto" w:fill="auto"/>
                  <w:vAlign w:val="center"/>
                </w:tcPr>
                <w:p w14:paraId="2562F567">
                  <w:pPr>
                    <w:pStyle w:val="28"/>
                    <w:rPr>
                      <w:highlight w:val="none"/>
                    </w:rPr>
                  </w:pPr>
                  <w:r>
                    <w:rPr>
                      <w:rFonts w:hint="eastAsia"/>
                      <w:highlight w:val="none"/>
                    </w:rPr>
                    <w:t>H</w:t>
                  </w:r>
                  <w:r>
                    <w:rPr>
                      <w:rFonts w:hint="eastAsia"/>
                      <w:highlight w:val="none"/>
                      <w:vertAlign w:val="subscript"/>
                    </w:rPr>
                    <w:t>2</w:t>
                  </w:r>
                  <w:r>
                    <w:rPr>
                      <w:rFonts w:hint="eastAsia"/>
                      <w:highlight w:val="none"/>
                    </w:rPr>
                    <w:t>S</w:t>
                  </w:r>
                </w:p>
              </w:tc>
              <w:tc>
                <w:tcPr>
                  <w:tcW w:w="1040" w:type="dxa"/>
                  <w:vMerge w:val="continue"/>
                  <w:shd w:val="clear" w:color="auto" w:fill="auto"/>
                  <w:vAlign w:val="center"/>
                </w:tcPr>
                <w:p w14:paraId="606D46F5">
                  <w:pPr>
                    <w:pStyle w:val="28"/>
                    <w:rPr>
                      <w:highlight w:val="none"/>
                    </w:rPr>
                  </w:pPr>
                </w:p>
              </w:tc>
              <w:tc>
                <w:tcPr>
                  <w:tcW w:w="1040" w:type="dxa"/>
                  <w:vAlign w:val="center"/>
                </w:tcPr>
                <w:p w14:paraId="5B481D56">
                  <w:pPr>
                    <w:pStyle w:val="28"/>
                    <w:rPr>
                      <w:highlight w:val="none"/>
                    </w:rPr>
                  </w:pPr>
                  <w:r>
                    <w:rPr>
                      <w:rFonts w:hint="eastAsia"/>
                      <w:highlight w:val="none"/>
                    </w:rPr>
                    <w:t>0.00021</w:t>
                  </w:r>
                </w:p>
              </w:tc>
              <w:tc>
                <w:tcPr>
                  <w:tcW w:w="1040" w:type="dxa"/>
                  <w:vAlign w:val="center"/>
                </w:tcPr>
                <w:p w14:paraId="789A6180">
                  <w:pPr>
                    <w:pStyle w:val="28"/>
                    <w:rPr>
                      <w:highlight w:val="none"/>
                    </w:rPr>
                  </w:pPr>
                  <w:r>
                    <w:rPr>
                      <w:rFonts w:hint="eastAsia"/>
                      <w:highlight w:val="none"/>
                    </w:rPr>
                    <w:t>1.84</w:t>
                  </w:r>
                </w:p>
              </w:tc>
              <w:tc>
                <w:tcPr>
                  <w:tcW w:w="1040" w:type="dxa"/>
                  <w:vMerge w:val="continue"/>
                  <w:vAlign w:val="center"/>
                </w:tcPr>
                <w:p w14:paraId="559B75F7">
                  <w:pPr>
                    <w:pStyle w:val="28"/>
                    <w:rPr>
                      <w:highlight w:val="none"/>
                    </w:rPr>
                  </w:pPr>
                </w:p>
              </w:tc>
              <w:tc>
                <w:tcPr>
                  <w:tcW w:w="1041" w:type="dxa"/>
                  <w:vMerge w:val="continue"/>
                  <w:vAlign w:val="center"/>
                </w:tcPr>
                <w:p w14:paraId="48097858">
                  <w:pPr>
                    <w:pStyle w:val="28"/>
                    <w:rPr>
                      <w:highlight w:val="none"/>
                    </w:rPr>
                  </w:pPr>
                </w:p>
              </w:tc>
            </w:tr>
          </w:tbl>
          <w:p w14:paraId="678DE1E5">
            <w:pPr>
              <w:pStyle w:val="34"/>
              <w:rPr>
                <w:highlight w:val="none"/>
                <w:lang w:eastAsia="zh-CN"/>
              </w:rPr>
            </w:pPr>
            <w:r>
              <w:rPr>
                <w:highlight w:val="none"/>
                <w:lang w:eastAsia="zh-CN"/>
              </w:rPr>
              <w:t>由上表可知，项目非正常状况下污水处理站恶臭气体排放速率较低。运营期通过加强管理，落实设备检查维修，保证设备正常运行，另外非正常工况</w:t>
            </w:r>
            <w:r>
              <w:rPr>
                <w:rFonts w:hint="eastAsia"/>
                <w:highlight w:val="none"/>
                <w:lang w:eastAsia="zh-CN"/>
              </w:rPr>
              <w:t>发生</w:t>
            </w:r>
            <w:r>
              <w:rPr>
                <w:highlight w:val="none"/>
                <w:lang w:eastAsia="zh-CN"/>
              </w:rPr>
              <w:t>的概率不大，一经发现非正常工况应立即</w:t>
            </w:r>
            <w:r>
              <w:rPr>
                <w:rFonts w:hint="eastAsia"/>
                <w:highlight w:val="none"/>
                <w:lang w:eastAsia="zh-CN"/>
              </w:rPr>
              <w:t>重新进行密闭处理</w:t>
            </w:r>
            <w:r>
              <w:rPr>
                <w:highlight w:val="none"/>
                <w:lang w:eastAsia="zh-CN"/>
              </w:rPr>
              <w:t>。为杜绝废气非正常排放，应采取以下措施确保废气达标排放</w:t>
            </w:r>
            <w:r>
              <w:rPr>
                <w:rFonts w:hint="eastAsia"/>
                <w:highlight w:val="none"/>
                <w:lang w:eastAsia="zh-CN"/>
              </w:rPr>
              <w:t>：</w:t>
            </w:r>
          </w:p>
          <w:p w14:paraId="491FEA34">
            <w:pPr>
              <w:pStyle w:val="34"/>
              <w:rPr>
                <w:highlight w:val="none"/>
                <w:lang w:eastAsia="zh-CN"/>
              </w:rPr>
            </w:pPr>
            <w:r>
              <w:rPr>
                <w:highlight w:val="none"/>
                <w:lang w:eastAsia="zh-CN"/>
              </w:rPr>
              <w:t>①安排专人负责环保设备的日常维护和管理，</w:t>
            </w:r>
            <w:r>
              <w:rPr>
                <w:rFonts w:hint="eastAsia"/>
                <w:highlight w:val="none"/>
                <w:lang w:eastAsia="zh-CN"/>
              </w:rPr>
              <w:t>每隔</w:t>
            </w:r>
            <w:r>
              <w:rPr>
                <w:highlight w:val="none"/>
                <w:lang w:eastAsia="zh-CN"/>
              </w:rPr>
              <w:t>固定时间检查、汇报情况，发现废气</w:t>
            </w:r>
            <w:r>
              <w:rPr>
                <w:rFonts w:hint="eastAsia"/>
                <w:highlight w:val="none"/>
                <w:lang w:eastAsia="zh-CN"/>
              </w:rPr>
              <w:t>泄漏</w:t>
            </w:r>
            <w:r>
              <w:rPr>
                <w:highlight w:val="none"/>
                <w:lang w:eastAsia="zh-CN"/>
              </w:rPr>
              <w:t>及时</w:t>
            </w:r>
            <w:r>
              <w:rPr>
                <w:rFonts w:hint="eastAsia"/>
                <w:highlight w:val="none"/>
                <w:lang w:eastAsia="zh-CN"/>
              </w:rPr>
              <w:t>上报解决</w:t>
            </w:r>
            <w:r>
              <w:rPr>
                <w:highlight w:val="none"/>
                <w:lang w:eastAsia="zh-CN"/>
              </w:rPr>
              <w:t>，确保废气处理系统正常运行；</w:t>
            </w:r>
          </w:p>
          <w:p w14:paraId="6868A8D3">
            <w:pPr>
              <w:pStyle w:val="34"/>
              <w:rPr>
                <w:highlight w:val="none"/>
                <w:lang w:eastAsia="zh-CN"/>
              </w:rPr>
            </w:pPr>
            <w:r>
              <w:rPr>
                <w:highlight w:val="none"/>
                <w:lang w:eastAsia="zh-CN"/>
              </w:rPr>
              <w:t>②建立健全的环保管理机构，对环保管理人员和技术人员进行岗位培训，委托具有专业资质的</w:t>
            </w:r>
            <w:r>
              <w:rPr>
                <w:rFonts w:hint="eastAsia"/>
                <w:highlight w:val="none"/>
                <w:lang w:eastAsia="zh-CN"/>
              </w:rPr>
              <w:t>环境监测</w:t>
            </w:r>
            <w:r>
              <w:rPr>
                <w:highlight w:val="none"/>
                <w:lang w:eastAsia="zh-CN"/>
              </w:rPr>
              <w:t>单位对项目排放的各类污染物进行定期检测；</w:t>
            </w:r>
          </w:p>
          <w:p w14:paraId="1221A1FD">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（5）环境监测</w:t>
            </w:r>
          </w:p>
          <w:p w14:paraId="2F5019A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根据《排污许可管理条例</w:t>
            </w:r>
            <w:bookmarkStart w:id="14" w:name="_GoBack"/>
            <w:bookmarkEnd w:id="14"/>
            <w:r>
              <w:rPr>
                <w:rFonts w:hint="eastAsia"/>
                <w:color w:val="000000" w:themeColor="text1"/>
                <w:highlight w:val="none"/>
                <w:lang w:eastAsia="zh-CN"/>
                <w14:textFill>
                  <w14:solidFill>
                    <w14:schemeClr w14:val="tx1"/>
                  </w14:solidFill>
                </w14:textFill>
              </w:rPr>
              <w:t>》要求，企业投产后应开展自行监测。根据《排污单位自行监测技术指南总则》（</w:t>
            </w:r>
            <w:r>
              <w:rPr>
                <w:color w:val="000000" w:themeColor="text1"/>
                <w:highlight w:val="none"/>
                <w:lang w:eastAsia="zh-CN"/>
                <w14:textFill>
                  <w14:solidFill>
                    <w14:schemeClr w14:val="tx1"/>
                  </w14:solidFill>
                </w14:textFill>
              </w:rPr>
              <w:t>HJ819-2017</w:t>
            </w:r>
            <w:r>
              <w:rPr>
                <w:rFonts w:hint="eastAsia"/>
                <w:color w:val="000000" w:themeColor="text1"/>
                <w:highlight w:val="none"/>
                <w:lang w:eastAsia="zh-CN"/>
                <w14:textFill>
                  <w14:solidFill>
                    <w14:schemeClr w14:val="tx1"/>
                  </w14:solidFill>
                </w14:textFill>
              </w:rPr>
              <w:t>）、《排污许可证申请与核发技术规范总则》（</w:t>
            </w:r>
            <w:r>
              <w:rPr>
                <w:color w:val="000000" w:themeColor="text1"/>
                <w:highlight w:val="none"/>
                <w:lang w:eastAsia="zh-CN"/>
                <w14:textFill>
                  <w14:solidFill>
                    <w14:schemeClr w14:val="tx1"/>
                  </w14:solidFill>
                </w14:textFill>
              </w:rPr>
              <w:t>HJ 942-2018</w:t>
            </w:r>
            <w:r>
              <w:rPr>
                <w:rFonts w:hint="eastAsia"/>
                <w:color w:val="000000" w:themeColor="text1"/>
                <w:highlight w:val="none"/>
                <w:lang w:eastAsia="zh-CN"/>
                <w14:textFill>
                  <w14:solidFill>
                    <w14:schemeClr w14:val="tx1"/>
                  </w14:solidFill>
                </w14:textFill>
              </w:rPr>
              <w:t>）</w:t>
            </w:r>
            <w:r>
              <w:rPr>
                <w:rFonts w:hint="eastAsia"/>
                <w:kern w:val="0"/>
                <w:highlight w:val="none"/>
                <w:lang w:eastAsia="zh-CN" w:bidi="ar"/>
              </w:rPr>
              <w:t>《排污许可证申请与核发技术规范农副食品加工工业一屠宰及肉类加工工业》（GB860.3-2018），</w:t>
            </w:r>
            <w:r>
              <w:rPr>
                <w:rFonts w:hint="eastAsia"/>
                <w:color w:val="000000" w:themeColor="text1"/>
                <w:highlight w:val="none"/>
                <w:lang w:eastAsia="zh-CN"/>
                <w14:textFill>
                  <w14:solidFill>
                    <w14:schemeClr w14:val="tx1"/>
                  </w14:solidFill>
                </w14:textFill>
              </w:rPr>
              <w:t>确定自行监测因子、监测时间及频次。本项目自行监测要求如表</w:t>
            </w:r>
            <w:r>
              <w:rPr>
                <w:color w:val="000000" w:themeColor="text1"/>
                <w:highlight w:val="none"/>
                <w:lang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5。</w:t>
            </w:r>
          </w:p>
          <w:p w14:paraId="2EF45AEE">
            <w:pPr>
              <w:pStyle w:val="30"/>
              <w:rPr>
                <w:rFonts w:hint="default"/>
                <w:highlight w:val="none"/>
              </w:rPr>
            </w:pPr>
            <w:r>
              <w:rPr>
                <w:highlight w:val="none"/>
              </w:rPr>
              <w:t>表4-5废气自行监测方案一览表</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55"/>
              <w:gridCol w:w="3435"/>
              <w:gridCol w:w="1350"/>
              <w:gridCol w:w="1661"/>
            </w:tblGrid>
            <w:tr w14:paraId="1828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vAlign w:val="center"/>
                </w:tcPr>
                <w:p w14:paraId="6F5138B2">
                  <w:pPr>
                    <w:pStyle w:val="28"/>
                    <w:rPr>
                      <w:b/>
                      <w:bCs/>
                      <w:highlight w:val="none"/>
                    </w:rPr>
                  </w:pPr>
                  <w:r>
                    <w:rPr>
                      <w:rFonts w:hint="eastAsia"/>
                      <w:b/>
                      <w:bCs/>
                      <w:highlight w:val="none"/>
                    </w:rPr>
                    <w:t>序号</w:t>
                  </w:r>
                </w:p>
              </w:tc>
              <w:tc>
                <w:tcPr>
                  <w:tcW w:w="1155" w:type="dxa"/>
                  <w:vAlign w:val="center"/>
                </w:tcPr>
                <w:p w14:paraId="19F8F582">
                  <w:pPr>
                    <w:pStyle w:val="28"/>
                    <w:rPr>
                      <w:b/>
                      <w:bCs/>
                      <w:highlight w:val="none"/>
                    </w:rPr>
                  </w:pPr>
                  <w:r>
                    <w:rPr>
                      <w:rFonts w:hint="eastAsia"/>
                      <w:b/>
                      <w:bCs/>
                      <w:highlight w:val="none"/>
                    </w:rPr>
                    <w:t>监测项目</w:t>
                  </w:r>
                </w:p>
              </w:tc>
              <w:tc>
                <w:tcPr>
                  <w:tcW w:w="3435" w:type="dxa"/>
                  <w:vAlign w:val="center"/>
                </w:tcPr>
                <w:p w14:paraId="7EEF44FA">
                  <w:pPr>
                    <w:pStyle w:val="28"/>
                    <w:rPr>
                      <w:b/>
                      <w:bCs/>
                      <w:highlight w:val="none"/>
                    </w:rPr>
                  </w:pPr>
                  <w:r>
                    <w:rPr>
                      <w:rFonts w:hint="eastAsia"/>
                      <w:b/>
                      <w:bCs/>
                      <w:highlight w:val="none"/>
                    </w:rPr>
                    <w:t>监测点位</w:t>
                  </w:r>
                </w:p>
              </w:tc>
              <w:tc>
                <w:tcPr>
                  <w:tcW w:w="1350" w:type="dxa"/>
                  <w:vAlign w:val="center"/>
                </w:tcPr>
                <w:p w14:paraId="3C363956">
                  <w:pPr>
                    <w:pStyle w:val="28"/>
                    <w:rPr>
                      <w:b/>
                      <w:bCs/>
                      <w:highlight w:val="none"/>
                    </w:rPr>
                  </w:pPr>
                  <w:r>
                    <w:rPr>
                      <w:rFonts w:hint="eastAsia"/>
                      <w:b/>
                      <w:bCs/>
                      <w:highlight w:val="none"/>
                    </w:rPr>
                    <w:t>监测因子</w:t>
                  </w:r>
                </w:p>
              </w:tc>
              <w:tc>
                <w:tcPr>
                  <w:tcW w:w="1661" w:type="dxa"/>
                  <w:vAlign w:val="center"/>
                </w:tcPr>
                <w:p w14:paraId="07425E4E">
                  <w:pPr>
                    <w:pStyle w:val="28"/>
                    <w:rPr>
                      <w:b/>
                      <w:bCs/>
                      <w:highlight w:val="none"/>
                    </w:rPr>
                  </w:pPr>
                  <w:r>
                    <w:rPr>
                      <w:rFonts w:hint="eastAsia"/>
                      <w:b/>
                      <w:bCs/>
                      <w:highlight w:val="none"/>
                    </w:rPr>
                    <w:t>时间及频率</w:t>
                  </w:r>
                </w:p>
              </w:tc>
            </w:tr>
            <w:tr w14:paraId="751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vAlign w:val="center"/>
                </w:tcPr>
                <w:p w14:paraId="65476D3A">
                  <w:pPr>
                    <w:pStyle w:val="28"/>
                    <w:rPr>
                      <w:highlight w:val="none"/>
                    </w:rPr>
                  </w:pPr>
                  <w:r>
                    <w:rPr>
                      <w:rFonts w:hint="eastAsia"/>
                      <w:highlight w:val="none"/>
                    </w:rPr>
                    <w:t>1</w:t>
                  </w:r>
                </w:p>
              </w:tc>
              <w:tc>
                <w:tcPr>
                  <w:tcW w:w="1155" w:type="dxa"/>
                  <w:vAlign w:val="center"/>
                </w:tcPr>
                <w:p w14:paraId="0036287C">
                  <w:pPr>
                    <w:pStyle w:val="28"/>
                    <w:rPr>
                      <w:highlight w:val="none"/>
                    </w:rPr>
                  </w:pPr>
                  <w:r>
                    <w:rPr>
                      <w:rFonts w:hint="eastAsia"/>
                      <w:highlight w:val="none"/>
                    </w:rPr>
                    <w:t>无组织废气</w:t>
                  </w:r>
                </w:p>
              </w:tc>
              <w:tc>
                <w:tcPr>
                  <w:tcW w:w="3435" w:type="dxa"/>
                  <w:vAlign w:val="center"/>
                </w:tcPr>
                <w:p w14:paraId="38BBCB6E">
                  <w:pPr>
                    <w:pStyle w:val="28"/>
                    <w:rPr>
                      <w:highlight w:val="none"/>
                    </w:rPr>
                  </w:pPr>
                  <w:r>
                    <w:rPr>
                      <w:highlight w:val="none"/>
                    </w:rPr>
                    <w:t>4</w:t>
                  </w:r>
                  <w:r>
                    <w:rPr>
                      <w:rFonts w:hint="eastAsia"/>
                      <w:highlight w:val="none"/>
                    </w:rPr>
                    <w:t>个，厂界上风向</w:t>
                  </w:r>
                  <w:r>
                    <w:rPr>
                      <w:highlight w:val="none"/>
                    </w:rPr>
                    <w:t>1</w:t>
                  </w:r>
                  <w:r>
                    <w:rPr>
                      <w:rFonts w:hint="eastAsia"/>
                      <w:highlight w:val="none"/>
                    </w:rPr>
                    <w:t>个下风向</w:t>
                  </w:r>
                  <w:r>
                    <w:rPr>
                      <w:highlight w:val="none"/>
                    </w:rPr>
                    <w:t>3</w:t>
                  </w:r>
                  <w:r>
                    <w:rPr>
                      <w:rFonts w:hint="eastAsia"/>
                      <w:highlight w:val="none"/>
                    </w:rPr>
                    <w:t>个</w:t>
                  </w:r>
                </w:p>
              </w:tc>
              <w:tc>
                <w:tcPr>
                  <w:tcW w:w="1350" w:type="dxa"/>
                  <w:vAlign w:val="center"/>
                </w:tcPr>
                <w:p w14:paraId="1777FF26">
                  <w:pPr>
                    <w:pStyle w:val="28"/>
                    <w:rPr>
                      <w:highlight w:val="none"/>
                    </w:rPr>
                  </w:pPr>
                  <w:r>
                    <w:rPr>
                      <w:rFonts w:hint="eastAsia"/>
                      <w:highlight w:val="none"/>
                    </w:rPr>
                    <w:t>H</w:t>
                  </w:r>
                  <w:r>
                    <w:rPr>
                      <w:rFonts w:hint="eastAsia"/>
                      <w:highlight w:val="none"/>
                      <w:vertAlign w:val="subscript"/>
                    </w:rPr>
                    <w:t>2</w:t>
                  </w:r>
                  <w:r>
                    <w:rPr>
                      <w:rFonts w:hint="eastAsia"/>
                      <w:highlight w:val="none"/>
                    </w:rPr>
                    <w:t>S、NH</w:t>
                  </w:r>
                  <w:r>
                    <w:rPr>
                      <w:rFonts w:hint="eastAsia"/>
                      <w:highlight w:val="none"/>
                      <w:vertAlign w:val="subscript"/>
                    </w:rPr>
                    <w:t>3</w:t>
                  </w:r>
                  <w:r>
                    <w:rPr>
                      <w:rFonts w:hint="eastAsia"/>
                      <w:highlight w:val="none"/>
                    </w:rPr>
                    <w:t>、臭气浓度</w:t>
                  </w:r>
                </w:p>
              </w:tc>
              <w:tc>
                <w:tcPr>
                  <w:tcW w:w="1661" w:type="dxa"/>
                  <w:vAlign w:val="center"/>
                </w:tcPr>
                <w:p w14:paraId="718421E7">
                  <w:pPr>
                    <w:pStyle w:val="28"/>
                    <w:rPr>
                      <w:highlight w:val="none"/>
                    </w:rPr>
                  </w:pPr>
                  <w:r>
                    <w:rPr>
                      <w:rFonts w:hint="eastAsia"/>
                      <w:highlight w:val="none"/>
                    </w:rPr>
                    <w:t>1次/半年</w:t>
                  </w:r>
                </w:p>
              </w:tc>
            </w:tr>
          </w:tbl>
          <w:p w14:paraId="5865AC03">
            <w:pPr>
              <w:pStyle w:val="34"/>
              <w:widowControl/>
              <w:ind w:firstLine="566"/>
              <w:jc w:val="left"/>
              <w:rPr>
                <w:b/>
                <w:bCs/>
                <w:color w:val="000000" w:themeColor="text1"/>
                <w:kern w:val="0"/>
                <w:sz w:val="28"/>
                <w:szCs w:val="28"/>
                <w:highlight w:val="none"/>
                <w:lang w:eastAsia="zh-CN" w:bidi="ar"/>
                <w14:textFill>
                  <w14:solidFill>
                    <w14:schemeClr w14:val="tx1"/>
                  </w14:solidFill>
                </w14:textFill>
              </w:rPr>
            </w:pPr>
            <w:r>
              <w:rPr>
                <w:rFonts w:hint="eastAsia"/>
                <w:b/>
                <w:bCs/>
                <w:color w:val="000000" w:themeColor="text1"/>
                <w:kern w:val="0"/>
                <w:sz w:val="28"/>
                <w:szCs w:val="28"/>
                <w:highlight w:val="none"/>
                <w:lang w:eastAsia="zh-CN" w:bidi="ar"/>
                <w14:textFill>
                  <w14:solidFill>
                    <w14:schemeClr w14:val="tx1"/>
                  </w14:solidFill>
                </w14:textFill>
              </w:rPr>
              <w:t>2.废水</w:t>
            </w:r>
          </w:p>
          <w:p w14:paraId="4F84CA6D">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本项目废水污染源主要来自屠宰区、场地冲洗，其次办公、项目管理人员、交易区流动买卖人员产生的生活污水等。</w:t>
            </w:r>
          </w:p>
          <w:p w14:paraId="3456A18C">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b/>
                <w:bCs/>
                <w:color w:val="000000" w:themeColor="text1"/>
                <w:highlight w:val="none"/>
                <w:lang w:eastAsia="zh-CN"/>
                <w14:textFill>
                  <w14:solidFill>
                    <w14:schemeClr w14:val="tx1"/>
                  </w14:solidFill>
                </w14:textFill>
              </w:rPr>
              <w:t>1</w:t>
            </w:r>
            <w:r>
              <w:rPr>
                <w:rFonts w:hint="eastAsia"/>
                <w:b/>
                <w:bCs/>
                <w:color w:val="000000" w:themeColor="text1"/>
                <w:highlight w:val="none"/>
                <w:lang w:eastAsia="zh-CN"/>
                <w14:textFill>
                  <w14:solidFill>
                    <w14:schemeClr w14:val="tx1"/>
                  </w14:solidFill>
                </w14:textFill>
              </w:rPr>
              <w:t>）废水污染源强分析</w:t>
            </w:r>
          </w:p>
          <w:p w14:paraId="7A804B8D">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①</w:t>
            </w:r>
            <w:r>
              <w:rPr>
                <w:color w:val="000000" w:themeColor="text1"/>
                <w:highlight w:val="none"/>
                <w:lang w:eastAsia="zh-CN"/>
                <w14:textFill>
                  <w14:solidFill>
                    <w14:schemeClr w14:val="tx1"/>
                  </w14:solidFill>
                </w14:textFill>
              </w:rPr>
              <w:t>生活</w:t>
            </w:r>
            <w:r>
              <w:rPr>
                <w:rFonts w:hint="eastAsia"/>
                <w:color w:val="000000" w:themeColor="text1"/>
                <w:highlight w:val="none"/>
                <w:lang w:eastAsia="zh-CN"/>
                <w14:textFill>
                  <w14:solidFill>
                    <w14:schemeClr w14:val="tx1"/>
                  </w14:solidFill>
                </w14:textFill>
              </w:rPr>
              <w:t>污水</w:t>
            </w:r>
          </w:p>
          <w:p w14:paraId="26DF5C4E">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总厂区</w:t>
            </w:r>
            <w:r>
              <w:rPr>
                <w:color w:val="000000" w:themeColor="text1"/>
                <w:highlight w:val="none"/>
                <w:lang w:eastAsia="zh-CN"/>
                <w14:textFill>
                  <w14:solidFill>
                    <w14:schemeClr w14:val="tx1"/>
                  </w14:solidFill>
                </w14:textFill>
              </w:rPr>
              <w:t>劳动定员</w:t>
            </w:r>
            <w:r>
              <w:rPr>
                <w:rFonts w:hint="eastAsia"/>
                <w:color w:val="000000" w:themeColor="text1"/>
                <w:highlight w:val="none"/>
                <w:lang w:eastAsia="zh-CN"/>
                <w14:textFill>
                  <w14:solidFill>
                    <w14:schemeClr w14:val="tx1"/>
                  </w14:solidFill>
                </w14:textFill>
              </w:rPr>
              <w:t>总80</w:t>
            </w:r>
            <w:r>
              <w:rPr>
                <w:color w:val="000000" w:themeColor="text1"/>
                <w:highlight w:val="none"/>
                <w:lang w:eastAsia="zh-CN"/>
                <w14:textFill>
                  <w14:solidFill>
                    <w14:schemeClr w14:val="tx1"/>
                  </w14:solidFill>
                </w14:textFill>
              </w:rPr>
              <w:t>人，每天工作8小时，年工作3</w:t>
            </w:r>
            <w:r>
              <w:rPr>
                <w:rFonts w:hint="eastAsia"/>
                <w:color w:val="000000" w:themeColor="text1"/>
                <w:highlight w:val="none"/>
                <w:lang w:eastAsia="zh-CN"/>
                <w14:textFill>
                  <w14:solidFill>
                    <w14:schemeClr w14:val="tx1"/>
                  </w14:solidFill>
                </w14:textFill>
              </w:rPr>
              <w:t>5</w:t>
            </w:r>
            <w:r>
              <w:rPr>
                <w:color w:val="000000" w:themeColor="text1"/>
                <w:highlight w:val="none"/>
                <w:lang w:eastAsia="zh-CN"/>
                <w14:textFill>
                  <w14:solidFill>
                    <w14:schemeClr w14:val="tx1"/>
                  </w14:solidFill>
                </w14:textFill>
              </w:rPr>
              <w:t>0天，</w:t>
            </w:r>
            <w:r>
              <w:rPr>
                <w:rFonts w:hint="eastAsia"/>
                <w:color w:val="000000" w:themeColor="text1"/>
                <w:highlight w:val="none"/>
                <w:lang w:eastAsia="zh-CN"/>
                <w14:textFill>
                  <w14:solidFill>
                    <w14:schemeClr w14:val="tx1"/>
                  </w14:solidFill>
                </w14:textFill>
              </w:rPr>
              <w:t>员工均从原项目的人员中调配，不新增生活污水。</w:t>
            </w:r>
          </w:p>
          <w:p w14:paraId="61E4EE61">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②生产</w:t>
            </w:r>
            <w:r>
              <w:rPr>
                <w:color w:val="000000" w:themeColor="text1"/>
                <w:highlight w:val="none"/>
                <w:lang w:eastAsia="zh-CN"/>
                <w14:textFill>
                  <w14:solidFill>
                    <w14:schemeClr w14:val="tx1"/>
                  </w14:solidFill>
                </w14:textFill>
              </w:rPr>
              <w:t>废水</w:t>
            </w:r>
          </w:p>
          <w:p w14:paraId="2699FB7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根据前文计算可知，项目屠宰用水量为56</w:t>
            </w:r>
            <w:r>
              <w:rPr>
                <w:color w:val="000000" w:themeColor="text1"/>
                <w:highlight w:val="none"/>
                <w:lang w:eastAsia="zh-CN"/>
                <w14:textFill>
                  <w14:solidFill>
                    <w14:schemeClr w14:val="tx1"/>
                  </w14:solidFill>
                </w14:textFill>
              </w:rPr>
              <w:t>m</w:t>
            </w:r>
            <w:r>
              <w:rPr>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，19600</w:t>
            </w:r>
            <w:r>
              <w:rPr>
                <w:color w:val="000000" w:themeColor="text1"/>
                <w:highlight w:val="none"/>
                <w:lang w:eastAsia="zh-CN"/>
                <w14:textFill>
                  <w14:solidFill>
                    <w14:schemeClr w14:val="tx1"/>
                  </w14:solidFill>
                </w14:textFill>
              </w:rPr>
              <w:t>m</w:t>
            </w:r>
            <w:r>
              <w:rPr>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；废水产生量为42</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14700</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；设备冲洗用水量为0.4</w:t>
            </w:r>
            <w:r>
              <w:rPr>
                <w:color w:val="000000" w:themeColor="text1"/>
                <w:highlight w:val="none"/>
                <w:lang w:eastAsia="zh-CN"/>
                <w14:textFill>
                  <w14:solidFill>
                    <w14:schemeClr w14:val="tx1"/>
                  </w14:solidFill>
                </w14:textFill>
              </w:rPr>
              <w:t>m</w:t>
            </w:r>
            <w:r>
              <w:rPr>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/d，140</w:t>
            </w:r>
            <w:r>
              <w:rPr>
                <w:color w:val="000000" w:themeColor="text1"/>
                <w:highlight w:val="none"/>
                <w:lang w:eastAsia="zh-CN"/>
                <w14:textFill>
                  <w14:solidFill>
                    <w14:schemeClr w14:val="tx1"/>
                  </w14:solidFill>
                </w14:textFill>
              </w:rPr>
              <w:t>m</w:t>
            </w:r>
            <w:r>
              <w:rPr>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，废水产生量为0.32</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112</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；地坪冲洗用水量为1.72</w:t>
            </w:r>
            <w:r>
              <w:rPr>
                <w:color w:val="000000" w:themeColor="text1"/>
                <w:highlight w:val="none"/>
                <w:lang w:eastAsia="zh-CN"/>
                <w14:textFill>
                  <w14:solidFill>
                    <w14:schemeClr w14:val="tx1"/>
                  </w14:solidFill>
                </w14:textFill>
              </w:rPr>
              <w:t>m</w:t>
            </w:r>
            <w:r>
              <w:rPr>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/d，602</w:t>
            </w:r>
            <w:r>
              <w:rPr>
                <w:color w:val="000000" w:themeColor="text1"/>
                <w:highlight w:val="none"/>
                <w:lang w:eastAsia="zh-CN"/>
                <w14:textFill>
                  <w14:solidFill>
                    <w14:schemeClr w14:val="tx1"/>
                  </w14:solidFill>
                </w14:textFill>
              </w:rPr>
              <w:t>m</w:t>
            </w:r>
            <w:r>
              <w:rPr>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，废水产生量为1.38</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483</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；项目产生的生产废水主要为待宰区、屠宰车间地坪冲洗、屠宰车间生产用水等废水经管道流入现有的污水处理系统进行处理，达到</w:t>
            </w:r>
            <w:r>
              <w:rPr>
                <w:rFonts w:hint="eastAsia" w:cs="Times New Roman"/>
                <w:highlight w:val="none"/>
                <w:lang w:val="zh-CN" w:eastAsia="zh-CN"/>
              </w:rPr>
              <w:t>《城市污水再生利用</w:t>
            </w:r>
            <w:r>
              <w:rPr>
                <w:rFonts w:hint="eastAsia" w:cs="Times New Roman"/>
                <w:highlight w:val="none"/>
                <w:lang w:eastAsia="zh-CN"/>
              </w:rPr>
              <w:t xml:space="preserve"> </w:t>
            </w:r>
            <w:r>
              <w:rPr>
                <w:rFonts w:hint="eastAsia" w:cs="Times New Roman"/>
                <w:highlight w:val="none"/>
                <w:lang w:val="zh-CN" w:eastAsia="zh-CN"/>
              </w:rPr>
              <w:t>城市杂用水水质》（GB/T18920-20</w:t>
            </w:r>
            <w:r>
              <w:rPr>
                <w:rFonts w:hint="eastAsia" w:cs="Times New Roman"/>
                <w:highlight w:val="none"/>
                <w:lang w:eastAsia="zh-CN"/>
              </w:rPr>
              <w:t>20</w:t>
            </w:r>
            <w:r>
              <w:rPr>
                <w:rFonts w:hint="eastAsia" w:cs="Times New Roman"/>
                <w:highlight w:val="none"/>
                <w:lang w:val="zh-CN" w:eastAsia="zh-CN"/>
              </w:rPr>
              <w:t>）</w:t>
            </w:r>
            <w:r>
              <w:rPr>
                <w:rFonts w:hint="eastAsia" w:cs="Times New Roman"/>
                <w:highlight w:val="none"/>
                <w:lang w:eastAsia="zh-CN"/>
              </w:rPr>
              <w:t>中标准限值</w:t>
            </w:r>
            <w:r>
              <w:rPr>
                <w:rFonts w:hint="eastAsia"/>
                <w:color w:val="000000" w:themeColor="text1"/>
                <w:highlight w:val="none"/>
                <w:lang w:eastAsia="zh-CN"/>
                <w14:textFill>
                  <w14:solidFill>
                    <w14:schemeClr w14:val="tx1"/>
                  </w14:solidFill>
                </w14:textFill>
              </w:rPr>
              <w:t>后综合利用于绿化浇灌，清洁卫生和喷洒扬尘等，不外排。</w:t>
            </w:r>
          </w:p>
          <w:p w14:paraId="7C510A9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③回用喷洒用水</w:t>
            </w:r>
          </w:p>
          <w:p w14:paraId="4C0F9D64">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根据</w:t>
            </w:r>
            <w:r>
              <w:rPr>
                <w:rFonts w:hint="eastAsia"/>
                <w:color w:val="000000" w:themeColor="text1"/>
                <w:highlight w:val="none"/>
                <w:lang w:eastAsia="zh-CN"/>
                <w14:textFill>
                  <w14:solidFill>
                    <w14:schemeClr w14:val="tx1"/>
                  </w14:solidFill>
                </w14:textFill>
              </w:rPr>
              <w:t>前文计算可知</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厂区</w:t>
            </w:r>
            <w:r>
              <w:rPr>
                <w:color w:val="000000" w:themeColor="text1"/>
                <w:highlight w:val="none"/>
                <w:lang w:eastAsia="zh-CN"/>
                <w14:textFill>
                  <w14:solidFill>
                    <w14:schemeClr w14:val="tx1"/>
                  </w14:solidFill>
                </w14:textFill>
              </w:rPr>
              <w:t>道路及广场</w:t>
            </w:r>
            <w:r>
              <w:rPr>
                <w:rFonts w:hint="eastAsia"/>
                <w:color w:val="000000" w:themeColor="text1"/>
                <w:highlight w:val="none"/>
                <w:lang w:eastAsia="zh-CN"/>
                <w14:textFill>
                  <w14:solidFill>
                    <w14:schemeClr w14:val="tx1"/>
                  </w14:solidFill>
                </w14:textFill>
              </w:rPr>
              <w:t>浇洒</w:t>
            </w:r>
            <w:r>
              <w:rPr>
                <w:color w:val="000000" w:themeColor="text1"/>
                <w:highlight w:val="none"/>
                <w:lang w:eastAsia="zh-CN"/>
                <w14:textFill>
                  <w14:solidFill>
                    <w14:schemeClr w14:val="tx1"/>
                  </w14:solidFill>
                </w14:textFill>
              </w:rPr>
              <w:t>用水</w:t>
            </w:r>
            <w:r>
              <w:rPr>
                <w:rFonts w:hint="eastAsia"/>
                <w:color w:val="000000" w:themeColor="text1"/>
                <w:highlight w:val="none"/>
                <w:lang w:eastAsia="zh-CN"/>
                <w14:textFill>
                  <w14:solidFill>
                    <w14:schemeClr w14:val="tx1"/>
                  </w14:solidFill>
                </w14:textFill>
              </w:rPr>
              <w:t>量</w:t>
            </w:r>
            <w:r>
              <w:rPr>
                <w:color w:val="000000" w:themeColor="text1"/>
                <w:highlight w:val="none"/>
                <w:lang w:eastAsia="zh-CN"/>
                <w14:textFill>
                  <w14:solidFill>
                    <w14:schemeClr w14:val="tx1"/>
                  </w14:solidFill>
                </w14:textFill>
              </w:rPr>
              <w:t>约为</w:t>
            </w:r>
            <w:r>
              <w:rPr>
                <w:rFonts w:hint="eastAsia"/>
                <w:color w:val="000000" w:themeColor="text1"/>
                <w:highlight w:val="none"/>
                <w:lang w:eastAsia="zh-CN"/>
                <w14:textFill>
                  <w14:solidFill>
                    <w14:schemeClr w14:val="tx1"/>
                  </w14:solidFill>
                </w14:textFill>
              </w:rPr>
              <w:t>46.8</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9360</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，可全部回用，不外排</w:t>
            </w:r>
            <w:r>
              <w:rPr>
                <w:color w:val="000000" w:themeColor="text1"/>
                <w:highlight w:val="none"/>
                <w:lang w:eastAsia="zh-CN"/>
                <w14:textFill>
                  <w14:solidFill>
                    <w14:schemeClr w14:val="tx1"/>
                  </w14:solidFill>
                </w14:textFill>
              </w:rPr>
              <w:t>。道路及广场</w:t>
            </w:r>
            <w:r>
              <w:rPr>
                <w:rFonts w:hint="eastAsia"/>
                <w:color w:val="000000" w:themeColor="text1"/>
                <w:highlight w:val="none"/>
                <w:lang w:eastAsia="zh-CN"/>
                <w14:textFill>
                  <w14:solidFill>
                    <w14:schemeClr w14:val="tx1"/>
                  </w14:solidFill>
                </w14:textFill>
              </w:rPr>
              <w:t>浇洒</w:t>
            </w:r>
            <w:r>
              <w:rPr>
                <w:color w:val="000000" w:themeColor="text1"/>
                <w:highlight w:val="none"/>
                <w:lang w:eastAsia="zh-CN"/>
                <w14:textFill>
                  <w14:solidFill>
                    <w14:schemeClr w14:val="tx1"/>
                  </w14:solidFill>
                </w14:textFill>
              </w:rPr>
              <w:t>用水</w:t>
            </w:r>
            <w:r>
              <w:rPr>
                <w:rFonts w:hint="eastAsia"/>
                <w:color w:val="000000" w:themeColor="text1"/>
                <w:highlight w:val="none"/>
                <w:lang w:eastAsia="zh-CN"/>
                <w14:textFill>
                  <w14:solidFill>
                    <w14:schemeClr w14:val="tx1"/>
                  </w14:solidFill>
                </w14:textFill>
              </w:rPr>
              <w:t>浇洒</w:t>
            </w:r>
            <w:r>
              <w:rPr>
                <w:color w:val="000000" w:themeColor="text1"/>
                <w:highlight w:val="none"/>
                <w:lang w:eastAsia="zh-CN"/>
                <w14:textFill>
                  <w14:solidFill>
                    <w14:schemeClr w14:val="tx1"/>
                  </w14:solidFill>
                </w14:textFill>
              </w:rPr>
              <w:t>在地上后，随蒸发消散，无污水产生。</w:t>
            </w:r>
          </w:p>
          <w:p w14:paraId="0E15E610">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（2）废水中污染物产排量核算</w:t>
            </w:r>
          </w:p>
          <w:p w14:paraId="7927BA64">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根据建设单位提供资料，本项目肉羊屠宰不分淡旺季，厂区原污水产生量为187.97</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，其中牛市预计2025年内搬迁将在减少60</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废水，本项目废水产生总量为43.7</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（15295</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），污水处理站处理规模为250m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/d，可容纳新增污水。本项目废水主要包括屠宰废水、设备冲洗废水及地坪冲洗废水。废水经地面集水管道收集后排入现有的污水处理系统进行处理。</w:t>
            </w:r>
          </w:p>
          <w:p w14:paraId="04269295">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废水水质参照《屠宰与肉类加工废水治理工程技术规范》（HJ2004-2010）中屠宰废水水质设计，总磷、总氮参照《排放源统计调查产排污核算方法和系数手册135屠宰及肉类加工行业系数手册》（公告2021年第24号）中屠宰废水水质进行折算，具体情况见下表4-6及4-7：</w:t>
            </w:r>
          </w:p>
          <w:p w14:paraId="56D2022B">
            <w:pPr>
              <w:pStyle w:val="30"/>
              <w:rPr>
                <w:rFonts w:hint="default"/>
                <w:highlight w:val="none"/>
              </w:rPr>
            </w:pPr>
            <w:r>
              <w:rPr>
                <w:highlight w:val="none"/>
              </w:rPr>
              <w:t>表4-6项目屠宰、设备及地坪冲洗废水水质情况一览表</w:t>
            </w:r>
          </w:p>
          <w:tbl>
            <w:tblPr>
              <w:tblStyle w:val="21"/>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663"/>
              <w:gridCol w:w="2774"/>
              <w:gridCol w:w="1387"/>
              <w:gridCol w:w="1387"/>
            </w:tblGrid>
            <w:tr w14:paraId="12D4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vAlign w:val="center"/>
                </w:tcPr>
                <w:p w14:paraId="51AA139F">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污染物</w:t>
                  </w:r>
                </w:p>
              </w:tc>
              <w:tc>
                <w:tcPr>
                  <w:tcW w:w="1663" w:type="dxa"/>
                  <w:vMerge w:val="restart"/>
                  <w:vAlign w:val="center"/>
                </w:tcPr>
                <w:p w14:paraId="04BF991A">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《屠宰与肉类加工废水治理工程技术规范》（HJ2004-2010）（单位：mg/L）</w:t>
                  </w:r>
                </w:p>
              </w:tc>
              <w:tc>
                <w:tcPr>
                  <w:tcW w:w="4161" w:type="dxa"/>
                  <w:gridSpan w:val="2"/>
                  <w:vAlign w:val="center"/>
                </w:tcPr>
                <w:p w14:paraId="456121DC">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《排放源统计调查产排污核算方法和系数手册135屠宰及肉类加工行业系数手册》（公告2021年第24号）</w:t>
                  </w:r>
                </w:p>
              </w:tc>
              <w:tc>
                <w:tcPr>
                  <w:tcW w:w="1387" w:type="dxa"/>
                  <w:vMerge w:val="restart"/>
                  <w:vAlign w:val="center"/>
                </w:tcPr>
                <w:p w14:paraId="3A5CBD3A">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本次环评取值（单位：mg/L）</w:t>
                  </w:r>
                </w:p>
              </w:tc>
            </w:tr>
            <w:tr w14:paraId="4E1F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vAlign w:val="center"/>
                </w:tcPr>
                <w:p w14:paraId="73791090">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1663" w:type="dxa"/>
                  <w:vMerge w:val="continue"/>
                  <w:vAlign w:val="center"/>
                </w:tcPr>
                <w:p w14:paraId="067D4DF7">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p>
              </w:tc>
              <w:tc>
                <w:tcPr>
                  <w:tcW w:w="2774" w:type="dxa"/>
                  <w:vAlign w:val="center"/>
                </w:tcPr>
                <w:p w14:paraId="1024B4B5">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标准</w:t>
                  </w:r>
                </w:p>
              </w:tc>
              <w:tc>
                <w:tcPr>
                  <w:tcW w:w="1387" w:type="dxa"/>
                  <w:vAlign w:val="center"/>
                </w:tcPr>
                <w:p w14:paraId="6B352B2A">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换算值（单位：mg/L）</w:t>
                  </w:r>
                </w:p>
              </w:tc>
              <w:tc>
                <w:tcPr>
                  <w:tcW w:w="1387" w:type="dxa"/>
                  <w:vMerge w:val="continue"/>
                  <w:vAlign w:val="center"/>
                </w:tcPr>
                <w:p w14:paraId="71C5D8ED">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r>
            <w:tr w14:paraId="0AAD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3802D70E">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PH（无量纲）</w:t>
                  </w:r>
                </w:p>
              </w:tc>
              <w:tc>
                <w:tcPr>
                  <w:tcW w:w="1663" w:type="dxa"/>
                  <w:vAlign w:val="center"/>
                </w:tcPr>
                <w:p w14:paraId="6000FA38">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6.5~7.5</w:t>
                  </w:r>
                </w:p>
              </w:tc>
              <w:tc>
                <w:tcPr>
                  <w:tcW w:w="2774" w:type="dxa"/>
                  <w:vAlign w:val="center"/>
                </w:tcPr>
                <w:p w14:paraId="208C10C9">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1387" w:type="dxa"/>
                  <w:vAlign w:val="center"/>
                </w:tcPr>
                <w:p w14:paraId="386CABB6">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1387" w:type="dxa"/>
                  <w:vAlign w:val="center"/>
                </w:tcPr>
                <w:p w14:paraId="3C0443E7">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6.5~7.5</w:t>
                  </w:r>
                </w:p>
              </w:tc>
            </w:tr>
            <w:tr w14:paraId="2741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47972905">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CODcr</w:t>
                  </w:r>
                </w:p>
              </w:tc>
              <w:tc>
                <w:tcPr>
                  <w:tcW w:w="1663" w:type="dxa"/>
                  <w:vAlign w:val="center"/>
                </w:tcPr>
                <w:p w14:paraId="0D0D8BC5">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1500~2000</w:t>
                  </w:r>
                </w:p>
              </w:tc>
              <w:tc>
                <w:tcPr>
                  <w:tcW w:w="2774" w:type="dxa"/>
                  <w:vAlign w:val="center"/>
                </w:tcPr>
                <w:p w14:paraId="5BB7CE12">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471g/只</w:t>
                  </w:r>
                </w:p>
              </w:tc>
              <w:tc>
                <w:tcPr>
                  <w:tcW w:w="1387" w:type="dxa"/>
                  <w:vAlign w:val="center"/>
                </w:tcPr>
                <w:p w14:paraId="356969A6">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1508</w:t>
                  </w:r>
                </w:p>
              </w:tc>
              <w:tc>
                <w:tcPr>
                  <w:tcW w:w="1387" w:type="dxa"/>
                  <w:vAlign w:val="center"/>
                </w:tcPr>
                <w:p w14:paraId="2806C85E">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2000</w:t>
                  </w:r>
                </w:p>
              </w:tc>
            </w:tr>
            <w:tr w14:paraId="1E3F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17F5532A">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氨氮</w:t>
                  </w:r>
                </w:p>
              </w:tc>
              <w:tc>
                <w:tcPr>
                  <w:tcW w:w="1663" w:type="dxa"/>
                  <w:vAlign w:val="center"/>
                </w:tcPr>
                <w:p w14:paraId="398441AF">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50~150</w:t>
                  </w:r>
                </w:p>
              </w:tc>
              <w:tc>
                <w:tcPr>
                  <w:tcW w:w="2774" w:type="dxa"/>
                  <w:vAlign w:val="center"/>
                </w:tcPr>
                <w:p w14:paraId="21D89EBB">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18g/只</w:t>
                  </w:r>
                </w:p>
              </w:tc>
              <w:tc>
                <w:tcPr>
                  <w:tcW w:w="1387" w:type="dxa"/>
                  <w:vAlign w:val="center"/>
                </w:tcPr>
                <w:p w14:paraId="0E4E42B4">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57.7</w:t>
                  </w:r>
                </w:p>
              </w:tc>
              <w:tc>
                <w:tcPr>
                  <w:tcW w:w="1387" w:type="dxa"/>
                  <w:vAlign w:val="center"/>
                </w:tcPr>
                <w:p w14:paraId="6B61B3E7">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150</w:t>
                  </w:r>
                </w:p>
              </w:tc>
            </w:tr>
            <w:tr w14:paraId="4D18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07307028">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BOD</w:t>
                  </w:r>
                  <w:r>
                    <w:rPr>
                      <w:rFonts w:hint="eastAsia"/>
                      <w:color w:val="000000" w:themeColor="text1"/>
                      <w:kern w:val="0"/>
                      <w:sz w:val="21"/>
                      <w:szCs w:val="21"/>
                      <w:highlight w:val="none"/>
                      <w:vertAlign w:val="subscript"/>
                      <w:lang w:eastAsia="zh-CN" w:bidi="ar"/>
                      <w14:textFill>
                        <w14:solidFill>
                          <w14:schemeClr w14:val="tx1"/>
                        </w14:solidFill>
                      </w14:textFill>
                    </w:rPr>
                    <w:t>5</w:t>
                  </w:r>
                </w:p>
              </w:tc>
              <w:tc>
                <w:tcPr>
                  <w:tcW w:w="1663" w:type="dxa"/>
                  <w:vAlign w:val="center"/>
                </w:tcPr>
                <w:p w14:paraId="684B7137">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750~1000</w:t>
                  </w:r>
                </w:p>
              </w:tc>
              <w:tc>
                <w:tcPr>
                  <w:tcW w:w="2774" w:type="dxa"/>
                  <w:vAlign w:val="center"/>
                </w:tcPr>
                <w:p w14:paraId="31433E25">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1387" w:type="dxa"/>
                  <w:vAlign w:val="center"/>
                </w:tcPr>
                <w:p w14:paraId="7BB3F23F">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1387" w:type="dxa"/>
                  <w:vAlign w:val="center"/>
                </w:tcPr>
                <w:p w14:paraId="41614ECD">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1000</w:t>
                  </w:r>
                </w:p>
              </w:tc>
            </w:tr>
            <w:tr w14:paraId="6192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4F9516BC">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动植物油</w:t>
                  </w:r>
                </w:p>
              </w:tc>
              <w:tc>
                <w:tcPr>
                  <w:tcW w:w="1663" w:type="dxa"/>
                  <w:vAlign w:val="center"/>
                </w:tcPr>
                <w:p w14:paraId="259603B0">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50~200</w:t>
                  </w:r>
                </w:p>
              </w:tc>
              <w:tc>
                <w:tcPr>
                  <w:tcW w:w="2774" w:type="dxa"/>
                  <w:vAlign w:val="center"/>
                </w:tcPr>
                <w:p w14:paraId="0718452B">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1387" w:type="dxa"/>
                  <w:vAlign w:val="center"/>
                </w:tcPr>
                <w:p w14:paraId="49222803">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1387" w:type="dxa"/>
                  <w:vAlign w:val="center"/>
                </w:tcPr>
                <w:p w14:paraId="3E65C711">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200</w:t>
                  </w:r>
                </w:p>
              </w:tc>
            </w:tr>
            <w:tr w14:paraId="3BAC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54ABEBF8">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SS</w:t>
                  </w:r>
                </w:p>
              </w:tc>
              <w:tc>
                <w:tcPr>
                  <w:tcW w:w="1663" w:type="dxa"/>
                  <w:vAlign w:val="center"/>
                </w:tcPr>
                <w:p w14:paraId="62885EBC">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750~1000</w:t>
                  </w:r>
                </w:p>
              </w:tc>
              <w:tc>
                <w:tcPr>
                  <w:tcW w:w="2774" w:type="dxa"/>
                  <w:vAlign w:val="center"/>
                </w:tcPr>
                <w:p w14:paraId="24A743BE">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1387" w:type="dxa"/>
                  <w:vAlign w:val="center"/>
                </w:tcPr>
                <w:p w14:paraId="3FDE83A6">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1387" w:type="dxa"/>
                  <w:vAlign w:val="center"/>
                </w:tcPr>
                <w:p w14:paraId="566D56EA">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1000</w:t>
                  </w:r>
                </w:p>
              </w:tc>
            </w:tr>
            <w:tr w14:paraId="4029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555A6D81">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总磷</w:t>
                  </w:r>
                </w:p>
              </w:tc>
              <w:tc>
                <w:tcPr>
                  <w:tcW w:w="1663" w:type="dxa"/>
                  <w:vAlign w:val="center"/>
                </w:tcPr>
                <w:p w14:paraId="0927D8F1">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2774" w:type="dxa"/>
                  <w:vAlign w:val="center"/>
                </w:tcPr>
                <w:p w14:paraId="58BA3851">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5.8g/只</w:t>
                  </w:r>
                </w:p>
              </w:tc>
              <w:tc>
                <w:tcPr>
                  <w:tcW w:w="1387" w:type="dxa"/>
                  <w:vAlign w:val="center"/>
                </w:tcPr>
                <w:p w14:paraId="7B0F600D">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18.6</w:t>
                  </w:r>
                </w:p>
              </w:tc>
              <w:tc>
                <w:tcPr>
                  <w:tcW w:w="1387" w:type="dxa"/>
                  <w:vAlign w:val="center"/>
                </w:tcPr>
                <w:p w14:paraId="17E4D0C1">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18.6</w:t>
                  </w:r>
                </w:p>
              </w:tc>
            </w:tr>
            <w:tr w14:paraId="4DAF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Align w:val="center"/>
                </w:tcPr>
                <w:p w14:paraId="0A15E2DF">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总氮</w:t>
                  </w:r>
                </w:p>
              </w:tc>
              <w:tc>
                <w:tcPr>
                  <w:tcW w:w="1663" w:type="dxa"/>
                  <w:vAlign w:val="center"/>
                </w:tcPr>
                <w:p w14:paraId="04AD4022">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w:t>
                  </w:r>
                </w:p>
              </w:tc>
              <w:tc>
                <w:tcPr>
                  <w:tcW w:w="2774" w:type="dxa"/>
                  <w:vAlign w:val="center"/>
                </w:tcPr>
                <w:p w14:paraId="058217E5">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48g/只</w:t>
                  </w:r>
                </w:p>
              </w:tc>
              <w:tc>
                <w:tcPr>
                  <w:tcW w:w="1387" w:type="dxa"/>
                  <w:vAlign w:val="center"/>
                </w:tcPr>
                <w:p w14:paraId="6ADB60DD">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144</w:t>
                  </w:r>
                </w:p>
              </w:tc>
              <w:tc>
                <w:tcPr>
                  <w:tcW w:w="1387" w:type="dxa"/>
                  <w:vAlign w:val="center"/>
                </w:tcPr>
                <w:p w14:paraId="7D1FF2B8">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144</w:t>
                  </w:r>
                </w:p>
              </w:tc>
            </w:tr>
          </w:tbl>
          <w:p w14:paraId="61EF7500">
            <w:pPr>
              <w:widowControl/>
              <w:jc w:val="center"/>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表4-7扩建项目屠宰、设备及地坪冲洗废水污染物产排情况一览表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6"/>
              <w:gridCol w:w="985"/>
              <w:gridCol w:w="985"/>
              <w:gridCol w:w="1143"/>
              <w:gridCol w:w="1349"/>
              <w:gridCol w:w="13"/>
              <w:gridCol w:w="1092"/>
              <w:gridCol w:w="13"/>
              <w:gridCol w:w="1092"/>
              <w:gridCol w:w="1105"/>
              <w:gridCol w:w="15"/>
            </w:tblGrid>
            <w:tr w14:paraId="65F3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10" w:type="pct"/>
                  <w:vMerge w:val="restart"/>
                  <w:vAlign w:val="center"/>
                </w:tcPr>
                <w:p w14:paraId="3A685FDC">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废水类别</w:t>
                  </w:r>
                </w:p>
              </w:tc>
              <w:tc>
                <w:tcPr>
                  <w:tcW w:w="592" w:type="pct"/>
                  <w:vMerge w:val="restart"/>
                  <w:vAlign w:val="center"/>
                </w:tcPr>
                <w:p w14:paraId="5132531D">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产生量（m</w:t>
                  </w:r>
                  <w:r>
                    <w:rPr>
                      <w:rFonts w:hint="eastAsia"/>
                      <w:b/>
                      <w:bCs/>
                      <w:color w:val="000000" w:themeColor="text1"/>
                      <w:kern w:val="0"/>
                      <w:sz w:val="21"/>
                      <w:szCs w:val="21"/>
                      <w:highlight w:val="none"/>
                      <w:vertAlign w:val="superscript"/>
                      <w:lang w:eastAsia="zh-CN" w:bidi="ar"/>
                      <w14:textFill>
                        <w14:solidFill>
                          <w14:schemeClr w14:val="tx1"/>
                        </w14:solidFill>
                      </w14:textFill>
                    </w:rPr>
                    <w:t>3</w:t>
                  </w:r>
                  <w:r>
                    <w:rPr>
                      <w:rFonts w:hint="eastAsia"/>
                      <w:b/>
                      <w:bCs/>
                      <w:color w:val="000000" w:themeColor="text1"/>
                      <w:kern w:val="0"/>
                      <w:sz w:val="21"/>
                      <w:szCs w:val="21"/>
                      <w:highlight w:val="none"/>
                      <w:lang w:eastAsia="zh-CN" w:bidi="ar"/>
                      <w14:textFill>
                        <w14:solidFill>
                          <w14:schemeClr w14:val="tx1"/>
                        </w14:solidFill>
                      </w14:textFill>
                    </w:rPr>
                    <w:t>/a）</w:t>
                  </w:r>
                </w:p>
              </w:tc>
              <w:tc>
                <w:tcPr>
                  <w:tcW w:w="592" w:type="pct"/>
                  <w:vMerge w:val="restart"/>
                  <w:vAlign w:val="center"/>
                </w:tcPr>
                <w:p w14:paraId="12AB515C">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污染物</w:t>
                  </w:r>
                </w:p>
              </w:tc>
              <w:tc>
                <w:tcPr>
                  <w:tcW w:w="1508" w:type="pct"/>
                  <w:gridSpan w:val="3"/>
                  <w:tcBorders>
                    <w:bottom w:val="single" w:color="auto" w:sz="2" w:space="0"/>
                  </w:tcBorders>
                  <w:vAlign w:val="center"/>
                </w:tcPr>
                <w:p w14:paraId="515CF762">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污染物产生</w:t>
                  </w:r>
                </w:p>
              </w:tc>
              <w:tc>
                <w:tcPr>
                  <w:tcW w:w="665" w:type="pct"/>
                  <w:gridSpan w:val="2"/>
                  <w:vAlign w:val="center"/>
                </w:tcPr>
                <w:p w14:paraId="768B56F2">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治理</w:t>
                  </w:r>
                </w:p>
              </w:tc>
              <w:tc>
                <w:tcPr>
                  <w:tcW w:w="1331" w:type="pct"/>
                  <w:gridSpan w:val="3"/>
                  <w:vAlign w:val="center"/>
                </w:tcPr>
                <w:p w14:paraId="5A9374C7">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污染物回用</w:t>
                  </w:r>
                </w:p>
              </w:tc>
            </w:tr>
            <w:tr w14:paraId="2441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trHeight w:val="340" w:hRule="atLeast"/>
                <w:jc w:val="center"/>
              </w:trPr>
              <w:tc>
                <w:tcPr>
                  <w:tcW w:w="310" w:type="pct"/>
                  <w:vMerge w:val="continue"/>
                  <w:vAlign w:val="center"/>
                </w:tcPr>
                <w:p w14:paraId="58251BC3">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p>
              </w:tc>
              <w:tc>
                <w:tcPr>
                  <w:tcW w:w="592" w:type="pct"/>
                  <w:vMerge w:val="continue"/>
                  <w:vAlign w:val="center"/>
                </w:tcPr>
                <w:p w14:paraId="22A6DBFD">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p>
              </w:tc>
              <w:tc>
                <w:tcPr>
                  <w:tcW w:w="592" w:type="pct"/>
                  <w:vMerge w:val="continue"/>
                  <w:vAlign w:val="center"/>
                </w:tcPr>
                <w:p w14:paraId="76522BB5">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p>
              </w:tc>
              <w:tc>
                <w:tcPr>
                  <w:tcW w:w="688" w:type="pct"/>
                  <w:tcBorders>
                    <w:top w:val="single" w:color="auto" w:sz="2" w:space="0"/>
                  </w:tcBorders>
                  <w:vAlign w:val="center"/>
                </w:tcPr>
                <w:p w14:paraId="4963C4CD">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产生浓度（</w:t>
                  </w:r>
                  <w:r>
                    <w:rPr>
                      <w:b/>
                      <w:bCs/>
                      <w:color w:val="000000" w:themeColor="text1"/>
                      <w:kern w:val="0"/>
                      <w:sz w:val="21"/>
                      <w:szCs w:val="21"/>
                      <w:highlight w:val="none"/>
                      <w:lang w:eastAsia="zh-CN" w:bidi="ar"/>
                      <w14:textFill>
                        <w14:solidFill>
                          <w14:schemeClr w14:val="tx1"/>
                        </w14:solidFill>
                      </w14:textFill>
                    </w:rPr>
                    <w:t>mg/L</w:t>
                  </w:r>
                  <w:r>
                    <w:rPr>
                      <w:rFonts w:hint="eastAsia"/>
                      <w:b/>
                      <w:bCs/>
                      <w:color w:val="000000" w:themeColor="text1"/>
                      <w:kern w:val="0"/>
                      <w:sz w:val="21"/>
                      <w:szCs w:val="21"/>
                      <w:highlight w:val="none"/>
                      <w:lang w:eastAsia="zh-CN" w:bidi="ar"/>
                      <w14:textFill>
                        <w14:solidFill>
                          <w14:schemeClr w14:val="tx1"/>
                        </w14:solidFill>
                      </w14:textFill>
                    </w:rPr>
                    <w:t>）</w:t>
                  </w:r>
                </w:p>
              </w:tc>
              <w:tc>
                <w:tcPr>
                  <w:tcW w:w="812" w:type="pct"/>
                  <w:tcBorders>
                    <w:top w:val="single" w:color="auto" w:sz="2" w:space="0"/>
                  </w:tcBorders>
                  <w:vAlign w:val="center"/>
                </w:tcPr>
                <w:p w14:paraId="1381C4AB">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产生量（</w:t>
                  </w:r>
                  <w:r>
                    <w:rPr>
                      <w:b/>
                      <w:bCs/>
                      <w:color w:val="000000" w:themeColor="text1"/>
                      <w:kern w:val="0"/>
                      <w:sz w:val="21"/>
                      <w:szCs w:val="21"/>
                      <w:highlight w:val="none"/>
                      <w:lang w:eastAsia="zh-CN" w:bidi="ar"/>
                      <w14:textFill>
                        <w14:solidFill>
                          <w14:schemeClr w14:val="tx1"/>
                        </w14:solidFill>
                      </w14:textFill>
                    </w:rPr>
                    <w:t>t/a</w:t>
                  </w:r>
                  <w:r>
                    <w:rPr>
                      <w:rFonts w:hint="eastAsia"/>
                      <w:b/>
                      <w:bCs/>
                      <w:color w:val="000000" w:themeColor="text1"/>
                      <w:kern w:val="0"/>
                      <w:sz w:val="21"/>
                      <w:szCs w:val="21"/>
                      <w:highlight w:val="none"/>
                      <w:lang w:eastAsia="zh-CN" w:bidi="ar"/>
                      <w14:textFill>
                        <w14:solidFill>
                          <w14:schemeClr w14:val="tx1"/>
                        </w14:solidFill>
                      </w14:textFill>
                    </w:rPr>
                    <w:t>）</w:t>
                  </w:r>
                </w:p>
              </w:tc>
              <w:tc>
                <w:tcPr>
                  <w:tcW w:w="665" w:type="pct"/>
                  <w:gridSpan w:val="2"/>
                  <w:vAlign w:val="center"/>
                </w:tcPr>
                <w:p w14:paraId="74627F94">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措施</w:t>
                  </w:r>
                </w:p>
              </w:tc>
              <w:tc>
                <w:tcPr>
                  <w:tcW w:w="665" w:type="pct"/>
                  <w:gridSpan w:val="2"/>
                  <w:vAlign w:val="center"/>
                </w:tcPr>
                <w:p w14:paraId="01C53819">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回用浓度（</w:t>
                  </w:r>
                  <w:r>
                    <w:rPr>
                      <w:b/>
                      <w:bCs/>
                      <w:color w:val="000000" w:themeColor="text1"/>
                      <w:kern w:val="0"/>
                      <w:sz w:val="21"/>
                      <w:szCs w:val="21"/>
                      <w:highlight w:val="none"/>
                      <w:lang w:eastAsia="zh-CN" w:bidi="ar"/>
                      <w14:textFill>
                        <w14:solidFill>
                          <w14:schemeClr w14:val="tx1"/>
                        </w14:solidFill>
                      </w14:textFill>
                    </w:rPr>
                    <w:t>mg/L</w:t>
                  </w:r>
                  <w:r>
                    <w:rPr>
                      <w:rFonts w:hint="eastAsia"/>
                      <w:b/>
                      <w:bCs/>
                      <w:color w:val="000000" w:themeColor="text1"/>
                      <w:kern w:val="0"/>
                      <w:sz w:val="21"/>
                      <w:szCs w:val="21"/>
                      <w:highlight w:val="none"/>
                      <w:lang w:eastAsia="zh-CN" w:bidi="ar"/>
                      <w14:textFill>
                        <w14:solidFill>
                          <w14:schemeClr w14:val="tx1"/>
                        </w14:solidFill>
                      </w14:textFill>
                    </w:rPr>
                    <w:t>）</w:t>
                  </w:r>
                </w:p>
              </w:tc>
              <w:tc>
                <w:tcPr>
                  <w:tcW w:w="665" w:type="pct"/>
                  <w:vAlign w:val="center"/>
                </w:tcPr>
                <w:p w14:paraId="0605B6C8">
                  <w:pPr>
                    <w:pStyle w:val="34"/>
                    <w:widowControl/>
                    <w:spacing w:line="240" w:lineRule="auto"/>
                    <w:ind w:firstLine="0" w:firstLineChars="0"/>
                    <w:jc w:val="center"/>
                    <w:rPr>
                      <w:b/>
                      <w:bCs/>
                      <w:color w:val="000000" w:themeColor="text1"/>
                      <w:kern w:val="0"/>
                      <w:sz w:val="21"/>
                      <w:szCs w:val="21"/>
                      <w:highlight w:val="none"/>
                      <w:lang w:eastAsia="zh-CN" w:bidi="ar"/>
                      <w14:textFill>
                        <w14:solidFill>
                          <w14:schemeClr w14:val="tx1"/>
                        </w14:solidFill>
                      </w14:textFill>
                    </w:rPr>
                  </w:pPr>
                  <w:r>
                    <w:rPr>
                      <w:rFonts w:hint="eastAsia"/>
                      <w:b/>
                      <w:bCs/>
                      <w:color w:val="000000" w:themeColor="text1"/>
                      <w:kern w:val="0"/>
                      <w:sz w:val="21"/>
                      <w:szCs w:val="21"/>
                      <w:highlight w:val="none"/>
                      <w:lang w:eastAsia="zh-CN" w:bidi="ar"/>
                      <w14:textFill>
                        <w14:solidFill>
                          <w14:schemeClr w14:val="tx1"/>
                        </w14:solidFill>
                      </w14:textFill>
                    </w:rPr>
                    <w:t>回用量（</w:t>
                  </w:r>
                  <w:r>
                    <w:rPr>
                      <w:b/>
                      <w:bCs/>
                      <w:color w:val="000000" w:themeColor="text1"/>
                      <w:kern w:val="0"/>
                      <w:sz w:val="21"/>
                      <w:szCs w:val="21"/>
                      <w:highlight w:val="none"/>
                      <w:lang w:eastAsia="zh-CN" w:bidi="ar"/>
                      <w14:textFill>
                        <w14:solidFill>
                          <w14:schemeClr w14:val="tx1"/>
                        </w14:solidFill>
                      </w14:textFill>
                    </w:rPr>
                    <w:t>t/a</w:t>
                  </w:r>
                  <w:r>
                    <w:rPr>
                      <w:rFonts w:hint="eastAsia"/>
                      <w:b/>
                      <w:bCs/>
                      <w:color w:val="000000" w:themeColor="text1"/>
                      <w:kern w:val="0"/>
                      <w:sz w:val="21"/>
                      <w:szCs w:val="21"/>
                      <w:highlight w:val="none"/>
                      <w:lang w:eastAsia="zh-CN" w:bidi="ar"/>
                      <w14:textFill>
                        <w14:solidFill>
                          <w14:schemeClr w14:val="tx1"/>
                        </w14:solidFill>
                      </w14:textFill>
                    </w:rPr>
                    <w:t>）</w:t>
                  </w:r>
                </w:p>
              </w:tc>
            </w:tr>
            <w:tr w14:paraId="172E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trHeight w:val="340" w:hRule="atLeast"/>
                <w:jc w:val="center"/>
              </w:trPr>
              <w:tc>
                <w:tcPr>
                  <w:tcW w:w="310" w:type="pct"/>
                  <w:vMerge w:val="restart"/>
                  <w:vAlign w:val="center"/>
                </w:tcPr>
                <w:p w14:paraId="0A000E03">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屠宰、设备及地坪冲洗废水</w:t>
                  </w:r>
                </w:p>
              </w:tc>
              <w:tc>
                <w:tcPr>
                  <w:tcW w:w="592" w:type="pct"/>
                  <w:vMerge w:val="restart"/>
                  <w:vAlign w:val="center"/>
                </w:tcPr>
                <w:p w14:paraId="3F264F30">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15295</w:t>
                  </w:r>
                </w:p>
              </w:tc>
              <w:tc>
                <w:tcPr>
                  <w:tcW w:w="592" w:type="pct"/>
                  <w:vAlign w:val="center"/>
                </w:tcPr>
                <w:p w14:paraId="3BB8A836">
                  <w:pPr>
                    <w:pStyle w:val="34"/>
                    <w:widowControl/>
                    <w:spacing w:line="240" w:lineRule="auto"/>
                    <w:ind w:firstLine="0" w:firstLineChars="0"/>
                    <w:jc w:val="center"/>
                    <w:rPr>
                      <w:color w:val="000000" w:themeColor="text1"/>
                      <w:kern w:val="0"/>
                      <w:sz w:val="21"/>
                      <w:szCs w:val="21"/>
                      <w:highlight w:val="none"/>
                      <w:lang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CODcr</w:t>
                  </w:r>
                </w:p>
              </w:tc>
              <w:tc>
                <w:tcPr>
                  <w:tcW w:w="688" w:type="pct"/>
                  <w:vAlign w:val="center"/>
                </w:tcPr>
                <w:p w14:paraId="3619F197">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2000</w:t>
                  </w:r>
                </w:p>
              </w:tc>
              <w:tc>
                <w:tcPr>
                  <w:tcW w:w="812" w:type="pct"/>
                  <w:vAlign w:val="center"/>
                </w:tcPr>
                <w:p w14:paraId="1C55FCC2">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30.59</w:t>
                  </w:r>
                </w:p>
              </w:tc>
              <w:tc>
                <w:tcPr>
                  <w:tcW w:w="665" w:type="pct"/>
                  <w:gridSpan w:val="2"/>
                  <w:vMerge w:val="restart"/>
                  <w:vAlign w:val="center"/>
                </w:tcPr>
                <w:p w14:paraId="29CE5C38">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污水处理站处理，处理规模：250m</w:t>
                  </w:r>
                  <w:r>
                    <w:rPr>
                      <w:rFonts w:hint="eastAsia"/>
                      <w:color w:val="000000" w:themeColor="text1"/>
                      <w:kern w:val="0"/>
                      <w:sz w:val="21"/>
                      <w:szCs w:val="21"/>
                      <w:highlight w:val="none"/>
                      <w:vertAlign w:val="superscript"/>
                      <w:lang w:eastAsia="zh-CN" w:bidi="ar"/>
                      <w14:textFill>
                        <w14:solidFill>
                          <w14:schemeClr w14:val="tx1"/>
                        </w14:solidFill>
                      </w14:textFill>
                    </w:rPr>
                    <w:t>3</w:t>
                  </w:r>
                  <w:r>
                    <w:rPr>
                      <w:rFonts w:hint="eastAsia"/>
                      <w:color w:val="000000" w:themeColor="text1"/>
                      <w:kern w:val="0"/>
                      <w:sz w:val="21"/>
                      <w:szCs w:val="21"/>
                      <w:highlight w:val="none"/>
                      <w:lang w:eastAsia="zh-CN" w:bidi="ar"/>
                      <w14:textFill>
                        <w14:solidFill>
                          <w14:schemeClr w14:val="tx1"/>
                        </w14:solidFill>
                      </w14:textFill>
                    </w:rPr>
                    <w:t>/d，工艺“机械格栅+气浮+强化厌氧+接触氧化+过滤吸附+臭氧”</w:t>
                  </w:r>
                </w:p>
              </w:tc>
              <w:tc>
                <w:tcPr>
                  <w:tcW w:w="1125" w:type="dxa"/>
                  <w:gridSpan w:val="2"/>
                  <w:vAlign w:val="center"/>
                </w:tcPr>
                <w:p w14:paraId="6CB49D98">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200</w:t>
                  </w:r>
                </w:p>
              </w:tc>
              <w:tc>
                <w:tcPr>
                  <w:tcW w:w="1124" w:type="dxa"/>
                  <w:vAlign w:val="center"/>
                </w:tcPr>
                <w:p w14:paraId="680EB478">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3.059</w:t>
                  </w:r>
                </w:p>
              </w:tc>
            </w:tr>
            <w:tr w14:paraId="26DA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trHeight w:val="340" w:hRule="atLeast"/>
                <w:jc w:val="center"/>
              </w:trPr>
              <w:tc>
                <w:tcPr>
                  <w:tcW w:w="310" w:type="pct"/>
                  <w:vMerge w:val="continue"/>
                  <w:vAlign w:val="center"/>
                </w:tcPr>
                <w:p w14:paraId="69576431">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Merge w:val="continue"/>
                  <w:vAlign w:val="center"/>
                </w:tcPr>
                <w:p w14:paraId="58ABA5DC">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Align w:val="center"/>
                </w:tcPr>
                <w:p w14:paraId="4C06BEA4">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氨氮</w:t>
                  </w:r>
                </w:p>
              </w:tc>
              <w:tc>
                <w:tcPr>
                  <w:tcW w:w="688" w:type="pct"/>
                  <w:vAlign w:val="center"/>
                </w:tcPr>
                <w:p w14:paraId="39CC6BA0">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150</w:t>
                  </w:r>
                </w:p>
              </w:tc>
              <w:tc>
                <w:tcPr>
                  <w:tcW w:w="812" w:type="pct"/>
                  <w:vAlign w:val="center"/>
                </w:tcPr>
                <w:p w14:paraId="7249AEFD">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2.294</w:t>
                  </w:r>
                </w:p>
              </w:tc>
              <w:tc>
                <w:tcPr>
                  <w:tcW w:w="665" w:type="pct"/>
                  <w:gridSpan w:val="2"/>
                  <w:vMerge w:val="continue"/>
                  <w:vAlign w:val="center"/>
                </w:tcPr>
                <w:p w14:paraId="0FCB2643">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1125" w:type="dxa"/>
                  <w:gridSpan w:val="2"/>
                  <w:vAlign w:val="center"/>
                </w:tcPr>
                <w:p w14:paraId="7F877FAC">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3</w:t>
                  </w:r>
                </w:p>
              </w:tc>
              <w:tc>
                <w:tcPr>
                  <w:tcW w:w="1124" w:type="dxa"/>
                  <w:vAlign w:val="center"/>
                </w:tcPr>
                <w:p w14:paraId="0C39F78D">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0.046</w:t>
                  </w:r>
                </w:p>
              </w:tc>
            </w:tr>
            <w:tr w14:paraId="3DD1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trHeight w:val="340" w:hRule="atLeast"/>
                <w:jc w:val="center"/>
              </w:trPr>
              <w:tc>
                <w:tcPr>
                  <w:tcW w:w="310" w:type="pct"/>
                  <w:vMerge w:val="continue"/>
                  <w:vAlign w:val="center"/>
                </w:tcPr>
                <w:p w14:paraId="2C067DD6">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Merge w:val="continue"/>
                  <w:vAlign w:val="center"/>
                </w:tcPr>
                <w:p w14:paraId="1016418D">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Align w:val="center"/>
                </w:tcPr>
                <w:p w14:paraId="40DD8AA6">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BOD</w:t>
                  </w:r>
                  <w:r>
                    <w:rPr>
                      <w:rFonts w:hint="eastAsia"/>
                      <w:color w:val="000000" w:themeColor="text1"/>
                      <w:kern w:val="0"/>
                      <w:sz w:val="21"/>
                      <w:szCs w:val="21"/>
                      <w:highlight w:val="none"/>
                      <w:vertAlign w:val="subscript"/>
                      <w:lang w:eastAsia="zh-CN" w:bidi="ar"/>
                      <w14:textFill>
                        <w14:solidFill>
                          <w14:schemeClr w14:val="tx1"/>
                        </w14:solidFill>
                      </w14:textFill>
                    </w:rPr>
                    <w:t>5</w:t>
                  </w:r>
                </w:p>
              </w:tc>
              <w:tc>
                <w:tcPr>
                  <w:tcW w:w="688" w:type="pct"/>
                  <w:vAlign w:val="center"/>
                </w:tcPr>
                <w:p w14:paraId="0E1CE6A3">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1000</w:t>
                  </w:r>
                </w:p>
              </w:tc>
              <w:tc>
                <w:tcPr>
                  <w:tcW w:w="812" w:type="pct"/>
                  <w:vAlign w:val="center"/>
                </w:tcPr>
                <w:p w14:paraId="05C8B703">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15.295</w:t>
                  </w:r>
                </w:p>
              </w:tc>
              <w:tc>
                <w:tcPr>
                  <w:tcW w:w="665" w:type="pct"/>
                  <w:gridSpan w:val="2"/>
                  <w:vMerge w:val="continue"/>
                  <w:vAlign w:val="center"/>
                </w:tcPr>
                <w:p w14:paraId="00219F9F">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1125" w:type="dxa"/>
                  <w:gridSpan w:val="2"/>
                  <w:vAlign w:val="center"/>
                </w:tcPr>
                <w:p w14:paraId="24F54CB6">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10</w:t>
                  </w:r>
                </w:p>
              </w:tc>
              <w:tc>
                <w:tcPr>
                  <w:tcW w:w="1124" w:type="dxa"/>
                  <w:vAlign w:val="center"/>
                </w:tcPr>
                <w:p w14:paraId="718CB390">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0.153</w:t>
                  </w:r>
                </w:p>
              </w:tc>
            </w:tr>
            <w:tr w14:paraId="0DE6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trHeight w:val="340" w:hRule="atLeast"/>
                <w:jc w:val="center"/>
              </w:trPr>
              <w:tc>
                <w:tcPr>
                  <w:tcW w:w="310" w:type="pct"/>
                  <w:vMerge w:val="continue"/>
                  <w:vAlign w:val="center"/>
                </w:tcPr>
                <w:p w14:paraId="2C3C94CE">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Merge w:val="continue"/>
                  <w:vAlign w:val="center"/>
                </w:tcPr>
                <w:p w14:paraId="2B25636D">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Align w:val="center"/>
                </w:tcPr>
                <w:p w14:paraId="5464161A">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动植物油</w:t>
                  </w:r>
                </w:p>
              </w:tc>
              <w:tc>
                <w:tcPr>
                  <w:tcW w:w="688" w:type="pct"/>
                  <w:vAlign w:val="center"/>
                </w:tcPr>
                <w:p w14:paraId="1EB0C48E">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200</w:t>
                  </w:r>
                </w:p>
              </w:tc>
              <w:tc>
                <w:tcPr>
                  <w:tcW w:w="812" w:type="pct"/>
                  <w:vAlign w:val="center"/>
                </w:tcPr>
                <w:p w14:paraId="7E713EA5">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3.059</w:t>
                  </w:r>
                </w:p>
              </w:tc>
              <w:tc>
                <w:tcPr>
                  <w:tcW w:w="665" w:type="pct"/>
                  <w:gridSpan w:val="2"/>
                  <w:vMerge w:val="continue"/>
                  <w:vAlign w:val="center"/>
                </w:tcPr>
                <w:p w14:paraId="597D2F95">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1125" w:type="dxa"/>
                  <w:gridSpan w:val="2"/>
                  <w:vAlign w:val="center"/>
                </w:tcPr>
                <w:p w14:paraId="329759D8">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8</w:t>
                  </w:r>
                </w:p>
              </w:tc>
              <w:tc>
                <w:tcPr>
                  <w:tcW w:w="1124" w:type="dxa"/>
                  <w:vAlign w:val="center"/>
                </w:tcPr>
                <w:p w14:paraId="735E90D4">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0.122</w:t>
                  </w:r>
                </w:p>
              </w:tc>
            </w:tr>
            <w:tr w14:paraId="193F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trHeight w:val="340" w:hRule="atLeast"/>
                <w:jc w:val="center"/>
              </w:trPr>
              <w:tc>
                <w:tcPr>
                  <w:tcW w:w="310" w:type="pct"/>
                  <w:vMerge w:val="continue"/>
                  <w:vAlign w:val="center"/>
                </w:tcPr>
                <w:p w14:paraId="714343D6">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Merge w:val="continue"/>
                  <w:vAlign w:val="center"/>
                </w:tcPr>
                <w:p w14:paraId="3C8E4F8B">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Align w:val="center"/>
                </w:tcPr>
                <w:p w14:paraId="3A8E696E">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SS</w:t>
                  </w:r>
                </w:p>
              </w:tc>
              <w:tc>
                <w:tcPr>
                  <w:tcW w:w="688" w:type="pct"/>
                  <w:vAlign w:val="center"/>
                </w:tcPr>
                <w:p w14:paraId="046F63F3">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1000</w:t>
                  </w:r>
                </w:p>
              </w:tc>
              <w:tc>
                <w:tcPr>
                  <w:tcW w:w="812" w:type="pct"/>
                  <w:vAlign w:val="center"/>
                </w:tcPr>
                <w:p w14:paraId="405A2397">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15.295</w:t>
                  </w:r>
                </w:p>
              </w:tc>
              <w:tc>
                <w:tcPr>
                  <w:tcW w:w="665" w:type="pct"/>
                  <w:gridSpan w:val="2"/>
                  <w:vMerge w:val="continue"/>
                  <w:vAlign w:val="center"/>
                </w:tcPr>
                <w:p w14:paraId="5D14282D">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1125" w:type="dxa"/>
                  <w:gridSpan w:val="2"/>
                  <w:vAlign w:val="center"/>
                </w:tcPr>
                <w:p w14:paraId="69563BC2">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10</w:t>
                  </w:r>
                </w:p>
              </w:tc>
              <w:tc>
                <w:tcPr>
                  <w:tcW w:w="1124" w:type="dxa"/>
                  <w:vAlign w:val="center"/>
                </w:tcPr>
                <w:p w14:paraId="2C3F7385">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0.153</w:t>
                  </w:r>
                </w:p>
              </w:tc>
            </w:tr>
            <w:tr w14:paraId="4BFB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trHeight w:val="340" w:hRule="atLeast"/>
                <w:jc w:val="center"/>
              </w:trPr>
              <w:tc>
                <w:tcPr>
                  <w:tcW w:w="310" w:type="pct"/>
                  <w:vMerge w:val="continue"/>
                  <w:vAlign w:val="center"/>
                </w:tcPr>
                <w:p w14:paraId="3344A728">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Merge w:val="continue"/>
                  <w:vAlign w:val="center"/>
                </w:tcPr>
                <w:p w14:paraId="6BCD7DAC">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Align w:val="center"/>
                </w:tcPr>
                <w:p w14:paraId="455B2F03">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总磷</w:t>
                  </w:r>
                </w:p>
              </w:tc>
              <w:tc>
                <w:tcPr>
                  <w:tcW w:w="688" w:type="pct"/>
                  <w:vAlign w:val="center"/>
                </w:tcPr>
                <w:p w14:paraId="562765EC">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18.6</w:t>
                  </w:r>
                </w:p>
              </w:tc>
              <w:tc>
                <w:tcPr>
                  <w:tcW w:w="812" w:type="pct"/>
                  <w:vAlign w:val="center"/>
                </w:tcPr>
                <w:p w14:paraId="407DF4C9">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0.284</w:t>
                  </w:r>
                </w:p>
              </w:tc>
              <w:tc>
                <w:tcPr>
                  <w:tcW w:w="665" w:type="pct"/>
                  <w:gridSpan w:val="2"/>
                  <w:vMerge w:val="continue"/>
                  <w:vAlign w:val="center"/>
                </w:tcPr>
                <w:p w14:paraId="3B24ABFF">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1125" w:type="dxa"/>
                  <w:gridSpan w:val="2"/>
                  <w:vAlign w:val="center"/>
                </w:tcPr>
                <w:p w14:paraId="08E71B79">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0.372</w:t>
                  </w:r>
                </w:p>
              </w:tc>
              <w:tc>
                <w:tcPr>
                  <w:tcW w:w="1124" w:type="dxa"/>
                  <w:vAlign w:val="center"/>
                </w:tcPr>
                <w:p w14:paraId="2515AF86">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0.006</w:t>
                  </w:r>
                </w:p>
              </w:tc>
            </w:tr>
            <w:tr w14:paraId="4233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pct"/>
                <w:trHeight w:val="340" w:hRule="atLeast"/>
                <w:jc w:val="center"/>
              </w:trPr>
              <w:tc>
                <w:tcPr>
                  <w:tcW w:w="310" w:type="pct"/>
                  <w:vMerge w:val="continue"/>
                  <w:vAlign w:val="center"/>
                </w:tcPr>
                <w:p w14:paraId="08BED2D9">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Merge w:val="continue"/>
                  <w:vAlign w:val="center"/>
                </w:tcPr>
                <w:p w14:paraId="1BAB87C8">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592" w:type="pct"/>
                  <w:vAlign w:val="center"/>
                </w:tcPr>
                <w:p w14:paraId="1E84B8EF">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总氮</w:t>
                  </w:r>
                </w:p>
              </w:tc>
              <w:tc>
                <w:tcPr>
                  <w:tcW w:w="688" w:type="pct"/>
                  <w:vAlign w:val="center"/>
                </w:tcPr>
                <w:p w14:paraId="64B761EB">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144</w:t>
                  </w:r>
                </w:p>
              </w:tc>
              <w:tc>
                <w:tcPr>
                  <w:tcW w:w="812" w:type="pct"/>
                  <w:vAlign w:val="center"/>
                </w:tcPr>
                <w:p w14:paraId="6A345DF1">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2.202</w:t>
                  </w:r>
                </w:p>
              </w:tc>
              <w:tc>
                <w:tcPr>
                  <w:tcW w:w="665" w:type="pct"/>
                  <w:gridSpan w:val="2"/>
                  <w:vMerge w:val="continue"/>
                  <w:vAlign w:val="center"/>
                </w:tcPr>
                <w:p w14:paraId="7604E421">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p>
              </w:tc>
              <w:tc>
                <w:tcPr>
                  <w:tcW w:w="1125" w:type="dxa"/>
                  <w:gridSpan w:val="2"/>
                  <w:vAlign w:val="center"/>
                </w:tcPr>
                <w:p w14:paraId="34B0B050">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11.52</w:t>
                  </w:r>
                </w:p>
              </w:tc>
              <w:tc>
                <w:tcPr>
                  <w:tcW w:w="1124" w:type="dxa"/>
                  <w:vAlign w:val="center"/>
                </w:tcPr>
                <w:p w14:paraId="7968BD4F">
                  <w:pPr>
                    <w:widowControl/>
                    <w:jc w:val="center"/>
                    <w:textAlignment w:val="center"/>
                    <w:rPr>
                      <w:rFonts w:cs="宋体"/>
                      <w:color w:val="000000" w:themeColor="text1"/>
                      <w:kern w:val="0"/>
                      <w:szCs w:val="21"/>
                      <w:highlight w:val="none"/>
                      <w:lang w:bidi="ar"/>
                      <w14:textFill>
                        <w14:solidFill>
                          <w14:schemeClr w14:val="tx1"/>
                        </w14:solidFill>
                      </w14:textFill>
                    </w:rPr>
                  </w:pPr>
                  <w:r>
                    <w:rPr>
                      <w:color w:val="000000"/>
                      <w:kern w:val="0"/>
                      <w:szCs w:val="21"/>
                      <w:highlight w:val="none"/>
                      <w:lang w:bidi="ar"/>
                    </w:rPr>
                    <w:t>0.176</w:t>
                  </w:r>
                </w:p>
              </w:tc>
            </w:tr>
          </w:tbl>
          <w:p w14:paraId="4A155164">
            <w:pPr>
              <w:pStyle w:val="34"/>
              <w:rPr>
                <w:b/>
                <w:bCs/>
                <w:color w:val="000000" w:themeColor="text1"/>
                <w:highlight w:val="none"/>
                <w:lang w:eastAsia="zh-CN"/>
                <w14:textFill>
                  <w14:solidFill>
                    <w14:schemeClr w14:val="tx1"/>
                  </w14:solidFill>
                </w14:textFill>
              </w:rPr>
            </w:pPr>
            <w:r>
              <w:rPr>
                <w:rFonts w:hint="eastAsia" w:cs="Times New Roman"/>
                <w:highlight w:val="none"/>
                <w:lang w:eastAsia="zh-CN"/>
              </w:rPr>
              <w:t>改</w:t>
            </w:r>
            <w:r>
              <w:rPr>
                <w:rFonts w:cs="Times New Roman"/>
                <w:highlight w:val="none"/>
                <w:lang w:val="zh-CN" w:eastAsia="zh-CN"/>
              </w:rPr>
              <w:t>建</w:t>
            </w:r>
            <w:r>
              <w:rPr>
                <w:rFonts w:hint="eastAsia" w:cs="Times New Roman"/>
                <w:highlight w:val="none"/>
                <w:lang w:eastAsia="zh-CN"/>
              </w:rPr>
              <w:t>后</w:t>
            </w:r>
            <w:r>
              <w:rPr>
                <w:rFonts w:cs="Times New Roman"/>
                <w:highlight w:val="none"/>
                <w:lang w:val="zh-CN" w:eastAsia="zh-CN"/>
              </w:rPr>
              <w:t>项目屠宰、设备及地坪冲洗废水</w:t>
            </w:r>
            <w:r>
              <w:rPr>
                <w:rFonts w:hint="eastAsia" w:cs="Times New Roman"/>
                <w:highlight w:val="none"/>
                <w:lang w:eastAsia="zh-CN"/>
              </w:rPr>
              <w:t>经污水处理系统</w:t>
            </w:r>
            <w:r>
              <w:rPr>
                <w:rFonts w:cs="Times New Roman"/>
                <w:highlight w:val="none"/>
                <w:lang w:val="zh-CN" w:eastAsia="zh-CN"/>
              </w:rPr>
              <w:t>处理达到</w:t>
            </w:r>
            <w:r>
              <w:rPr>
                <w:rFonts w:hint="eastAsia" w:cs="Times New Roman"/>
                <w:highlight w:val="none"/>
                <w:lang w:val="zh-CN" w:eastAsia="zh-CN"/>
              </w:rPr>
              <w:t>《城市污水再生利用</w:t>
            </w:r>
            <w:r>
              <w:rPr>
                <w:rFonts w:hint="eastAsia" w:cs="Times New Roman"/>
                <w:highlight w:val="none"/>
                <w:lang w:eastAsia="zh-CN"/>
              </w:rPr>
              <w:t xml:space="preserve"> </w:t>
            </w:r>
            <w:r>
              <w:rPr>
                <w:rFonts w:hint="eastAsia" w:cs="Times New Roman"/>
                <w:highlight w:val="none"/>
                <w:lang w:val="zh-CN" w:eastAsia="zh-CN"/>
              </w:rPr>
              <w:t>城市杂用水水质》（GB/T18920-20</w:t>
            </w:r>
            <w:r>
              <w:rPr>
                <w:rFonts w:hint="eastAsia" w:cs="Times New Roman"/>
                <w:highlight w:val="none"/>
                <w:lang w:eastAsia="zh-CN"/>
              </w:rPr>
              <w:t>20</w:t>
            </w:r>
            <w:r>
              <w:rPr>
                <w:rFonts w:hint="eastAsia" w:cs="Times New Roman"/>
                <w:highlight w:val="none"/>
                <w:lang w:val="zh-CN" w:eastAsia="zh-CN"/>
              </w:rPr>
              <w:t>）</w:t>
            </w:r>
            <w:r>
              <w:rPr>
                <w:rFonts w:hint="eastAsia" w:cs="Times New Roman"/>
                <w:highlight w:val="none"/>
                <w:lang w:eastAsia="zh-CN"/>
              </w:rPr>
              <w:t>标准中限值要求</w:t>
            </w:r>
            <w:r>
              <w:rPr>
                <w:rFonts w:cs="Times New Roman"/>
                <w:highlight w:val="none"/>
                <w:lang w:val="zh-CN" w:eastAsia="zh-CN"/>
              </w:rPr>
              <w:t>后</w:t>
            </w:r>
            <w:r>
              <w:rPr>
                <w:rFonts w:hint="eastAsia" w:cs="Times New Roman"/>
                <w:highlight w:val="none"/>
                <w:lang w:val="zh-CN" w:eastAsia="zh-CN"/>
              </w:rPr>
              <w:t>，</w:t>
            </w:r>
            <w:r>
              <w:rPr>
                <w:rFonts w:hint="eastAsia"/>
                <w:color w:val="000000" w:themeColor="text1"/>
                <w:highlight w:val="none"/>
                <w:lang w:eastAsia="zh-CN"/>
                <w14:textFill>
                  <w14:solidFill>
                    <w14:schemeClr w14:val="tx1"/>
                  </w14:solidFill>
                </w14:textFill>
              </w:rPr>
              <w:t>回用于绿化浇灌，清洁卫生和喷洒扬尘等</w:t>
            </w:r>
            <w:r>
              <w:rPr>
                <w:rFonts w:hint="eastAsia" w:cs="Times New Roman"/>
                <w:highlight w:val="none"/>
                <w:lang w:eastAsia="zh-CN"/>
              </w:rPr>
              <w:t>。</w:t>
            </w:r>
          </w:p>
          <w:p w14:paraId="2EE03BE7">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（3）污水处理依托情况可行性分析</w:t>
            </w:r>
          </w:p>
          <w:p w14:paraId="6B66C6D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本项目产生的生活废水和屠宰废水依托云南海潮集团听牧肉牛产业股份有限公司现有的污水处理系统、污水处理设施处理的可行性分析。</w:t>
            </w:r>
          </w:p>
          <w:p w14:paraId="60E6E93D">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项目区原有废水与本项目废水统一使用现有的污水处理系统处理。污水处理站设计能力为250m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/d，原项目处理牛屠宰产生污水103.2m³/d（满负荷），牛肉精深加工产生污水19.77m³/d（满负荷），活畜交易市场产生污水60m³/d，员工生活污水5m³/d；现肉羊屠宰量产生污水42m³/d，设备及地坪冲洗产生废水1.7</w:t>
            </w:r>
            <w:r>
              <w:rPr>
                <w:color w:val="000000" w:themeColor="text1"/>
                <w:highlight w:val="none"/>
                <w:lang w:eastAsia="zh-CN"/>
                <w14:textFill>
                  <w14:solidFill>
                    <w14:schemeClr w14:val="tx1"/>
                  </w14:solidFill>
                </w14:textFill>
              </w:rPr>
              <w:t>m</w:t>
            </w:r>
            <w:r>
              <w:rPr>
                <w:rFonts w:hint="eastAsia"/>
                <w:color w:val="000000" w:themeColor="text1"/>
                <w:highlight w:val="none"/>
                <w:vertAlign w:val="superscript"/>
                <w:lang w:eastAsia="zh-CN"/>
                <w14:textFill>
                  <w14:solidFill>
                    <w14:schemeClr w14:val="tx1"/>
                  </w14:solidFill>
                </w14:textFill>
              </w:rPr>
              <w:t>3</w:t>
            </w:r>
            <w:r>
              <w:rPr>
                <w:color w:val="000000" w:themeColor="text1"/>
                <w:highlight w:val="none"/>
                <w:lang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工厂总共产生污水231.67m³/d，污水处理系统每天尚有约20m³的余量。净化后的水用于绿化浇灌，清洁卫生和喷洒扬尘等，不外排。牛市预计2025年内搬迁，搬迁后污水处理系统每天尚有约80m³的余量可以容纳本项目的屠宰废水处理需求。</w:t>
            </w:r>
          </w:p>
          <w:p w14:paraId="158EBFC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由于项目区日用水量和污水排放量较大，为确保污水处理达到国家规定的排放标准，选择目前国际先进的加工处理废水技术及设施，其处理的技术为“</w:t>
            </w:r>
            <w:r>
              <w:rPr>
                <w:rFonts w:hint="eastAsia"/>
                <w:highlight w:val="none"/>
                <w:lang w:eastAsia="zh-CN"/>
              </w:rPr>
              <w:t>机械格栅+气浮+强化厌氧+接触氧化+过滤吸附+臭氧</w:t>
            </w:r>
            <w:r>
              <w:rPr>
                <w:rFonts w:hint="eastAsia"/>
                <w:color w:val="000000" w:themeColor="text1"/>
                <w:highlight w:val="none"/>
                <w:lang w:eastAsia="zh-CN"/>
                <w14:textFill>
                  <w14:solidFill>
                    <w14:schemeClr w14:val="tx1"/>
                  </w14:solidFill>
                </w14:textFill>
              </w:rPr>
              <w:t>”工艺，工艺流程图如下：</w:t>
            </w:r>
          </w:p>
          <w:p w14:paraId="205FD703">
            <w:pPr>
              <w:pStyle w:val="34"/>
              <w:ind w:firstLine="480"/>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drawing>
                <wp:inline distT="0" distB="0" distL="114300" distR="114300">
                  <wp:extent cx="4006215" cy="7314565"/>
                  <wp:effectExtent l="0" t="0" r="0" b="0"/>
                  <wp:docPr id="2" name="ECB019B1-382A-4266-B25C-5B523AA43C14-4" descr="C:/Users/Administrator/AppData/Local/Temp/wps.PrMFR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4" descr="C:/Users/Administrator/AppData/Local/Temp/wps.PrMFRuwps"/>
                          <pic:cNvPicPr>
                            <a:picLocks noChangeAspect="1"/>
                          </pic:cNvPicPr>
                        </pic:nvPicPr>
                        <pic:blipFill>
                          <a:blip r:embed="rId14"/>
                          <a:srcRect t="2347"/>
                          <a:stretch>
                            <a:fillRect/>
                          </a:stretch>
                        </pic:blipFill>
                        <pic:spPr>
                          <a:xfrm>
                            <a:off x="0" y="0"/>
                            <a:ext cx="4006215" cy="7314565"/>
                          </a:xfrm>
                          <a:prstGeom prst="rect">
                            <a:avLst/>
                          </a:prstGeom>
                        </pic:spPr>
                      </pic:pic>
                    </a:graphicData>
                  </a:graphic>
                </wp:inline>
              </w:drawing>
            </w:r>
          </w:p>
          <w:p w14:paraId="17C85DE4">
            <w:pPr>
              <w:pStyle w:val="30"/>
              <w:rPr>
                <w:rFonts w:hint="default"/>
                <w:highlight w:val="none"/>
              </w:rPr>
            </w:pPr>
            <w:r>
              <w:rPr>
                <w:highlight w:val="none"/>
              </w:rPr>
              <w:t>图4-1污水处理站工艺流程图</w:t>
            </w:r>
          </w:p>
          <w:p w14:paraId="7CC6B87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本项目污水处理工艺采用“</w:t>
            </w:r>
            <w:r>
              <w:rPr>
                <w:rFonts w:hint="eastAsia"/>
                <w:highlight w:val="none"/>
                <w:lang w:eastAsia="zh-CN"/>
              </w:rPr>
              <w:t>机械格栅+气浮+强化厌氧+接触氧化+过滤吸附+臭氧</w:t>
            </w:r>
            <w:r>
              <w:rPr>
                <w:rFonts w:hint="eastAsia"/>
                <w:color w:val="000000" w:themeColor="text1"/>
                <w:highlight w:val="none"/>
                <w:lang w:eastAsia="zh-CN"/>
                <w14:textFill>
                  <w14:solidFill>
                    <w14:schemeClr w14:val="tx1"/>
                  </w14:solidFill>
                </w14:textFill>
              </w:rPr>
              <w:t>”具体工艺过程介绍如下分析。</w:t>
            </w:r>
          </w:p>
          <w:p w14:paraId="6E9F6F64">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产生屠宰废水、车间及待宰地坪清洗废水经过收集装置进入污水处理站，该部分污水流格栅去除大颗粒悬浮物和漂浮物，进入微滤机利用膜分离技术有效去除悬浮物、细菌、病毒后，进入调节池，由污水泵提升至IC厌氧反应塔，利用厌氧菌进行水解、发酵，将复杂的非溶解性的聚合物被转化为简单的溶解性单体或二聚体。并将溶解性有机物被转化为以挥发性脂肪酸为主的末端产物，在产氢产乙酸菌的作用下，进一步转化为乙酸、气、碳酸以及新的细胞物质，最后被转化为甲烷、二氧化碳等。处理后废水进入接触氧化池，好氧生化池由自养好氧微生物降解有机物和对污水中的氨氮进行硝化，同时进行曝气，提供微生物所需的氧量，起到搅拌与混合的作用，污水经好氧生化池后自流入沉淀池，池中悬浮物经沉淀去除，由于处理水量较小，产生污泥量较少，沉淀处理、过滤和吸附后污水进入臭氧催化氧化塔中经</w:t>
            </w:r>
            <w:r>
              <w:rPr>
                <w:rFonts w:hint="eastAsia"/>
                <w:color w:val="000000" w:themeColor="text1"/>
                <w:highlight w:val="none"/>
                <w:lang w:eastAsia="zh-CN"/>
                <w14:textFill>
                  <w14:solidFill>
                    <w14:schemeClr w14:val="tx1"/>
                  </w14:solidFill>
                </w14:textFill>
              </w:rPr>
              <w:fldChar w:fldCharType="begin"/>
            </w:r>
            <w:r>
              <w:rPr>
                <w:rFonts w:hint="eastAsia"/>
                <w:color w:val="000000" w:themeColor="text1"/>
                <w:highlight w:val="none"/>
                <w:lang w:eastAsia="zh-CN"/>
                <w14:textFill>
                  <w14:solidFill>
                    <w14:schemeClr w14:val="tx1"/>
                  </w14:solidFill>
                </w14:textFill>
              </w:rPr>
              <w:instrText xml:space="preserve"> HYPERLINK "https://www.baidu.com/s?rsv_dl=re_dqa_generate&amp;sa=re_dqa_generate&amp;wd=%E8%87%AD%E6%B0%A7%E5%82%AC%E5%8C%96%E5%89%82&amp;rsv_pq=f1bd778205e4930b&amp;oq=%E8%87%AD%E6%B0%A7%E5%82%AC%E5%8C%96%E6%B0%A7%E5%8C%96%E5%A1%94%E5%B7%A5%E4%BD%9C%E5%8E%9F%E7%90%86&amp;rsv_t=970c+iBurCG5LaqgNqH1jSxXy4YxOpUwBlSQCmds726C+X4rGhf5U3S9DKg&amp;tn=baidu&amp;ie=utf-8" \t "https://www.baidu.com/_blank" </w:instrText>
            </w:r>
            <w:r>
              <w:rPr>
                <w:rFonts w:hint="eastAsia"/>
                <w:color w:val="000000" w:themeColor="text1"/>
                <w:highlight w:val="none"/>
                <w:lang w:eastAsia="zh-CN"/>
                <w14:textFill>
                  <w14:solidFill>
                    <w14:schemeClr w14:val="tx1"/>
                  </w14:solidFill>
                </w14:textFill>
              </w:rPr>
              <w:fldChar w:fldCharType="separate"/>
            </w:r>
            <w:r>
              <w:rPr>
                <w:rFonts w:hint="eastAsia"/>
                <w:color w:val="000000" w:themeColor="text1"/>
                <w:highlight w:val="none"/>
                <w:lang w:eastAsia="zh-CN"/>
                <w14:textFill>
                  <w14:solidFill>
                    <w14:schemeClr w14:val="tx1"/>
                  </w14:solidFill>
                </w14:textFill>
              </w:rPr>
              <w:t>臭氧催化剂</w:t>
            </w:r>
            <w:r>
              <w:rPr>
                <w:rFonts w:hint="eastAsia"/>
                <w:color w:val="000000" w:themeColor="text1"/>
                <w:highlight w:val="none"/>
                <w:lang w:eastAsia="zh-CN"/>
                <w14:textFill>
                  <w14:solidFill>
                    <w14:schemeClr w14:val="tx1"/>
                  </w14:solidFill>
                </w14:textFill>
              </w:rPr>
              <w:fldChar w:fldCharType="end"/>
            </w:r>
            <w:r>
              <w:rPr>
                <w:rFonts w:hint="eastAsia"/>
                <w:color w:val="000000" w:themeColor="text1"/>
                <w:highlight w:val="none"/>
                <w:lang w:eastAsia="zh-CN"/>
                <w14:textFill>
                  <w14:solidFill>
                    <w14:schemeClr w14:val="tx1"/>
                  </w14:solidFill>
                </w14:textFill>
              </w:rPr>
              <w:t>的作用，通过催化氧化反应将臭氧转化为无害的氧气，处理后的水进入清水池进行消毒处理，消毒池内加入次氯酸钠消毒剂（成品消毒剂，无需制备，不产生氯气），消毒处理后暂存于厂区内回用水池中，回用于绿化浇灌，清洁卫生和喷洒扬尘等，不外排。</w:t>
            </w:r>
          </w:p>
          <w:p w14:paraId="7581382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综上，该设备处理工艺处理后的出水能够满足</w:t>
            </w:r>
            <w:r>
              <w:rPr>
                <w:rFonts w:hint="eastAsia" w:cs="Times New Roman"/>
                <w:highlight w:val="none"/>
                <w:lang w:val="zh-CN" w:eastAsia="zh-CN"/>
              </w:rPr>
              <w:t>《城市污水再生利用</w:t>
            </w:r>
            <w:r>
              <w:rPr>
                <w:rFonts w:hint="eastAsia" w:cs="Times New Roman"/>
                <w:highlight w:val="none"/>
                <w:lang w:eastAsia="zh-CN"/>
              </w:rPr>
              <w:t xml:space="preserve"> </w:t>
            </w:r>
            <w:r>
              <w:rPr>
                <w:rFonts w:hint="eastAsia" w:cs="Times New Roman"/>
                <w:highlight w:val="none"/>
                <w:lang w:val="zh-CN" w:eastAsia="zh-CN"/>
              </w:rPr>
              <w:t>城市杂用水水质》（GB/T18920-20</w:t>
            </w:r>
            <w:r>
              <w:rPr>
                <w:rFonts w:hint="eastAsia" w:cs="Times New Roman"/>
                <w:highlight w:val="none"/>
                <w:lang w:eastAsia="zh-CN"/>
              </w:rPr>
              <w:t>20</w:t>
            </w:r>
            <w:r>
              <w:rPr>
                <w:rFonts w:hint="eastAsia" w:cs="Times New Roman"/>
                <w:highlight w:val="none"/>
                <w:lang w:val="zh-CN" w:eastAsia="zh-CN"/>
              </w:rPr>
              <w:t>）</w:t>
            </w:r>
            <w:r>
              <w:rPr>
                <w:rFonts w:hint="eastAsia"/>
                <w:color w:val="000000" w:themeColor="text1"/>
                <w:highlight w:val="none"/>
                <w:lang w:eastAsia="zh-CN"/>
                <w14:textFill>
                  <w14:solidFill>
                    <w14:schemeClr w14:val="tx1"/>
                  </w14:solidFill>
                </w14:textFill>
              </w:rPr>
              <w:t>处理后水综合利用于绿化浇灌，清洁卫生和喷洒扬尘等，不排放。故本项目屠宰废水依托云南海潮集团听牧肉牛产业股份有限公司现有的污水处理系统、污水处理设施处理可行。</w:t>
            </w:r>
          </w:p>
          <w:p w14:paraId="79540E80">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（4）回用可行性分析</w:t>
            </w:r>
          </w:p>
          <w:p w14:paraId="28BD38B7">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全厂绿化及道路洒水总用水量需240m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。原有项目达到设计产能后日处理119.77m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水，本项目新增废水43.7m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。旱季全部水可回用于全部用于项目区绿化及道路喷洒降尘43.7m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，项目建设产生污水处理后旱季可完全回用绿化、清洁卫生和道路喷洒扬尘，不外排。雨季回用水池贮存。</w:t>
            </w:r>
          </w:p>
          <w:p w14:paraId="7E3593D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全厂产生污水旱季全部用于项目区绿化及道路洒水，雨季依托原有回用水池贮存，用于旱季绿化。在极端情况下，项目原有4700m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回用水蓄水池可以保证37天收集污水不外排。项目对污水的回用采用绿化、贮存和喷洒用水，确保项目废水不外排。</w:t>
            </w:r>
          </w:p>
          <w:p w14:paraId="68751390">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（5）初期雨水处置和非正常排放</w:t>
            </w:r>
          </w:p>
          <w:p w14:paraId="6E7C7CB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由于项目区地表水体为果马河，水体功能较为敏感，项目在实施雨污分流的同时，在雨水排放口设置沉淀池，对初期雨水进行沉淀后再排放，以减轻初期雨水对地表水体的影响。</w:t>
            </w:r>
          </w:p>
          <w:p w14:paraId="38C9468E">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原厂区在污水处理站旁设置200m</w:t>
            </w:r>
            <w:r>
              <w:rPr>
                <w:rFonts w:hint="eastAsia"/>
                <w:color w:val="000000" w:themeColor="text1"/>
                <w:highlight w:val="none"/>
                <w:vertAlign w:val="superscript"/>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事故应急池，当污水处理设施检修或发生事故时废水立即引入事故应急处理池中。</w:t>
            </w:r>
          </w:p>
          <w:p w14:paraId="1CA499EB">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（6）环境监测</w:t>
            </w:r>
          </w:p>
          <w:p w14:paraId="71B1882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本项目屠宰废水、生活污水依托云南海潮集团听牧肉牛产业股份有限公司已有的污水处理系统处理达标后用于绿化浇灌，清洁卫生和喷洒扬尘等，不外排。</w:t>
            </w:r>
            <w:r>
              <w:rPr>
                <w:rFonts w:hint="eastAsia"/>
                <w:kern w:val="0"/>
                <w:highlight w:val="none"/>
                <w:lang w:eastAsia="zh-CN" w:bidi="ar"/>
              </w:rPr>
              <w:t>依据《排污单位自行监测技术指南总则》（</w:t>
            </w:r>
            <w:r>
              <w:rPr>
                <w:kern w:val="0"/>
                <w:highlight w:val="none"/>
                <w:lang w:eastAsia="zh-CN" w:bidi="ar"/>
              </w:rPr>
              <w:t>HJ819-2017</w:t>
            </w:r>
            <w:r>
              <w:rPr>
                <w:rFonts w:hint="eastAsia"/>
                <w:kern w:val="0"/>
                <w:highlight w:val="none"/>
                <w:lang w:eastAsia="zh-CN" w:bidi="ar"/>
              </w:rPr>
              <w:t>）、《排污许可证申请与核发技术规范总则》（</w:t>
            </w:r>
            <w:r>
              <w:rPr>
                <w:kern w:val="0"/>
                <w:highlight w:val="none"/>
                <w:lang w:eastAsia="zh-CN" w:bidi="ar"/>
              </w:rPr>
              <w:t>HJ942-2018</w:t>
            </w:r>
            <w:r>
              <w:rPr>
                <w:rFonts w:hint="eastAsia"/>
                <w:kern w:val="0"/>
                <w:highlight w:val="none"/>
                <w:lang w:eastAsia="zh-CN" w:bidi="ar"/>
              </w:rPr>
              <w:t>）《排污许可证申请与核发技术规范农副食品加工工业一屠宰及肉类加工工业》（GB860.3-2018），</w:t>
            </w:r>
            <w:r>
              <w:rPr>
                <w:rFonts w:hint="eastAsia"/>
                <w:color w:val="000000" w:themeColor="text1"/>
                <w:highlight w:val="none"/>
                <w:lang w:eastAsia="zh-CN"/>
                <w14:textFill>
                  <w14:solidFill>
                    <w14:schemeClr w14:val="tx1"/>
                  </w14:solidFill>
                </w14:textFill>
              </w:rPr>
              <w:t>确定自行监测因子、监测时间及频次。本项目自行监测要求如表</w:t>
            </w:r>
            <w:r>
              <w:rPr>
                <w:color w:val="000000" w:themeColor="text1"/>
                <w:highlight w:val="none"/>
                <w:lang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8。</w:t>
            </w:r>
          </w:p>
          <w:p w14:paraId="42C18B26">
            <w:pPr>
              <w:pStyle w:val="30"/>
              <w:rPr>
                <w:rFonts w:hint="default"/>
                <w:highlight w:val="none"/>
              </w:rPr>
            </w:pPr>
            <w:r>
              <w:rPr>
                <w:highlight w:val="none"/>
              </w:rPr>
              <w:t>表4-8废水污染物监测计划</w:t>
            </w:r>
          </w:p>
          <w:tbl>
            <w:tblPr>
              <w:tblStyle w:val="2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833"/>
              <w:gridCol w:w="1304"/>
              <w:gridCol w:w="1154"/>
              <w:gridCol w:w="2267"/>
            </w:tblGrid>
            <w:tr w14:paraId="75A5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8" w:type="pct"/>
                  <w:vAlign w:val="center"/>
                </w:tcPr>
                <w:p w14:paraId="16040D32">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bidi="ar"/>
                      <w14:textFill>
                        <w14:solidFill>
                          <w14:schemeClr w14:val="tx1"/>
                        </w14:solidFill>
                      </w14:textFill>
                    </w:rPr>
                    <w:t>类别</w:t>
                  </w:r>
                </w:p>
              </w:tc>
              <w:tc>
                <w:tcPr>
                  <w:tcW w:w="1705" w:type="pct"/>
                  <w:vAlign w:val="center"/>
                </w:tcPr>
                <w:p w14:paraId="347AE938">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bidi="ar"/>
                      <w14:textFill>
                        <w14:solidFill>
                          <w14:schemeClr w14:val="tx1"/>
                        </w14:solidFill>
                      </w14:textFill>
                    </w:rPr>
                    <w:t>监测因子</w:t>
                  </w:r>
                </w:p>
              </w:tc>
              <w:tc>
                <w:tcPr>
                  <w:tcW w:w="785" w:type="pct"/>
                  <w:vAlign w:val="center"/>
                </w:tcPr>
                <w:p w14:paraId="6A51C9B4">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bidi="ar"/>
                      <w14:textFill>
                        <w14:solidFill>
                          <w14:schemeClr w14:val="tx1"/>
                        </w14:solidFill>
                      </w14:textFill>
                    </w:rPr>
                    <w:t>监测点位</w:t>
                  </w:r>
                </w:p>
              </w:tc>
              <w:tc>
                <w:tcPr>
                  <w:tcW w:w="695" w:type="pct"/>
                  <w:vAlign w:val="center"/>
                </w:tcPr>
                <w:p w14:paraId="5EB3FFB7">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bidi="ar"/>
                      <w14:textFill>
                        <w14:solidFill>
                          <w14:schemeClr w14:val="tx1"/>
                        </w14:solidFill>
                      </w14:textFill>
                    </w:rPr>
                    <w:t>监测频率</w:t>
                  </w:r>
                </w:p>
              </w:tc>
              <w:tc>
                <w:tcPr>
                  <w:tcW w:w="1364" w:type="pct"/>
                  <w:vAlign w:val="center"/>
                </w:tcPr>
                <w:p w14:paraId="3A65FCF4">
                  <w:pPr>
                    <w:pStyle w:val="34"/>
                    <w:widowControl/>
                    <w:spacing w:line="240" w:lineRule="auto"/>
                    <w:ind w:firstLine="0" w:firstLineChars="0"/>
                    <w:jc w:val="center"/>
                    <w:rPr>
                      <w:b/>
                      <w:bCs/>
                      <w:color w:val="000000" w:themeColor="text1"/>
                      <w:kern w:val="0"/>
                      <w:sz w:val="21"/>
                      <w:szCs w:val="21"/>
                      <w:highlight w:val="none"/>
                      <w:lang w:bidi="ar"/>
                      <w14:textFill>
                        <w14:solidFill>
                          <w14:schemeClr w14:val="tx1"/>
                        </w14:solidFill>
                      </w14:textFill>
                    </w:rPr>
                  </w:pPr>
                  <w:r>
                    <w:rPr>
                      <w:rFonts w:hint="eastAsia"/>
                      <w:b/>
                      <w:bCs/>
                      <w:color w:val="000000" w:themeColor="text1"/>
                      <w:kern w:val="0"/>
                      <w:sz w:val="21"/>
                      <w:szCs w:val="21"/>
                      <w:highlight w:val="none"/>
                      <w:lang w:bidi="ar"/>
                      <w14:textFill>
                        <w14:solidFill>
                          <w14:schemeClr w14:val="tx1"/>
                        </w14:solidFill>
                      </w14:textFill>
                    </w:rPr>
                    <w:t>执行标准</w:t>
                  </w:r>
                </w:p>
              </w:tc>
            </w:tr>
            <w:tr w14:paraId="3E44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8" w:type="pct"/>
                  <w:vAlign w:val="center"/>
                </w:tcPr>
                <w:p w14:paraId="7758A79B">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屠宰废水</w:t>
                  </w:r>
                </w:p>
              </w:tc>
              <w:tc>
                <w:tcPr>
                  <w:tcW w:w="1705" w:type="pct"/>
                  <w:vAlign w:val="center"/>
                </w:tcPr>
                <w:p w14:paraId="1F22EF67">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pH、色度、臭和味、浑浊度、溶解氧、生化需氧量、氨（以N计）、阴离子合成洗涤剂、大肠埃希氏菌、总氯、溶解性总固体</w:t>
                  </w:r>
                </w:p>
              </w:tc>
              <w:tc>
                <w:tcPr>
                  <w:tcW w:w="785" w:type="pct"/>
                  <w:vAlign w:val="center"/>
                </w:tcPr>
                <w:p w14:paraId="1A471345">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回用水池</w:t>
                  </w:r>
                </w:p>
              </w:tc>
              <w:tc>
                <w:tcPr>
                  <w:tcW w:w="695" w:type="pct"/>
                  <w:vAlign w:val="center"/>
                </w:tcPr>
                <w:p w14:paraId="33BAF12B">
                  <w:pPr>
                    <w:pStyle w:val="34"/>
                    <w:widowControl/>
                    <w:spacing w:line="240" w:lineRule="auto"/>
                    <w:ind w:firstLine="0" w:firstLineChars="0"/>
                    <w:jc w:val="center"/>
                    <w:rPr>
                      <w:color w:val="000000" w:themeColor="text1"/>
                      <w:kern w:val="0"/>
                      <w:sz w:val="21"/>
                      <w:szCs w:val="21"/>
                      <w:highlight w:val="none"/>
                      <w:lang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1次/半年</w:t>
                  </w:r>
                </w:p>
              </w:tc>
              <w:tc>
                <w:tcPr>
                  <w:tcW w:w="1364" w:type="pct"/>
                  <w:vAlign w:val="center"/>
                </w:tcPr>
                <w:p w14:paraId="25C2D3D1">
                  <w:pPr>
                    <w:pStyle w:val="34"/>
                    <w:widowControl/>
                    <w:spacing w:line="240" w:lineRule="auto"/>
                    <w:ind w:firstLine="0" w:firstLineChars="0"/>
                    <w:jc w:val="center"/>
                    <w:rPr>
                      <w:color w:val="000000" w:themeColor="text1"/>
                      <w:kern w:val="0"/>
                      <w:sz w:val="21"/>
                      <w:szCs w:val="21"/>
                      <w:highlight w:val="none"/>
                      <w:lang w:eastAsia="zh-CN" w:bidi="ar"/>
                      <w14:textFill>
                        <w14:solidFill>
                          <w14:schemeClr w14:val="tx1"/>
                        </w14:solidFill>
                      </w14:textFill>
                    </w:rPr>
                  </w:pPr>
                  <w:r>
                    <w:rPr>
                      <w:rFonts w:hint="eastAsia"/>
                      <w:color w:val="000000" w:themeColor="text1"/>
                      <w:kern w:val="0"/>
                      <w:sz w:val="21"/>
                      <w:szCs w:val="21"/>
                      <w:highlight w:val="none"/>
                      <w:lang w:eastAsia="zh-CN" w:bidi="ar"/>
                      <w14:textFill>
                        <w14:solidFill>
                          <w14:schemeClr w14:val="tx1"/>
                        </w14:solidFill>
                      </w14:textFill>
                    </w:rPr>
                    <w:t>《城市污水再生利用城市杂用水水质》GB/T 18920-2020表1城市绿化</w:t>
                  </w:r>
                </w:p>
              </w:tc>
            </w:tr>
          </w:tbl>
          <w:p w14:paraId="6E9BFA4C">
            <w:pPr>
              <w:pStyle w:val="34"/>
              <w:widowControl/>
              <w:ind w:firstLine="566"/>
              <w:jc w:val="left"/>
              <w:rPr>
                <w:b/>
                <w:bCs/>
                <w:color w:val="000000" w:themeColor="text1"/>
                <w:kern w:val="0"/>
                <w:sz w:val="28"/>
                <w:szCs w:val="28"/>
                <w:highlight w:val="none"/>
                <w:lang w:eastAsia="zh-CN" w:bidi="ar"/>
                <w14:textFill>
                  <w14:solidFill>
                    <w14:schemeClr w14:val="tx1"/>
                  </w14:solidFill>
                </w14:textFill>
              </w:rPr>
            </w:pPr>
            <w:r>
              <w:rPr>
                <w:rFonts w:hint="eastAsia"/>
                <w:b/>
                <w:bCs/>
                <w:color w:val="000000" w:themeColor="text1"/>
                <w:kern w:val="0"/>
                <w:sz w:val="28"/>
                <w:szCs w:val="28"/>
                <w:highlight w:val="none"/>
                <w:lang w:eastAsia="zh-CN" w:bidi="ar"/>
                <w14:textFill>
                  <w14:solidFill>
                    <w14:schemeClr w14:val="tx1"/>
                  </w14:solidFill>
                </w14:textFill>
              </w:rPr>
              <w:t>3.噪声</w:t>
            </w:r>
          </w:p>
          <w:p w14:paraId="70DE3955">
            <w:pPr>
              <w:pStyle w:val="34"/>
              <w:ind w:firstLine="486"/>
              <w:rPr>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（1）噪声源强分析</w:t>
            </w:r>
          </w:p>
          <w:p w14:paraId="184A584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本项目属于屠宰类项目，声源设备少且声源强度不高，噪声主要来源于脱毛机、羊叫声和汽车噪声等。</w:t>
            </w:r>
          </w:p>
          <w:p w14:paraId="772A8DDC">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①机械噪声：根据《环境影响评价技术导则</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声环境》（</w:t>
            </w:r>
            <w:r>
              <w:rPr>
                <w:color w:val="000000" w:themeColor="text1"/>
                <w:highlight w:val="none"/>
                <w:lang w:eastAsia="zh-CN"/>
                <w14:textFill>
                  <w14:solidFill>
                    <w14:schemeClr w14:val="tx1"/>
                  </w14:solidFill>
                </w14:textFill>
              </w:rPr>
              <w:t>HJ2.4-2021</w:t>
            </w:r>
            <w:r>
              <w:rPr>
                <w:rFonts w:hint="eastAsia"/>
                <w:color w:val="000000" w:themeColor="text1"/>
                <w:highlight w:val="none"/>
                <w:lang w:eastAsia="zh-CN"/>
                <w14:textFill>
                  <w14:solidFill>
                    <w14:schemeClr w14:val="tx1"/>
                  </w14:solidFill>
                </w14:textFill>
              </w:rPr>
              <w:t>），本次评价采用无指向性点声源的几何发散衰减公式进行预测：将脱毛机视为一个噪声源，在声源传播过程中，噪声经过距离衰减和空气吸收后，到达厂界受声点。</w:t>
            </w:r>
          </w:p>
          <w:p w14:paraId="369135D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本次评价噪声预测模式如下：</w:t>
            </w:r>
          </w:p>
          <w:p w14:paraId="7BCB824C">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1）噪声在空气中的理论衰减公式为：</w:t>
            </w:r>
          </w:p>
          <w:p w14:paraId="49528DDA">
            <w:pPr>
              <w:pStyle w:val="34"/>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距离传播衰减模式：</w:t>
            </w:r>
            <w:r>
              <w:rPr>
                <w:color w:val="000000" w:themeColor="text1"/>
                <w:highlight w:val="none"/>
                <w:lang w:eastAsia="zh-CN"/>
                <w14:textFill>
                  <w14:solidFill>
                    <w14:schemeClr w14:val="tx1"/>
                  </w14:solidFill>
                </w14:textFill>
              </w:rPr>
              <w:t>L</w:t>
            </w:r>
            <w:r>
              <w:rPr>
                <w:color w:val="000000" w:themeColor="text1"/>
                <w:highlight w:val="none"/>
                <w:vertAlign w:val="subscript"/>
                <w:lang w:eastAsia="zh-CN"/>
                <w14:textFill>
                  <w14:solidFill>
                    <w14:schemeClr w14:val="tx1"/>
                  </w14:solidFill>
                </w14:textFill>
              </w:rPr>
              <w:t>P2</w:t>
            </w:r>
            <w:r>
              <w:rPr>
                <w:color w:val="000000" w:themeColor="text1"/>
                <w:highlight w:val="none"/>
                <w:lang w:eastAsia="zh-CN"/>
                <w14:textFill>
                  <w14:solidFill>
                    <w14:schemeClr w14:val="tx1"/>
                  </w14:solidFill>
                </w14:textFill>
              </w:rPr>
              <w:t>=L</w:t>
            </w:r>
            <w:r>
              <w:rPr>
                <w:color w:val="000000" w:themeColor="text1"/>
                <w:highlight w:val="none"/>
                <w:vertAlign w:val="subscript"/>
                <w:lang w:eastAsia="zh-CN"/>
                <w14:textFill>
                  <w14:solidFill>
                    <w14:schemeClr w14:val="tx1"/>
                  </w14:solidFill>
                </w14:textFill>
              </w:rPr>
              <w:t>P1</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20lg</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r</w:t>
            </w:r>
            <w:r>
              <w:rPr>
                <w:color w:val="000000" w:themeColor="text1"/>
                <w:highlight w:val="none"/>
                <w:vertAlign w:val="subscript"/>
                <w:lang w:eastAsia="zh-CN"/>
                <w14:textFill>
                  <w14:solidFill>
                    <w14:schemeClr w14:val="tx1"/>
                  </w14:solidFill>
                </w14:textFill>
              </w:rPr>
              <w:t>2</w:t>
            </w:r>
            <w:r>
              <w:rPr>
                <w:color w:val="000000" w:themeColor="text1"/>
                <w:highlight w:val="none"/>
                <w:lang w:eastAsia="zh-CN"/>
                <w14:textFill>
                  <w14:solidFill>
                    <w14:schemeClr w14:val="tx1"/>
                  </w14:solidFill>
                </w14:textFill>
              </w:rPr>
              <w:t>/r</w:t>
            </w:r>
            <w:r>
              <w:rPr>
                <w:color w:val="000000" w:themeColor="text1"/>
                <w:highlight w:val="none"/>
                <w:vertAlign w:val="subscript"/>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p>
          <w:p w14:paraId="7F18C1ED">
            <w:pPr>
              <w:pStyle w:val="34"/>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式中：</w:t>
            </w:r>
            <w:r>
              <w:rPr>
                <w:color w:val="000000" w:themeColor="text1"/>
                <w:highlight w:val="none"/>
                <w:lang w:eastAsia="zh-CN"/>
                <w14:textFill>
                  <w14:solidFill>
                    <w14:schemeClr w14:val="tx1"/>
                  </w14:solidFill>
                </w14:textFill>
              </w:rPr>
              <w:t>L</w:t>
            </w:r>
            <w:r>
              <w:rPr>
                <w:color w:val="000000" w:themeColor="text1"/>
                <w:highlight w:val="none"/>
                <w:vertAlign w:val="subscript"/>
                <w:lang w:eastAsia="zh-CN"/>
                <w14:textFill>
                  <w14:solidFill>
                    <w14:schemeClr w14:val="tx1"/>
                  </w14:solidFill>
                </w14:textFill>
              </w:rPr>
              <w:t>P1</w:t>
            </w:r>
            <w:r>
              <w:rPr>
                <w:rFonts w:hint="eastAsia"/>
                <w:color w:val="000000" w:themeColor="text1"/>
                <w:highlight w:val="none"/>
                <w:lang w:eastAsia="zh-CN"/>
                <w14:textFill>
                  <w14:solidFill>
                    <w14:schemeClr w14:val="tx1"/>
                  </w14:solidFill>
                </w14:textFill>
              </w:rPr>
              <w:t>——受声点</w:t>
            </w:r>
            <w:r>
              <w:rPr>
                <w:color w:val="000000" w:themeColor="text1"/>
                <w:highlight w:val="none"/>
                <w:lang w:eastAsia="zh-CN"/>
                <w14:textFill>
                  <w14:solidFill>
                    <w14:schemeClr w14:val="tx1"/>
                  </w14:solidFill>
                </w14:textFill>
              </w:rPr>
              <w:t>P</w:t>
            </w:r>
            <w:r>
              <w:rPr>
                <w:color w:val="000000" w:themeColor="text1"/>
                <w:highlight w:val="none"/>
                <w:vertAlign w:val="subscript"/>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处的声级</w:t>
            </w:r>
            <w:r>
              <w:rPr>
                <w:color w:val="000000" w:themeColor="text1"/>
                <w:highlight w:val="none"/>
                <w:lang w:eastAsia="zh-CN"/>
                <w14:textFill>
                  <w14:solidFill>
                    <w14:schemeClr w14:val="tx1"/>
                  </w14:solidFill>
                </w14:textFill>
              </w:rPr>
              <w:t>[dB(A)]</w:t>
            </w:r>
            <w:r>
              <w:rPr>
                <w:rFonts w:hint="eastAsia"/>
                <w:color w:val="000000" w:themeColor="text1"/>
                <w:highlight w:val="none"/>
                <w:lang w:eastAsia="zh-CN"/>
                <w14:textFill>
                  <w14:solidFill>
                    <w14:schemeClr w14:val="tx1"/>
                  </w14:solidFill>
                </w14:textFill>
              </w:rPr>
              <w:t>；</w:t>
            </w:r>
          </w:p>
          <w:p w14:paraId="73D4AA37">
            <w:pPr>
              <w:pStyle w:val="34"/>
              <w:ind w:firstLine="1210" w:firstLineChars="500"/>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L</w:t>
            </w:r>
            <w:r>
              <w:rPr>
                <w:color w:val="000000" w:themeColor="text1"/>
                <w:highlight w:val="none"/>
                <w:vertAlign w:val="subscript"/>
                <w:lang w:eastAsia="zh-CN"/>
                <w14:textFill>
                  <w14:solidFill>
                    <w14:schemeClr w14:val="tx1"/>
                  </w14:solidFill>
                </w14:textFill>
              </w:rPr>
              <w:t>P2</w:t>
            </w:r>
            <w:r>
              <w:rPr>
                <w:rFonts w:hint="eastAsia"/>
                <w:color w:val="000000" w:themeColor="text1"/>
                <w:highlight w:val="none"/>
                <w:lang w:eastAsia="zh-CN"/>
                <w14:textFill>
                  <w14:solidFill>
                    <w14:schemeClr w14:val="tx1"/>
                  </w14:solidFill>
                </w14:textFill>
              </w:rPr>
              <w:t>——受声点</w:t>
            </w:r>
            <w:r>
              <w:rPr>
                <w:color w:val="000000" w:themeColor="text1"/>
                <w:highlight w:val="none"/>
                <w:lang w:eastAsia="zh-CN"/>
                <w14:textFill>
                  <w14:solidFill>
                    <w14:schemeClr w14:val="tx1"/>
                  </w14:solidFill>
                </w14:textFill>
              </w:rPr>
              <w:t>P</w:t>
            </w:r>
            <w:r>
              <w:rPr>
                <w:color w:val="000000" w:themeColor="text1"/>
                <w:highlight w:val="none"/>
                <w:vertAlign w:val="subscript"/>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处的声级</w:t>
            </w:r>
            <w:r>
              <w:rPr>
                <w:color w:val="000000" w:themeColor="text1"/>
                <w:highlight w:val="none"/>
                <w:lang w:eastAsia="zh-CN"/>
                <w14:textFill>
                  <w14:solidFill>
                    <w14:schemeClr w14:val="tx1"/>
                  </w14:solidFill>
                </w14:textFill>
              </w:rPr>
              <w:t>[dB(A)]</w:t>
            </w:r>
            <w:r>
              <w:rPr>
                <w:rFonts w:hint="eastAsia"/>
                <w:color w:val="000000" w:themeColor="text1"/>
                <w:highlight w:val="none"/>
                <w:lang w:eastAsia="zh-CN"/>
                <w14:textFill>
                  <w14:solidFill>
                    <w14:schemeClr w14:val="tx1"/>
                  </w14:solidFill>
                </w14:textFill>
              </w:rPr>
              <w:t>；</w:t>
            </w:r>
          </w:p>
          <w:p w14:paraId="4092E968">
            <w:pPr>
              <w:pStyle w:val="34"/>
              <w:ind w:firstLine="1210" w:firstLineChars="500"/>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r</w:t>
            </w:r>
            <w:r>
              <w:rPr>
                <w:color w:val="000000" w:themeColor="text1"/>
                <w:highlight w:val="none"/>
                <w:vertAlign w:val="subscript"/>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——声源至</w:t>
            </w:r>
            <w:r>
              <w:rPr>
                <w:color w:val="000000" w:themeColor="text1"/>
                <w:highlight w:val="none"/>
                <w:lang w:eastAsia="zh-CN"/>
                <w14:textFill>
                  <w14:solidFill>
                    <w14:schemeClr w14:val="tx1"/>
                  </w14:solidFill>
                </w14:textFill>
              </w:rPr>
              <w:t>P</w:t>
            </w:r>
            <w:r>
              <w:rPr>
                <w:color w:val="000000" w:themeColor="text1"/>
                <w:highlight w:val="none"/>
                <w:vertAlign w:val="subscript"/>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处的距离（m）；</w:t>
            </w:r>
          </w:p>
          <w:p w14:paraId="5F110422">
            <w:pPr>
              <w:pStyle w:val="34"/>
              <w:ind w:firstLine="1210" w:firstLineChars="500"/>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r</w:t>
            </w:r>
            <w:r>
              <w:rPr>
                <w:color w:val="000000" w:themeColor="text1"/>
                <w:highlight w:val="none"/>
                <w:vertAlign w:val="subscript"/>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——声源至</w:t>
            </w:r>
            <w:r>
              <w:rPr>
                <w:color w:val="000000" w:themeColor="text1"/>
                <w:highlight w:val="none"/>
                <w:lang w:eastAsia="zh-CN"/>
                <w14:textFill>
                  <w14:solidFill>
                    <w14:schemeClr w14:val="tx1"/>
                  </w14:solidFill>
                </w14:textFill>
              </w:rPr>
              <w:t>P</w:t>
            </w:r>
            <w:r>
              <w:rPr>
                <w:color w:val="000000" w:themeColor="text1"/>
                <w:highlight w:val="none"/>
                <w:vertAlign w:val="subscript"/>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处的距离（m）。</w:t>
            </w:r>
          </w:p>
          <w:p w14:paraId="2AD885E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2）预测结果及分析</w:t>
            </w:r>
          </w:p>
          <w:p w14:paraId="4F9520C4">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本项目为改建项目，班制为</w:t>
            </w:r>
            <w:r>
              <w:rPr>
                <w:color w:val="000000" w:themeColor="text1"/>
                <w:highlight w:val="none"/>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班制，白天运行，故本评价预测本项目运营期间昼间噪声对东、南、西、北厂界及敏感点噪声的贡献值，预测结果见表</w:t>
            </w:r>
            <w:r>
              <w:rPr>
                <w:color w:val="000000" w:themeColor="text1"/>
                <w:highlight w:val="none"/>
                <w:lang w:eastAsia="zh-CN"/>
                <w14:textFill>
                  <w14:solidFill>
                    <w14:schemeClr w14:val="tx1"/>
                  </w14:solidFill>
                </w14:textFill>
              </w:rPr>
              <w:t>4-1</w:t>
            </w:r>
            <w:r>
              <w:rPr>
                <w:rFonts w:hint="eastAsia"/>
                <w:color w:val="000000" w:themeColor="text1"/>
                <w:highlight w:val="none"/>
                <w:lang w:eastAsia="zh-CN"/>
                <w14:textFill>
                  <w14:solidFill>
                    <w14:schemeClr w14:val="tx1"/>
                  </w14:solidFill>
                </w14:textFill>
              </w:rPr>
              <w:t>2。</w:t>
            </w:r>
          </w:p>
          <w:p w14:paraId="2716EE19">
            <w:pPr>
              <w:widowControl/>
              <w:jc w:val="center"/>
              <w:rPr>
                <w:color w:val="000000" w:themeColor="text1"/>
                <w:szCs w:val="21"/>
                <w:highlight w:val="none"/>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表</w:t>
            </w:r>
            <w:r>
              <w:rPr>
                <w:b/>
                <w:bCs/>
                <w:color w:val="000000" w:themeColor="text1"/>
                <w:kern w:val="0"/>
                <w:szCs w:val="21"/>
                <w:highlight w:val="none"/>
                <w:lang w:bidi="ar"/>
                <w14:textFill>
                  <w14:solidFill>
                    <w14:schemeClr w14:val="tx1"/>
                  </w14:solidFill>
                </w14:textFill>
              </w:rPr>
              <w:t>4-</w:t>
            </w:r>
            <w:r>
              <w:rPr>
                <w:rFonts w:hint="eastAsia"/>
                <w:b/>
                <w:bCs/>
                <w:color w:val="000000" w:themeColor="text1"/>
                <w:kern w:val="0"/>
                <w:szCs w:val="21"/>
                <w:highlight w:val="none"/>
                <w:lang w:bidi="ar"/>
                <w14:textFill>
                  <w14:solidFill>
                    <w14:schemeClr w14:val="tx1"/>
                  </w14:solidFill>
                </w14:textFill>
              </w:rPr>
              <w:t>9</w:t>
            </w:r>
            <w:r>
              <w:rPr>
                <w:rFonts w:hint="eastAsia" w:cs="宋体"/>
                <w:b/>
                <w:bCs/>
                <w:color w:val="000000" w:themeColor="text1"/>
                <w:kern w:val="0"/>
                <w:szCs w:val="21"/>
                <w:highlight w:val="none"/>
                <w:lang w:bidi="ar"/>
                <w14:textFill>
                  <w14:solidFill>
                    <w14:schemeClr w14:val="tx1"/>
                  </w14:solidFill>
                </w14:textFill>
              </w:rPr>
              <w:t>项目厂界噪声预测结果单位：</w:t>
            </w:r>
            <w:r>
              <w:rPr>
                <w:b/>
                <w:bCs/>
                <w:color w:val="000000" w:themeColor="text1"/>
                <w:kern w:val="0"/>
                <w:szCs w:val="21"/>
                <w:highlight w:val="none"/>
                <w:lang w:bidi="ar"/>
                <w14:textFill>
                  <w14:solidFill>
                    <w14:schemeClr w14:val="tx1"/>
                  </w14:solidFill>
                </w14:textFill>
              </w:rPr>
              <w:t>dB</w:t>
            </w:r>
            <w:r>
              <w:rPr>
                <w:rFonts w:hint="eastAsia" w:cs="宋体"/>
                <w:b/>
                <w:bCs/>
                <w:color w:val="000000" w:themeColor="text1"/>
                <w:kern w:val="0"/>
                <w:szCs w:val="21"/>
                <w:highlight w:val="none"/>
                <w:lang w:bidi="ar"/>
                <w14:textFill>
                  <w14:solidFill>
                    <w14:schemeClr w14:val="tx1"/>
                  </w14:solidFill>
                </w14:textFill>
              </w:rPr>
              <w:t>（</w:t>
            </w:r>
            <w:r>
              <w:rPr>
                <w:b/>
                <w:bCs/>
                <w:color w:val="000000" w:themeColor="text1"/>
                <w:kern w:val="0"/>
                <w:szCs w:val="21"/>
                <w:highlight w:val="none"/>
                <w:lang w:bidi="ar"/>
                <w14:textFill>
                  <w14:solidFill>
                    <w14:schemeClr w14:val="tx1"/>
                  </w14:solidFill>
                </w14:textFill>
              </w:rPr>
              <w:t>A</w:t>
            </w:r>
            <w:r>
              <w:rPr>
                <w:rFonts w:hint="eastAsia" w:cs="宋体"/>
                <w:b/>
                <w:bCs/>
                <w:color w:val="000000" w:themeColor="text1"/>
                <w:kern w:val="0"/>
                <w:szCs w:val="21"/>
                <w:highlight w:val="none"/>
                <w:lang w:bidi="ar"/>
                <w14:textFill>
                  <w14:solidFill>
                    <w14:schemeClr w14:val="tx1"/>
                  </w14:solidFill>
                </w14:textFill>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098"/>
              <w:gridCol w:w="2098"/>
              <w:gridCol w:w="2098"/>
            </w:tblGrid>
            <w:tr w14:paraId="1DA0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vMerge w:val="restart"/>
                  <w:vAlign w:val="center"/>
                </w:tcPr>
                <w:p w14:paraId="35B90854">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点位</w:t>
                  </w:r>
                </w:p>
              </w:tc>
              <w:tc>
                <w:tcPr>
                  <w:tcW w:w="2098" w:type="dxa"/>
                  <w:vAlign w:val="center"/>
                </w:tcPr>
                <w:p w14:paraId="168150CA">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预测值</w:t>
                  </w:r>
                </w:p>
              </w:tc>
              <w:tc>
                <w:tcPr>
                  <w:tcW w:w="2098" w:type="dxa"/>
                  <w:vAlign w:val="center"/>
                </w:tcPr>
                <w:p w14:paraId="7A0519CA">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标准限值</w:t>
                  </w:r>
                </w:p>
              </w:tc>
              <w:tc>
                <w:tcPr>
                  <w:tcW w:w="2098" w:type="dxa"/>
                  <w:vMerge w:val="restart"/>
                  <w:vAlign w:val="center"/>
                </w:tcPr>
                <w:p w14:paraId="30BB545E">
                  <w:pPr>
                    <w:widowControl/>
                    <w:jc w:val="center"/>
                    <w:rPr>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达标情况</w:t>
                  </w:r>
                </w:p>
              </w:tc>
            </w:tr>
            <w:tr w14:paraId="57EC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vMerge w:val="continue"/>
                  <w:vAlign w:val="center"/>
                </w:tcPr>
                <w:p w14:paraId="2DE515B9">
                  <w:pPr>
                    <w:widowControl/>
                    <w:jc w:val="center"/>
                    <w:rPr>
                      <w:b/>
                      <w:bCs/>
                      <w:color w:val="000000" w:themeColor="text1"/>
                      <w:kern w:val="0"/>
                      <w:szCs w:val="21"/>
                      <w:highlight w:val="none"/>
                      <w:lang w:bidi="ar"/>
                      <w14:textFill>
                        <w14:solidFill>
                          <w14:schemeClr w14:val="tx1"/>
                        </w14:solidFill>
                      </w14:textFill>
                    </w:rPr>
                  </w:pPr>
                </w:p>
              </w:tc>
              <w:tc>
                <w:tcPr>
                  <w:tcW w:w="2098" w:type="dxa"/>
                  <w:vAlign w:val="center"/>
                </w:tcPr>
                <w:p w14:paraId="487F2FB3">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昼间</w:t>
                  </w:r>
                </w:p>
              </w:tc>
              <w:tc>
                <w:tcPr>
                  <w:tcW w:w="2098" w:type="dxa"/>
                  <w:vAlign w:val="center"/>
                </w:tcPr>
                <w:p w14:paraId="5255C988">
                  <w:pPr>
                    <w:widowControl/>
                    <w:jc w:val="center"/>
                    <w:rPr>
                      <w:b/>
                      <w:bCs/>
                      <w:color w:val="000000" w:themeColor="text1"/>
                      <w:kern w:val="0"/>
                      <w:szCs w:val="21"/>
                      <w:highlight w:val="none"/>
                      <w:lang w:bidi="ar"/>
                      <w14:textFill>
                        <w14:solidFill>
                          <w14:schemeClr w14:val="tx1"/>
                        </w14:solidFill>
                      </w14:textFill>
                    </w:rPr>
                  </w:pPr>
                  <w:r>
                    <w:rPr>
                      <w:rFonts w:hint="eastAsia"/>
                      <w:b/>
                      <w:bCs/>
                      <w:color w:val="000000" w:themeColor="text1"/>
                      <w:kern w:val="0"/>
                      <w:szCs w:val="21"/>
                      <w:highlight w:val="none"/>
                      <w:lang w:bidi="ar"/>
                      <w14:textFill>
                        <w14:solidFill>
                          <w14:schemeClr w14:val="tx1"/>
                        </w14:solidFill>
                      </w14:textFill>
                    </w:rPr>
                    <w:t>昼间</w:t>
                  </w:r>
                </w:p>
              </w:tc>
              <w:tc>
                <w:tcPr>
                  <w:tcW w:w="2098" w:type="dxa"/>
                  <w:vMerge w:val="continue"/>
                  <w:vAlign w:val="center"/>
                </w:tcPr>
                <w:p w14:paraId="402148A3">
                  <w:pPr>
                    <w:widowControl/>
                    <w:jc w:val="center"/>
                    <w:rPr>
                      <w:color w:val="000000" w:themeColor="text1"/>
                      <w:kern w:val="0"/>
                      <w:szCs w:val="21"/>
                      <w:highlight w:val="none"/>
                      <w:lang w:bidi="ar"/>
                      <w14:textFill>
                        <w14:solidFill>
                          <w14:schemeClr w14:val="tx1"/>
                        </w14:solidFill>
                      </w14:textFill>
                    </w:rPr>
                  </w:pPr>
                </w:p>
              </w:tc>
            </w:tr>
            <w:tr w14:paraId="6114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vAlign w:val="center"/>
                </w:tcPr>
                <w:p w14:paraId="252DD518">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东厂界</w:t>
                  </w:r>
                </w:p>
              </w:tc>
              <w:tc>
                <w:tcPr>
                  <w:tcW w:w="2098" w:type="dxa"/>
                  <w:vAlign w:val="center"/>
                </w:tcPr>
                <w:p w14:paraId="6A54CB8A">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40.46</w:t>
                  </w:r>
                </w:p>
              </w:tc>
              <w:tc>
                <w:tcPr>
                  <w:tcW w:w="2098" w:type="dxa"/>
                  <w:vAlign w:val="center"/>
                </w:tcPr>
                <w:p w14:paraId="52115475">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60</w:t>
                  </w:r>
                </w:p>
              </w:tc>
              <w:tc>
                <w:tcPr>
                  <w:tcW w:w="2098" w:type="dxa"/>
                  <w:vAlign w:val="center"/>
                </w:tcPr>
                <w:p w14:paraId="7DE1F8D9">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达标</w:t>
                  </w:r>
                </w:p>
              </w:tc>
            </w:tr>
            <w:tr w14:paraId="156B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vAlign w:val="center"/>
                </w:tcPr>
                <w:p w14:paraId="6CD98B09">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南厂界</w:t>
                  </w:r>
                </w:p>
              </w:tc>
              <w:tc>
                <w:tcPr>
                  <w:tcW w:w="2098" w:type="dxa"/>
                  <w:vAlign w:val="center"/>
                </w:tcPr>
                <w:p w14:paraId="70B7BD45">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54.44</w:t>
                  </w:r>
                </w:p>
              </w:tc>
              <w:tc>
                <w:tcPr>
                  <w:tcW w:w="2098" w:type="dxa"/>
                  <w:vAlign w:val="center"/>
                </w:tcPr>
                <w:p w14:paraId="53E4FA93">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60</w:t>
                  </w:r>
                </w:p>
              </w:tc>
              <w:tc>
                <w:tcPr>
                  <w:tcW w:w="2098" w:type="dxa"/>
                  <w:vAlign w:val="center"/>
                </w:tcPr>
                <w:p w14:paraId="126DB2A5">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达标</w:t>
                  </w:r>
                </w:p>
              </w:tc>
            </w:tr>
            <w:tr w14:paraId="48BE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vAlign w:val="center"/>
                </w:tcPr>
                <w:p w14:paraId="4A59BF6E">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西厂界</w:t>
                  </w:r>
                </w:p>
              </w:tc>
              <w:tc>
                <w:tcPr>
                  <w:tcW w:w="2098" w:type="dxa"/>
                  <w:vAlign w:val="center"/>
                </w:tcPr>
                <w:p w14:paraId="7011AA30">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50.00</w:t>
                  </w:r>
                </w:p>
              </w:tc>
              <w:tc>
                <w:tcPr>
                  <w:tcW w:w="2098" w:type="dxa"/>
                  <w:vAlign w:val="center"/>
                </w:tcPr>
                <w:p w14:paraId="70BADB5C">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60</w:t>
                  </w:r>
                </w:p>
              </w:tc>
              <w:tc>
                <w:tcPr>
                  <w:tcW w:w="2098" w:type="dxa"/>
                  <w:vAlign w:val="center"/>
                </w:tcPr>
                <w:p w14:paraId="4B7E563A">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达标</w:t>
                  </w:r>
                </w:p>
              </w:tc>
            </w:tr>
            <w:tr w14:paraId="2419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vAlign w:val="center"/>
                </w:tcPr>
                <w:p w14:paraId="5A0BE5DE">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北厂界</w:t>
                  </w:r>
                </w:p>
              </w:tc>
              <w:tc>
                <w:tcPr>
                  <w:tcW w:w="2098" w:type="dxa"/>
                  <w:vAlign w:val="center"/>
                </w:tcPr>
                <w:p w14:paraId="157E5A21">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56.02</w:t>
                  </w:r>
                </w:p>
              </w:tc>
              <w:tc>
                <w:tcPr>
                  <w:tcW w:w="2098" w:type="dxa"/>
                  <w:vAlign w:val="center"/>
                </w:tcPr>
                <w:p w14:paraId="2B546DB8">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60</w:t>
                  </w:r>
                </w:p>
              </w:tc>
              <w:tc>
                <w:tcPr>
                  <w:tcW w:w="2098" w:type="dxa"/>
                  <w:vAlign w:val="center"/>
                </w:tcPr>
                <w:p w14:paraId="6101FB7E">
                  <w:pPr>
                    <w:widowControl/>
                    <w:jc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达标</w:t>
                  </w:r>
                </w:p>
              </w:tc>
            </w:tr>
          </w:tbl>
          <w:p w14:paraId="11C5F526">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从表</w:t>
            </w:r>
            <w:r>
              <w:rPr>
                <w:color w:val="000000" w:themeColor="text1"/>
                <w:highlight w:val="none"/>
                <w:lang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12可以看出，项目在运行过程中，项目厂界噪声值在40.46</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56.02</w:t>
            </w:r>
            <w:r>
              <w:rPr>
                <w:color w:val="000000" w:themeColor="text1"/>
                <w:highlight w:val="none"/>
                <w:lang w:eastAsia="zh-CN"/>
                <w14:textFill>
                  <w14:solidFill>
                    <w14:schemeClr w14:val="tx1"/>
                  </w14:solidFill>
                </w14:textFill>
              </w:rPr>
              <w:t>dB</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）之间，项目夜间不运行，噪声在运营期东、南、西、北侧厂界能达到《工业企业厂界环境噪声排放标准》（</w:t>
            </w:r>
            <w:r>
              <w:rPr>
                <w:color w:val="000000" w:themeColor="text1"/>
                <w:highlight w:val="none"/>
                <w:lang w:eastAsia="zh-CN"/>
                <w14:textFill>
                  <w14:solidFill>
                    <w14:schemeClr w14:val="tx1"/>
                  </w14:solidFill>
                </w14:textFill>
              </w:rPr>
              <w:t>GB12348-2008</w:t>
            </w:r>
            <w:r>
              <w:rPr>
                <w:rFonts w:hint="eastAsia"/>
                <w:color w:val="000000" w:themeColor="text1"/>
                <w:highlight w:val="none"/>
                <w:lang w:eastAsia="zh-CN"/>
                <w14:textFill>
                  <w14:solidFill>
                    <w14:schemeClr w14:val="tx1"/>
                  </w14:solidFill>
                </w14:textFill>
              </w:rPr>
              <w:t>）中的</w:t>
            </w: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类（昼间</w:t>
            </w:r>
            <w:r>
              <w:rPr>
                <w:color w:val="000000" w:themeColor="text1"/>
                <w:highlight w:val="none"/>
                <w:lang w:eastAsia="zh-CN"/>
                <w14:textFill>
                  <w14:solidFill>
                    <w14:schemeClr w14:val="tx1"/>
                  </w14:solidFill>
                </w14:textFill>
              </w:rPr>
              <w:t>60dB</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），夜间</w:t>
            </w:r>
            <w:r>
              <w:rPr>
                <w:color w:val="000000" w:themeColor="text1"/>
                <w:highlight w:val="none"/>
                <w:lang w:eastAsia="zh-CN"/>
                <w14:textFill>
                  <w14:solidFill>
                    <w14:schemeClr w14:val="tx1"/>
                  </w14:solidFill>
                </w14:textFill>
              </w:rPr>
              <w:t>50dB</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））标准要求。</w:t>
            </w:r>
          </w:p>
          <w:p w14:paraId="725A7470">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②羊叫声</w:t>
            </w:r>
          </w:p>
          <w:p w14:paraId="1331F163">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结合本工程实际，该建设项目屠宰场采用直接刺杀放血，杀羊时产生的高于80dB（A）的死命嘶叫声，但属于瞬时噪声，不会连续很长时间，对周围环境影响很小。</w:t>
            </w:r>
          </w:p>
          <w:p w14:paraId="7E0630D0">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③汽车噪声</w:t>
            </w:r>
          </w:p>
          <w:p w14:paraId="4E8B9133">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该项目从事牲畜产品交易，在调运（运进、运出、搬运）时，汽车启动或停放时发动机将产生的噪声，其声级值约为75dB（A）。</w:t>
            </w:r>
          </w:p>
          <w:p w14:paraId="5B4E3242">
            <w:pPr>
              <w:pStyle w:val="34"/>
              <w:ind w:firstLine="486"/>
              <w:rPr>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（2）噪声污染防治措施可行性分析</w:t>
            </w:r>
          </w:p>
          <w:p w14:paraId="61EAFAEC">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为了降低噪声对周围环境的影响；采取的声污染控制措施如下：</w:t>
            </w:r>
          </w:p>
          <w:p w14:paraId="0EA90D9F">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①设备下方加装减振垫，采用基础减振等措施；</w:t>
            </w:r>
          </w:p>
          <w:p w14:paraId="067C5718">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②</w:t>
            </w:r>
            <w:r>
              <w:rPr>
                <w:rFonts w:hint="eastAsia"/>
                <w:color w:val="000000" w:themeColor="text1"/>
                <w:highlight w:val="none"/>
                <w:lang w:val="en-US" w:eastAsia="zh-CN"/>
                <w14:textFill>
                  <w14:solidFill>
                    <w14:schemeClr w14:val="tx1"/>
                  </w14:solidFill>
                </w14:textFill>
              </w:rPr>
              <w:t>合理布局设备</w:t>
            </w:r>
            <w:r>
              <w:rPr>
                <w:rFonts w:hint="eastAsia"/>
                <w:color w:val="000000" w:themeColor="text1"/>
                <w:highlight w:val="none"/>
                <w:lang w:eastAsia="zh-CN"/>
                <w14:textFill>
                  <w14:solidFill>
                    <w14:schemeClr w14:val="tx1"/>
                  </w14:solidFill>
                </w14:textFill>
              </w:rPr>
              <w:t>，控制噪声</w:t>
            </w:r>
            <w:r>
              <w:rPr>
                <w:rFonts w:hint="eastAsia"/>
                <w:color w:val="000000" w:themeColor="text1"/>
                <w:highlight w:val="none"/>
                <w:lang w:val="en-US" w:eastAsia="zh-CN"/>
                <w14:textFill>
                  <w14:solidFill>
                    <w14:schemeClr w14:val="tx1"/>
                  </w14:solidFill>
                </w14:textFill>
              </w:rPr>
              <w:t>传播</w:t>
            </w:r>
            <w:r>
              <w:rPr>
                <w:rFonts w:hint="eastAsia"/>
                <w:color w:val="000000" w:themeColor="text1"/>
                <w:highlight w:val="none"/>
                <w:lang w:eastAsia="zh-CN"/>
                <w14:textFill>
                  <w14:solidFill>
                    <w14:schemeClr w14:val="tx1"/>
                  </w14:solidFill>
                </w14:textFill>
              </w:rPr>
              <w:t>；</w:t>
            </w:r>
          </w:p>
          <w:p w14:paraId="6B25EE63">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③做好设备维护，保证其正常运行，避免突发性强噪声的产生。</w:t>
            </w:r>
          </w:p>
          <w:p w14:paraId="29372E6C">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综上，以上噪声治理措施容易实施，技术成熟可靠，投资费用较少，在经济上是可行的，且对周围环境影响很小。</w:t>
            </w:r>
          </w:p>
          <w:p w14:paraId="44FCB2C9">
            <w:pPr>
              <w:pStyle w:val="34"/>
              <w:widowControl/>
              <w:jc w:val="left"/>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（3）噪声监测计划</w:t>
            </w:r>
          </w:p>
          <w:p w14:paraId="2D63A2C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根据《排污许可证申请与核发技术规范总则》（</w:t>
            </w:r>
            <w:r>
              <w:rPr>
                <w:color w:val="000000" w:themeColor="text1"/>
                <w:highlight w:val="none"/>
                <w:lang w:eastAsia="zh-CN"/>
                <w14:textFill>
                  <w14:solidFill>
                    <w14:schemeClr w14:val="tx1"/>
                  </w14:solidFill>
                </w14:textFill>
              </w:rPr>
              <w:t>HJ860.2-2018</w:t>
            </w:r>
            <w:r>
              <w:rPr>
                <w:rFonts w:hint="eastAsia"/>
                <w:color w:val="000000" w:themeColor="text1"/>
                <w:highlight w:val="none"/>
                <w:lang w:eastAsia="zh-CN"/>
                <w14:textFill>
                  <w14:solidFill>
                    <w14:schemeClr w14:val="tx1"/>
                  </w14:solidFill>
                </w14:textFill>
              </w:rPr>
              <w:t>），项目运营期噪声监测计划见表</w:t>
            </w:r>
            <w:r>
              <w:rPr>
                <w:color w:val="000000" w:themeColor="text1"/>
                <w:highlight w:val="none"/>
                <w:lang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10。</w:t>
            </w:r>
          </w:p>
          <w:p w14:paraId="6268C3B9">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表</w:t>
            </w:r>
            <w:r>
              <w:rPr>
                <w:b/>
                <w:bCs/>
                <w:color w:val="000000" w:themeColor="text1"/>
                <w:sz w:val="21"/>
                <w:szCs w:val="21"/>
                <w:highlight w:val="none"/>
                <w:lang w:eastAsia="zh-CN"/>
                <w14:textFill>
                  <w14:solidFill>
                    <w14:schemeClr w14:val="tx1"/>
                  </w14:solidFill>
                </w14:textFill>
              </w:rPr>
              <w:t>4-</w:t>
            </w:r>
            <w:r>
              <w:rPr>
                <w:rFonts w:hint="eastAsia"/>
                <w:b/>
                <w:bCs/>
                <w:color w:val="000000" w:themeColor="text1"/>
                <w:sz w:val="21"/>
                <w:szCs w:val="21"/>
                <w:highlight w:val="none"/>
                <w:lang w:eastAsia="zh-CN"/>
                <w14:textFill>
                  <w14:solidFill>
                    <w14:schemeClr w14:val="tx1"/>
                  </w14:solidFill>
                </w14:textFill>
              </w:rPr>
              <w:t>10运营期噪声监测计划一览表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2591"/>
              <w:gridCol w:w="1333"/>
              <w:gridCol w:w="2505"/>
            </w:tblGrid>
            <w:tr w14:paraId="0017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pct"/>
                  <w:vAlign w:val="center"/>
                </w:tcPr>
                <w:p w14:paraId="68296DB7">
                  <w:pPr>
                    <w:adjustRightInd w:val="0"/>
                    <w:snapToGrid w:val="0"/>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监测点位</w:t>
                  </w:r>
                </w:p>
              </w:tc>
              <w:tc>
                <w:tcPr>
                  <w:tcW w:w="1558" w:type="pct"/>
                  <w:vAlign w:val="center"/>
                </w:tcPr>
                <w:p w14:paraId="1862F9B2">
                  <w:pPr>
                    <w:adjustRightInd w:val="0"/>
                    <w:snapToGrid w:val="0"/>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监测因子</w:t>
                  </w:r>
                </w:p>
              </w:tc>
              <w:tc>
                <w:tcPr>
                  <w:tcW w:w="802" w:type="pct"/>
                  <w:vAlign w:val="center"/>
                </w:tcPr>
                <w:p w14:paraId="2811F0F1">
                  <w:pPr>
                    <w:adjustRightInd w:val="0"/>
                    <w:snapToGrid w:val="0"/>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监测频次</w:t>
                  </w:r>
                </w:p>
              </w:tc>
              <w:tc>
                <w:tcPr>
                  <w:tcW w:w="1506" w:type="pct"/>
                  <w:vAlign w:val="center"/>
                </w:tcPr>
                <w:p w14:paraId="535507C5">
                  <w:pPr>
                    <w:adjustRightInd w:val="0"/>
                    <w:snapToGrid w:val="0"/>
                    <w:jc w:val="center"/>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监测方法</w:t>
                  </w:r>
                </w:p>
              </w:tc>
            </w:tr>
            <w:tr w14:paraId="27F3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pct"/>
                  <w:vAlign w:val="center"/>
                </w:tcPr>
                <w:p w14:paraId="314EC088">
                  <w:pPr>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lang w:val="zh-CN"/>
                      <w14:textFill>
                        <w14:solidFill>
                          <w14:schemeClr w14:val="tx1"/>
                        </w14:solidFill>
                      </w14:textFill>
                    </w:rPr>
                    <w:t>厂界东、南、西、北共4个监测点</w:t>
                  </w:r>
                </w:p>
              </w:tc>
              <w:tc>
                <w:tcPr>
                  <w:tcW w:w="1558" w:type="pct"/>
                  <w:vAlign w:val="center"/>
                </w:tcPr>
                <w:p w14:paraId="353CEAFD">
                  <w:pPr>
                    <w:adjustRightInd w:val="0"/>
                    <w:snapToGrid w:val="0"/>
                    <w:jc w:val="center"/>
                    <w:rPr>
                      <w:color w:val="000000" w:themeColor="text1"/>
                      <w:kern w:val="0"/>
                      <w:szCs w:val="21"/>
                      <w:highlight w:val="none"/>
                      <w:lang w:val="zh-CN"/>
                      <w14:textFill>
                        <w14:solidFill>
                          <w14:schemeClr w14:val="tx1"/>
                        </w14:solidFill>
                      </w14:textFill>
                    </w:rPr>
                  </w:pPr>
                  <w:r>
                    <w:rPr>
                      <w:color w:val="000000" w:themeColor="text1"/>
                      <w:kern w:val="0"/>
                      <w:szCs w:val="21"/>
                      <w:highlight w:val="none"/>
                      <w14:textFill>
                        <w14:solidFill>
                          <w14:schemeClr w14:val="tx1"/>
                        </w14:solidFill>
                      </w14:textFill>
                    </w:rPr>
                    <w:t>等效连续A声级</w:t>
                  </w:r>
                </w:p>
              </w:tc>
              <w:tc>
                <w:tcPr>
                  <w:tcW w:w="802" w:type="pct"/>
                  <w:vAlign w:val="center"/>
                </w:tcPr>
                <w:p w14:paraId="7D0FBB41">
                  <w:pPr>
                    <w:adjustRightInd w:val="0"/>
                    <w:snapToGrid w:val="0"/>
                    <w:jc w:val="center"/>
                    <w:rPr>
                      <w:color w:val="000000" w:themeColor="text1"/>
                      <w:kern w:val="0"/>
                      <w:szCs w:val="21"/>
                      <w:highlight w:val="none"/>
                      <w:lang w:val="zh-CN"/>
                      <w14:textFill>
                        <w14:solidFill>
                          <w14:schemeClr w14:val="tx1"/>
                        </w14:solidFill>
                      </w14:textFill>
                    </w:rPr>
                  </w:pPr>
                  <w:r>
                    <w:rPr>
                      <w:color w:val="000000" w:themeColor="text1"/>
                      <w:kern w:val="0"/>
                      <w:szCs w:val="21"/>
                      <w:highlight w:val="none"/>
                      <w14:textFill>
                        <w14:solidFill>
                          <w14:schemeClr w14:val="tx1"/>
                        </w14:solidFill>
                      </w14:textFill>
                    </w:rPr>
                    <w:t>1次/季度</w:t>
                  </w:r>
                </w:p>
              </w:tc>
              <w:tc>
                <w:tcPr>
                  <w:tcW w:w="1506" w:type="pct"/>
                  <w:vAlign w:val="center"/>
                </w:tcPr>
                <w:p w14:paraId="5F8FBA87">
                  <w:pPr>
                    <w:adjustRightInd w:val="0"/>
                    <w:snapToGrid w:val="0"/>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按国家标准方法进行</w:t>
                  </w:r>
                </w:p>
              </w:tc>
            </w:tr>
          </w:tbl>
          <w:p w14:paraId="4983FBB4">
            <w:pPr>
              <w:widowControl/>
              <w:spacing w:line="360" w:lineRule="auto"/>
              <w:jc w:val="left"/>
              <w:rPr>
                <w:b/>
                <w:bCs/>
                <w:color w:val="000000" w:themeColor="text1"/>
                <w:kern w:val="0"/>
                <w:sz w:val="28"/>
                <w:szCs w:val="28"/>
                <w:highlight w:val="none"/>
                <w:lang w:bidi="ar"/>
                <w14:textFill>
                  <w14:solidFill>
                    <w14:schemeClr w14:val="tx1"/>
                  </w14:solidFill>
                </w14:textFill>
              </w:rPr>
            </w:pPr>
            <w:r>
              <w:rPr>
                <w:b/>
                <w:bCs/>
                <w:color w:val="000000" w:themeColor="text1"/>
                <w:kern w:val="0"/>
                <w:sz w:val="28"/>
                <w:szCs w:val="28"/>
                <w:highlight w:val="none"/>
                <w:lang w:bidi="ar"/>
                <w14:textFill>
                  <w14:solidFill>
                    <w14:schemeClr w14:val="tx1"/>
                  </w14:solidFill>
                </w14:textFill>
              </w:rPr>
              <w:t>4</w:t>
            </w:r>
            <w:r>
              <w:rPr>
                <w:rFonts w:hint="eastAsia"/>
                <w:b/>
                <w:bCs/>
                <w:color w:val="000000" w:themeColor="text1"/>
                <w:kern w:val="0"/>
                <w:sz w:val="28"/>
                <w:szCs w:val="28"/>
                <w:highlight w:val="none"/>
                <w:lang w:bidi="ar"/>
                <w14:textFill>
                  <w14:solidFill>
                    <w14:schemeClr w14:val="tx1"/>
                  </w14:solidFill>
                </w14:textFill>
              </w:rPr>
              <w:t>.固体废物</w:t>
            </w:r>
          </w:p>
          <w:p w14:paraId="675C0C91">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该项目产生的固体废物分为一般固体废物和危险废物。一般固体废物主要为粪便、肠胃内容物、污水处理设施的污泥以及员工生活垃圾，危险废物为</w:t>
            </w:r>
            <w:r>
              <w:rPr>
                <w:rFonts w:hint="eastAsia" w:cs="宋体"/>
                <w:color w:val="000000" w:themeColor="text1"/>
                <w:szCs w:val="21"/>
                <w:highlight w:val="none"/>
                <w14:textFill>
                  <w14:solidFill>
                    <w14:schemeClr w14:val="tx1"/>
                  </w14:solidFill>
                </w14:textFill>
              </w:rPr>
              <w:t>废</w:t>
            </w:r>
            <w:r>
              <w:rPr>
                <w:rFonts w:hint="eastAsia" w:cs="宋体"/>
                <w:color w:val="000000" w:themeColor="text1"/>
                <w:szCs w:val="21"/>
                <w:highlight w:val="none"/>
                <w:lang w:val="en-US" w:eastAsia="zh-CN"/>
                <w14:textFill>
                  <w14:solidFill>
                    <w14:schemeClr w14:val="tx1"/>
                  </w14:solidFill>
                </w14:textFill>
              </w:rPr>
              <w:t>润滑油</w:t>
            </w:r>
            <w:r>
              <w:rPr>
                <w:rFonts w:hint="eastAsia"/>
                <w:color w:val="000000" w:themeColor="text1"/>
                <w:highlight w:val="none"/>
                <w:lang w:eastAsia="zh-CN"/>
                <w14:textFill>
                  <w14:solidFill>
                    <w14:schemeClr w14:val="tx1"/>
                  </w14:solidFill>
                </w14:textFill>
              </w:rPr>
              <w:t>。</w:t>
            </w:r>
          </w:p>
          <w:p w14:paraId="515B1142">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（1）一般固体废物</w:t>
            </w:r>
          </w:p>
          <w:p w14:paraId="2DB1F11C">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①屠宰场垃圾</w:t>
            </w:r>
          </w:p>
          <w:p w14:paraId="1E7B9ABD">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屠宰厂在屠宰羊的生产过程产生的固体废弃物主要包括羊粪便、肠胃内容物等。</w:t>
            </w:r>
          </w:p>
          <w:p w14:paraId="06EBF6CA">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调研，羊粪便以有机物为主，而且羊粪便中含有大量的氮磷成分。对环境的影响主要表现为对水环境的污染和富营养化，其次为产生大量恶臭气体造成环境空气污染，滋生大量的大肠杆菌、链球菌和一些病原菌等，对环境造成污染。</w:t>
            </w:r>
          </w:p>
          <w:p w14:paraId="25676AB7">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屠宰厂每天宰杀羊140只，以每只羊日产羊粪1kg、每只羊肠胃内容物5kg计算，日产有机废弃物700kg/d，245t/a。这些产生的羊粪便及肠胃内容物在粪污堆积场堆积之后，根据业主提供资料本项目羊粪与牛粪一起进行处理，出售给张六个人。牛粪销售合同见附件14。</w:t>
            </w:r>
          </w:p>
          <w:p w14:paraId="0B75C55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②污水处理站污泥</w:t>
            </w:r>
          </w:p>
          <w:p w14:paraId="401FC8A2">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根据《屠宰与肉类加工废水治理工程技术规范》（HJ2004-2010），工艺产生的剩余污泥量（DS/BOD</w:t>
            </w:r>
            <w:r>
              <w:rPr>
                <w:rFonts w:hint="eastAsia"/>
                <w:color w:val="000000" w:themeColor="text1"/>
                <w:highlight w:val="none"/>
                <w:vertAlign w:val="subscript"/>
                <w:lang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）一般可按0.3~0.5kg/kg设计，污泥含水率99.3%~99.4%。脱水后，脱水污泥含水率应不小于80%，扩建项目剩余污泥量（DS/BOD</w:t>
            </w:r>
            <w:r>
              <w:rPr>
                <w:rFonts w:hint="eastAsia"/>
                <w:color w:val="000000" w:themeColor="text1"/>
                <w:highlight w:val="none"/>
                <w:vertAlign w:val="subscript"/>
                <w:lang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）按0.4kg/kg计，污泥含水率按99.35%计，脱水污泥含水率按80%计。</w:t>
            </w:r>
          </w:p>
          <w:p w14:paraId="1E60D3A2">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本项目BOD</w:t>
            </w:r>
            <w:r>
              <w:rPr>
                <w:rFonts w:hint="eastAsia"/>
                <w:color w:val="000000" w:themeColor="text1"/>
                <w:highlight w:val="none"/>
                <w:vertAlign w:val="subscript"/>
                <w:lang w:eastAsia="zh-CN"/>
                <w14:textFill>
                  <w14:solidFill>
                    <w14:schemeClr w14:val="tx1"/>
                  </w14:solidFill>
                </w14:textFill>
              </w:rPr>
              <w:t>5</w:t>
            </w:r>
            <w:r>
              <w:rPr>
                <w:rFonts w:hint="eastAsia"/>
                <w:color w:val="000000" w:themeColor="text1"/>
                <w:highlight w:val="none"/>
                <w:lang w:eastAsia="zh-CN"/>
                <w14:textFill>
                  <w14:solidFill>
                    <w14:schemeClr w14:val="tx1"/>
                  </w14:solidFill>
                </w14:textFill>
              </w:rPr>
              <w:t>去除量为15.14t/a，剩余污泥（含水率99.35%）产生量为6.1t/a，则折算为脱水污泥（含水率80%）产生量为0.2t/a。废水处理站污泥统一收集在粪污堆积场堆积之后，根据建设单位提供资料污泥将与粪便一同进行处理，出售给张六个人。</w:t>
            </w:r>
          </w:p>
          <w:p w14:paraId="03A3AD1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③生活垃圾</w:t>
            </w:r>
          </w:p>
          <w:p w14:paraId="393430E2">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总厂区</w:t>
            </w:r>
            <w:r>
              <w:rPr>
                <w:color w:val="000000" w:themeColor="text1"/>
                <w:highlight w:val="none"/>
                <w:lang w:eastAsia="zh-CN"/>
                <w14:textFill>
                  <w14:solidFill>
                    <w14:schemeClr w14:val="tx1"/>
                  </w14:solidFill>
                </w14:textFill>
              </w:rPr>
              <w:t>劳动定员</w:t>
            </w:r>
            <w:r>
              <w:rPr>
                <w:rFonts w:hint="eastAsia"/>
                <w:color w:val="000000" w:themeColor="text1"/>
                <w:highlight w:val="none"/>
                <w:lang w:eastAsia="zh-CN"/>
                <w14:textFill>
                  <w14:solidFill>
                    <w14:schemeClr w14:val="tx1"/>
                  </w14:solidFill>
                </w14:textFill>
              </w:rPr>
              <w:t>总80</w:t>
            </w:r>
            <w:r>
              <w:rPr>
                <w:color w:val="000000" w:themeColor="text1"/>
                <w:highlight w:val="none"/>
                <w:lang w:eastAsia="zh-CN"/>
                <w14:textFill>
                  <w14:solidFill>
                    <w14:schemeClr w14:val="tx1"/>
                  </w14:solidFill>
                </w14:textFill>
              </w:rPr>
              <w:t>人，每天工作8小时，年工作3</w:t>
            </w:r>
            <w:r>
              <w:rPr>
                <w:rFonts w:hint="eastAsia"/>
                <w:color w:val="000000" w:themeColor="text1"/>
                <w:highlight w:val="none"/>
                <w:lang w:eastAsia="zh-CN"/>
                <w14:textFill>
                  <w14:solidFill>
                    <w14:schemeClr w14:val="tx1"/>
                  </w14:solidFill>
                </w14:textFill>
              </w:rPr>
              <w:t>5</w:t>
            </w:r>
            <w:r>
              <w:rPr>
                <w:color w:val="000000" w:themeColor="text1"/>
                <w:highlight w:val="none"/>
                <w:lang w:eastAsia="zh-CN"/>
                <w14:textFill>
                  <w14:solidFill>
                    <w14:schemeClr w14:val="tx1"/>
                  </w14:solidFill>
                </w14:textFill>
              </w:rPr>
              <w:t>0天，</w:t>
            </w:r>
            <w:r>
              <w:rPr>
                <w:rFonts w:hint="eastAsia"/>
                <w:color w:val="000000" w:themeColor="text1"/>
                <w:highlight w:val="none"/>
                <w:lang w:eastAsia="zh-CN"/>
                <w14:textFill>
                  <w14:solidFill>
                    <w14:schemeClr w14:val="tx1"/>
                  </w14:solidFill>
                </w14:textFill>
              </w:rPr>
              <w:t>员工均从原项目的人员中调配，不新增生活垃圾。生活垃圾统一收集后委托羊街环卫部门运至垃圾处理厂处置。</w:t>
            </w:r>
          </w:p>
          <w:p w14:paraId="22442CAA">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④病死羊</w:t>
            </w:r>
          </w:p>
          <w:p w14:paraId="2C723214">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在运行过程中，在运输、临时圈养过程中可能会有羊病死的情况出现，病死羊处理必须按照《病死动物无害化处理技术规范》农医发〔2017〕25号及相关规定在畜牧主管部门的监督下实行无害化处理。由于项目羊周转周期较短，病死羊出现的情况较少，且云南海潮集团天牧肉牛产业有限公司已与石林县题桥环保科技有限公司签订无害化处理委托协议。</w:t>
            </w:r>
          </w:p>
          <w:p w14:paraId="33F7E53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（2）危险废物</w:t>
            </w:r>
          </w:p>
          <w:p w14:paraId="48210815">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项目在运行过程中，主要由</w:t>
            </w:r>
            <w:r>
              <w:rPr>
                <w:rFonts w:hint="eastAsia"/>
                <w:color w:val="000000" w:themeColor="text1"/>
                <w:kern w:val="0"/>
                <w:szCs w:val="21"/>
                <w:highlight w:val="none"/>
                <w:lang w:eastAsia="zh-CN" w:bidi="ar"/>
                <w14:textFill>
                  <w14:solidFill>
                    <w14:schemeClr w14:val="tx1"/>
                  </w14:solidFill>
                </w14:textFill>
              </w:rPr>
              <w:t>机械润滑阶段产生</w:t>
            </w:r>
            <w:r>
              <w:rPr>
                <w:rFonts w:hint="eastAsia" w:cs="宋体"/>
                <w:color w:val="000000" w:themeColor="text1"/>
                <w:szCs w:val="21"/>
                <w:highlight w:val="none"/>
                <w14:textFill>
                  <w14:solidFill>
                    <w14:schemeClr w14:val="tx1"/>
                  </w14:solidFill>
                </w14:textFill>
              </w:rPr>
              <w:t>废</w:t>
            </w:r>
            <w:r>
              <w:rPr>
                <w:rFonts w:hint="eastAsia" w:cs="宋体"/>
                <w:color w:val="000000" w:themeColor="text1"/>
                <w:szCs w:val="21"/>
                <w:highlight w:val="none"/>
                <w:lang w:val="en-US" w:eastAsia="zh-CN"/>
                <w14:textFill>
                  <w14:solidFill>
                    <w14:schemeClr w14:val="tx1"/>
                  </w14:solidFill>
                </w14:textFill>
              </w:rPr>
              <w:t>润滑油</w:t>
            </w:r>
            <w:r>
              <w:rPr>
                <w:rFonts w:hint="eastAsia"/>
                <w:color w:val="000000" w:themeColor="text1"/>
                <w:kern w:val="0"/>
                <w:szCs w:val="21"/>
                <w:highlight w:val="none"/>
                <w:lang w:eastAsia="zh-CN" w:bidi="ar"/>
                <w14:textFill>
                  <w14:solidFill>
                    <w14:schemeClr w14:val="tx1"/>
                  </w14:solidFill>
                </w14:textFill>
              </w:rPr>
              <w:t>，收集存放于危险废物暂存间内，并与云南达济再生资源回收利用有限公司签订危废处置协议，定期进行危险废物转运与处置。</w:t>
            </w:r>
          </w:p>
          <w:p w14:paraId="363FE1B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综上所述，项目产生的各种固体废物经以上处置后，只要及时清运，及时处理，对外环境的影响很小。本项目固废产生量及具体处置方法详见表</w:t>
            </w:r>
            <w:r>
              <w:rPr>
                <w:color w:val="000000" w:themeColor="text1"/>
                <w:highlight w:val="none"/>
                <w:lang w:eastAsia="zh-CN"/>
                <w14:textFill>
                  <w14:solidFill>
                    <w14:schemeClr w14:val="tx1"/>
                  </w14:solidFill>
                </w14:textFill>
              </w:rPr>
              <w:t>4-1</w:t>
            </w:r>
            <w:r>
              <w:rPr>
                <w:rFonts w:hint="eastAsia"/>
                <w:color w:val="000000" w:themeColor="text1"/>
                <w:highlight w:val="none"/>
                <w:lang w:eastAsia="zh-CN"/>
                <w14:textFill>
                  <w14:solidFill>
                    <w14:schemeClr w14:val="tx1"/>
                  </w14:solidFill>
                </w14:textFill>
              </w:rPr>
              <w:t>1。</w:t>
            </w:r>
          </w:p>
          <w:p w14:paraId="4BC26239">
            <w:pPr>
              <w:widowControl/>
              <w:jc w:val="center"/>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表</w:t>
            </w:r>
            <w:r>
              <w:rPr>
                <w:b/>
                <w:bCs/>
                <w:color w:val="000000" w:themeColor="text1"/>
                <w:kern w:val="0"/>
                <w:szCs w:val="21"/>
                <w:highlight w:val="none"/>
                <w:lang w:bidi="ar"/>
                <w14:textFill>
                  <w14:solidFill>
                    <w14:schemeClr w14:val="tx1"/>
                  </w14:solidFill>
                </w14:textFill>
              </w:rPr>
              <w:t>4-1</w:t>
            </w:r>
            <w:r>
              <w:rPr>
                <w:rFonts w:hint="eastAsia"/>
                <w:b/>
                <w:bCs/>
                <w:color w:val="000000" w:themeColor="text1"/>
                <w:kern w:val="0"/>
                <w:szCs w:val="21"/>
                <w:highlight w:val="none"/>
                <w:lang w:bidi="ar"/>
                <w14:textFill>
                  <w14:solidFill>
                    <w14:schemeClr w14:val="tx1"/>
                  </w14:solidFill>
                </w14:textFill>
              </w:rPr>
              <w:t>1</w:t>
            </w:r>
            <w:r>
              <w:rPr>
                <w:rFonts w:hint="eastAsia" w:cs="宋体"/>
                <w:b/>
                <w:bCs/>
                <w:color w:val="000000" w:themeColor="text1"/>
                <w:kern w:val="0"/>
                <w:szCs w:val="21"/>
                <w:highlight w:val="none"/>
                <w:lang w:bidi="ar"/>
                <w14:textFill>
                  <w14:solidFill>
                    <w14:schemeClr w14:val="tx1"/>
                  </w14:solidFill>
                </w14:textFill>
              </w:rPr>
              <w:t>建设项目固体废弃物产生及处置情况一览表</w:t>
            </w:r>
          </w:p>
          <w:tbl>
            <w:tblPr>
              <w:tblStyle w:val="21"/>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83"/>
              <w:gridCol w:w="1008"/>
              <w:gridCol w:w="832"/>
              <w:gridCol w:w="967"/>
              <w:gridCol w:w="650"/>
              <w:gridCol w:w="883"/>
              <w:gridCol w:w="1009"/>
              <w:gridCol w:w="1953"/>
            </w:tblGrid>
            <w:tr w14:paraId="3448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shd w:val="clear" w:color="auto" w:fill="auto"/>
                  <w:vAlign w:val="center"/>
                </w:tcPr>
                <w:p w14:paraId="7B3F0882">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序号</w:t>
                  </w:r>
                </w:p>
              </w:tc>
              <w:tc>
                <w:tcPr>
                  <w:tcW w:w="683" w:type="dxa"/>
                  <w:shd w:val="clear" w:color="auto" w:fill="auto"/>
                  <w:vAlign w:val="center"/>
                </w:tcPr>
                <w:p w14:paraId="3C366155">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产生源</w:t>
                  </w:r>
                </w:p>
              </w:tc>
              <w:tc>
                <w:tcPr>
                  <w:tcW w:w="1008" w:type="dxa"/>
                  <w:shd w:val="clear" w:color="auto" w:fill="auto"/>
                  <w:vAlign w:val="center"/>
                </w:tcPr>
                <w:p w14:paraId="0D40C855">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污染物名称</w:t>
                  </w:r>
                </w:p>
              </w:tc>
              <w:tc>
                <w:tcPr>
                  <w:tcW w:w="832" w:type="dxa"/>
                  <w:shd w:val="clear" w:color="auto" w:fill="auto"/>
                  <w:vAlign w:val="center"/>
                </w:tcPr>
                <w:p w14:paraId="09521F2D">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类别</w:t>
                  </w:r>
                </w:p>
              </w:tc>
              <w:tc>
                <w:tcPr>
                  <w:tcW w:w="967" w:type="dxa"/>
                  <w:shd w:val="clear" w:color="auto" w:fill="auto"/>
                  <w:vAlign w:val="center"/>
                </w:tcPr>
                <w:p w14:paraId="2E82C0F7">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废物代码</w:t>
                  </w:r>
                </w:p>
              </w:tc>
              <w:tc>
                <w:tcPr>
                  <w:tcW w:w="650" w:type="dxa"/>
                  <w:shd w:val="clear" w:color="auto" w:fill="auto"/>
                  <w:vAlign w:val="center"/>
                </w:tcPr>
                <w:p w14:paraId="69317F5F">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危险特性</w:t>
                  </w:r>
                </w:p>
              </w:tc>
              <w:tc>
                <w:tcPr>
                  <w:tcW w:w="883" w:type="dxa"/>
                  <w:shd w:val="clear" w:color="auto" w:fill="auto"/>
                  <w:vAlign w:val="center"/>
                </w:tcPr>
                <w:p w14:paraId="2AF04FD5">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形态</w:t>
                  </w:r>
                </w:p>
              </w:tc>
              <w:tc>
                <w:tcPr>
                  <w:tcW w:w="1009" w:type="dxa"/>
                  <w:shd w:val="clear" w:color="auto" w:fill="auto"/>
                  <w:vAlign w:val="center"/>
                </w:tcPr>
                <w:p w14:paraId="60335C91">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产生量（t/a）</w:t>
                  </w:r>
                </w:p>
              </w:tc>
              <w:tc>
                <w:tcPr>
                  <w:tcW w:w="1953" w:type="dxa"/>
                  <w:shd w:val="clear" w:color="auto" w:fill="auto"/>
                  <w:vAlign w:val="center"/>
                </w:tcPr>
                <w:p w14:paraId="2D731DBD">
                  <w:pPr>
                    <w:pStyle w:val="34"/>
                    <w:spacing w:line="240" w:lineRule="auto"/>
                    <w:ind w:firstLine="0" w:firstLineChars="0"/>
                    <w:jc w:val="center"/>
                    <w:rPr>
                      <w:b/>
                      <w:bCs/>
                      <w:color w:val="000000" w:themeColor="text1"/>
                      <w:sz w:val="21"/>
                      <w:szCs w:val="21"/>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处置措施</w:t>
                  </w:r>
                </w:p>
              </w:tc>
            </w:tr>
            <w:tr w14:paraId="15DF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6242B9DF">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1</w:t>
                  </w:r>
                </w:p>
              </w:tc>
              <w:tc>
                <w:tcPr>
                  <w:tcW w:w="683" w:type="dxa"/>
                  <w:vMerge w:val="restart"/>
                  <w:vAlign w:val="center"/>
                </w:tcPr>
                <w:p w14:paraId="34E18D42">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屠宰过程</w:t>
                  </w:r>
                </w:p>
              </w:tc>
              <w:tc>
                <w:tcPr>
                  <w:tcW w:w="1008" w:type="dxa"/>
                  <w:vAlign w:val="center"/>
                </w:tcPr>
                <w:p w14:paraId="4BF4F05F">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粪便及羊胃内容物</w:t>
                  </w:r>
                </w:p>
              </w:tc>
              <w:tc>
                <w:tcPr>
                  <w:tcW w:w="832" w:type="dxa"/>
                  <w:vMerge w:val="restart"/>
                  <w:vAlign w:val="center"/>
                </w:tcPr>
                <w:p w14:paraId="0EB64CB9">
                  <w:pPr>
                    <w:widowControl/>
                    <w:jc w:val="center"/>
                    <w:rPr>
                      <w:rFonts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一般固废</w:t>
                  </w:r>
                </w:p>
              </w:tc>
              <w:tc>
                <w:tcPr>
                  <w:tcW w:w="967" w:type="dxa"/>
                  <w:vAlign w:val="center"/>
                </w:tcPr>
                <w:p w14:paraId="02AA1161">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650" w:type="dxa"/>
                  <w:vAlign w:val="center"/>
                </w:tcPr>
                <w:p w14:paraId="5169643E">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883" w:type="dxa"/>
                  <w:vAlign w:val="center"/>
                </w:tcPr>
                <w:p w14:paraId="53378C98">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固态</w:t>
                  </w:r>
                </w:p>
              </w:tc>
              <w:tc>
                <w:tcPr>
                  <w:tcW w:w="1009" w:type="dxa"/>
                  <w:vAlign w:val="center"/>
                </w:tcPr>
                <w:p w14:paraId="15198D8C">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245</w:t>
                  </w:r>
                </w:p>
              </w:tc>
              <w:tc>
                <w:tcPr>
                  <w:tcW w:w="1953" w:type="dxa"/>
                  <w:vMerge w:val="restart"/>
                  <w:vAlign w:val="center"/>
                </w:tcPr>
                <w:p w14:paraId="1057DDAC">
                  <w:pPr>
                    <w:widowControl/>
                    <w:jc w:val="center"/>
                    <w:rPr>
                      <w:rFonts w:cs="宋体"/>
                      <w:color w:val="000000" w:themeColor="text1"/>
                      <w:kern w:val="0"/>
                      <w:szCs w:val="21"/>
                      <w:highlight w:val="none"/>
                      <w:lang w:bidi="ar"/>
                      <w14:textFill>
                        <w14:solidFill>
                          <w14:schemeClr w14:val="tx1"/>
                        </w14:solidFill>
                      </w14:textFill>
                    </w:rPr>
                  </w:pPr>
                  <w:r>
                    <w:rPr>
                      <w:rFonts w:hint="eastAsia"/>
                      <w:color w:val="000000" w:themeColor="text1"/>
                      <w:highlight w:val="none"/>
                      <w14:textFill>
                        <w14:solidFill>
                          <w14:schemeClr w14:val="tx1"/>
                        </w14:solidFill>
                      </w14:textFill>
                    </w:rPr>
                    <w:t>在粪污堆积场堆积之后，根据销售合同出售给张六个人。</w:t>
                  </w:r>
                </w:p>
              </w:tc>
            </w:tr>
            <w:tr w14:paraId="129A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46525180">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2</w:t>
                  </w:r>
                </w:p>
              </w:tc>
              <w:tc>
                <w:tcPr>
                  <w:tcW w:w="683" w:type="dxa"/>
                  <w:vMerge w:val="continue"/>
                  <w:vAlign w:val="center"/>
                </w:tcPr>
                <w:p w14:paraId="5F0D861F">
                  <w:pPr>
                    <w:widowControl/>
                    <w:jc w:val="center"/>
                    <w:rPr>
                      <w:rFonts w:cs="宋体"/>
                      <w:color w:val="000000" w:themeColor="text1"/>
                      <w:kern w:val="0"/>
                      <w:szCs w:val="21"/>
                      <w:highlight w:val="none"/>
                      <w:lang w:bidi="ar"/>
                      <w14:textFill>
                        <w14:solidFill>
                          <w14:schemeClr w14:val="tx1"/>
                        </w14:solidFill>
                      </w14:textFill>
                    </w:rPr>
                  </w:pPr>
                </w:p>
              </w:tc>
              <w:tc>
                <w:tcPr>
                  <w:tcW w:w="1008" w:type="dxa"/>
                  <w:vAlign w:val="center"/>
                </w:tcPr>
                <w:p w14:paraId="24DF3F4F">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污泥</w:t>
                  </w:r>
                </w:p>
              </w:tc>
              <w:tc>
                <w:tcPr>
                  <w:tcW w:w="832" w:type="dxa"/>
                  <w:vMerge w:val="continue"/>
                  <w:vAlign w:val="center"/>
                </w:tcPr>
                <w:p w14:paraId="238C90B1">
                  <w:pPr>
                    <w:widowControl/>
                    <w:jc w:val="center"/>
                    <w:rPr>
                      <w:rFonts w:cs="宋体"/>
                      <w:color w:val="000000" w:themeColor="text1"/>
                      <w:kern w:val="0"/>
                      <w:szCs w:val="21"/>
                      <w:highlight w:val="none"/>
                      <w:lang w:bidi="ar"/>
                      <w14:textFill>
                        <w14:solidFill>
                          <w14:schemeClr w14:val="tx1"/>
                        </w14:solidFill>
                      </w14:textFill>
                    </w:rPr>
                  </w:pPr>
                </w:p>
              </w:tc>
              <w:tc>
                <w:tcPr>
                  <w:tcW w:w="967" w:type="dxa"/>
                  <w:vAlign w:val="center"/>
                </w:tcPr>
                <w:p w14:paraId="6297ABB8">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650" w:type="dxa"/>
                  <w:vAlign w:val="center"/>
                </w:tcPr>
                <w:p w14:paraId="6FA38E61">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883" w:type="dxa"/>
                  <w:vAlign w:val="center"/>
                </w:tcPr>
                <w:p w14:paraId="709A0596">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固态</w:t>
                  </w:r>
                </w:p>
              </w:tc>
              <w:tc>
                <w:tcPr>
                  <w:tcW w:w="1009" w:type="dxa"/>
                  <w:vAlign w:val="center"/>
                </w:tcPr>
                <w:p w14:paraId="5FD5507D">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0.2</w:t>
                  </w:r>
                </w:p>
              </w:tc>
              <w:tc>
                <w:tcPr>
                  <w:tcW w:w="1953" w:type="dxa"/>
                  <w:vMerge w:val="continue"/>
                  <w:shd w:val="clear" w:color="auto" w:fill="auto"/>
                  <w:vAlign w:val="center"/>
                </w:tcPr>
                <w:p w14:paraId="157DB523">
                  <w:pPr>
                    <w:widowControl/>
                    <w:jc w:val="center"/>
                    <w:rPr>
                      <w:rFonts w:cs="宋体"/>
                      <w:color w:val="000000" w:themeColor="text1"/>
                      <w:kern w:val="0"/>
                      <w:szCs w:val="21"/>
                      <w:highlight w:val="none"/>
                      <w:lang w:bidi="ar"/>
                      <w14:textFill>
                        <w14:solidFill>
                          <w14:schemeClr w14:val="tx1"/>
                        </w14:solidFill>
                      </w14:textFill>
                    </w:rPr>
                  </w:pPr>
                </w:p>
              </w:tc>
            </w:tr>
            <w:tr w14:paraId="60A2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558B3CF2">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3</w:t>
                  </w:r>
                </w:p>
              </w:tc>
              <w:tc>
                <w:tcPr>
                  <w:tcW w:w="683" w:type="dxa"/>
                  <w:vMerge w:val="continue"/>
                  <w:vAlign w:val="center"/>
                </w:tcPr>
                <w:p w14:paraId="59ADE0D6">
                  <w:pPr>
                    <w:widowControl/>
                    <w:jc w:val="center"/>
                    <w:rPr>
                      <w:rFonts w:cs="宋体"/>
                      <w:color w:val="000000" w:themeColor="text1"/>
                      <w:kern w:val="0"/>
                      <w:szCs w:val="21"/>
                      <w:highlight w:val="none"/>
                      <w:lang w:bidi="ar"/>
                      <w14:textFill>
                        <w14:solidFill>
                          <w14:schemeClr w14:val="tx1"/>
                        </w14:solidFill>
                      </w14:textFill>
                    </w:rPr>
                  </w:pPr>
                </w:p>
              </w:tc>
              <w:tc>
                <w:tcPr>
                  <w:tcW w:w="1008" w:type="dxa"/>
                  <w:vAlign w:val="center"/>
                </w:tcPr>
                <w:p w14:paraId="7E97522C">
                  <w:pPr>
                    <w:widowControl/>
                    <w:jc w:val="center"/>
                    <w:rPr>
                      <w:rFonts w:cs="宋体"/>
                      <w:color w:val="000000" w:themeColor="text1"/>
                      <w:kern w:val="0"/>
                      <w:szCs w:val="21"/>
                      <w:highlight w:val="none"/>
                      <w:lang w:bidi="ar"/>
                      <w14:textFill>
                        <w14:solidFill>
                          <w14:schemeClr w14:val="tx1"/>
                        </w14:solidFill>
                      </w14:textFill>
                    </w:rPr>
                  </w:pPr>
                  <w:r>
                    <w:rPr>
                      <w:rFonts w:hint="eastAsia"/>
                      <w:color w:val="000000" w:themeColor="text1"/>
                      <w:highlight w:val="none"/>
                      <w14:textFill>
                        <w14:solidFill>
                          <w14:schemeClr w14:val="tx1"/>
                        </w14:solidFill>
                      </w14:textFill>
                    </w:rPr>
                    <w:t>病死羊</w:t>
                  </w:r>
                </w:p>
              </w:tc>
              <w:tc>
                <w:tcPr>
                  <w:tcW w:w="832" w:type="dxa"/>
                  <w:vMerge w:val="continue"/>
                  <w:vAlign w:val="center"/>
                </w:tcPr>
                <w:p w14:paraId="0E38596C">
                  <w:pPr>
                    <w:widowControl/>
                    <w:jc w:val="center"/>
                    <w:rPr>
                      <w:rFonts w:cs="宋体"/>
                      <w:color w:val="000000" w:themeColor="text1"/>
                      <w:kern w:val="0"/>
                      <w:szCs w:val="21"/>
                      <w:highlight w:val="none"/>
                      <w:lang w:bidi="ar"/>
                      <w14:textFill>
                        <w14:solidFill>
                          <w14:schemeClr w14:val="tx1"/>
                        </w14:solidFill>
                      </w14:textFill>
                    </w:rPr>
                  </w:pPr>
                </w:p>
              </w:tc>
              <w:tc>
                <w:tcPr>
                  <w:tcW w:w="967" w:type="dxa"/>
                  <w:vAlign w:val="center"/>
                </w:tcPr>
                <w:p w14:paraId="22CB4C64">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650" w:type="dxa"/>
                  <w:vAlign w:val="center"/>
                </w:tcPr>
                <w:p w14:paraId="6C3E6F18">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883" w:type="dxa"/>
                  <w:vAlign w:val="center"/>
                </w:tcPr>
                <w:p w14:paraId="3238D299">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固态</w:t>
                  </w:r>
                </w:p>
              </w:tc>
              <w:tc>
                <w:tcPr>
                  <w:tcW w:w="1009" w:type="dxa"/>
                  <w:vAlign w:val="center"/>
                </w:tcPr>
                <w:p w14:paraId="48F3FA31">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w:t>
                  </w:r>
                </w:p>
              </w:tc>
              <w:tc>
                <w:tcPr>
                  <w:tcW w:w="1953" w:type="dxa"/>
                  <w:vAlign w:val="center"/>
                </w:tcPr>
                <w:p w14:paraId="52D215FF">
                  <w:pPr>
                    <w:widowControl/>
                    <w:jc w:val="center"/>
                    <w:rPr>
                      <w:rFonts w:cs="宋体"/>
                      <w:color w:val="000000" w:themeColor="text1"/>
                      <w:kern w:val="0"/>
                      <w:szCs w:val="21"/>
                      <w:highlight w:val="none"/>
                      <w:lang w:bidi="ar"/>
                      <w14:textFill>
                        <w14:solidFill>
                          <w14:schemeClr w14:val="tx1"/>
                        </w14:solidFill>
                      </w14:textFill>
                    </w:rPr>
                  </w:pPr>
                  <w:r>
                    <w:rPr>
                      <w:rFonts w:hint="eastAsia"/>
                      <w:color w:val="000000" w:themeColor="text1"/>
                      <w:highlight w:val="none"/>
                      <w14:textFill>
                        <w14:solidFill>
                          <w14:schemeClr w14:val="tx1"/>
                        </w14:solidFill>
                      </w14:textFill>
                    </w:rPr>
                    <w:t>已与石林县题桥环保科技有限公司签订无害化处理委托协议。</w:t>
                  </w:r>
                </w:p>
              </w:tc>
            </w:tr>
            <w:tr w14:paraId="2DF4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5E28D3DA">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4</w:t>
                  </w:r>
                </w:p>
              </w:tc>
              <w:tc>
                <w:tcPr>
                  <w:tcW w:w="683" w:type="dxa"/>
                  <w:vAlign w:val="center"/>
                </w:tcPr>
                <w:p w14:paraId="5F542F7B">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机械润滑</w:t>
                  </w:r>
                </w:p>
              </w:tc>
              <w:tc>
                <w:tcPr>
                  <w:tcW w:w="1008" w:type="dxa"/>
                  <w:vAlign w:val="center"/>
                </w:tcPr>
                <w:p w14:paraId="3BAE60FE">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szCs w:val="21"/>
                      <w:highlight w:val="none"/>
                      <w14:textFill>
                        <w14:solidFill>
                          <w14:schemeClr w14:val="tx1"/>
                        </w14:solidFill>
                      </w14:textFill>
                    </w:rPr>
                    <w:t>废</w:t>
                  </w:r>
                  <w:r>
                    <w:rPr>
                      <w:rFonts w:hint="eastAsia" w:cs="宋体"/>
                      <w:color w:val="000000" w:themeColor="text1"/>
                      <w:szCs w:val="21"/>
                      <w:highlight w:val="none"/>
                      <w:lang w:val="en-US" w:eastAsia="zh-CN"/>
                      <w14:textFill>
                        <w14:solidFill>
                          <w14:schemeClr w14:val="tx1"/>
                        </w14:solidFill>
                      </w14:textFill>
                    </w:rPr>
                    <w:t>润滑油</w:t>
                  </w:r>
                </w:p>
              </w:tc>
              <w:tc>
                <w:tcPr>
                  <w:tcW w:w="832" w:type="dxa"/>
                  <w:vAlign w:val="center"/>
                </w:tcPr>
                <w:p w14:paraId="2BCBCBEA">
                  <w:pPr>
                    <w:widowControl/>
                    <w:jc w:val="center"/>
                    <w:rPr>
                      <w:rFonts w:cs="宋体"/>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HW</w:t>
                  </w:r>
                  <w:r>
                    <w:rPr>
                      <w:rFonts w:hint="eastAsia"/>
                      <w:color w:val="000000" w:themeColor="text1"/>
                      <w:kern w:val="0"/>
                      <w:szCs w:val="21"/>
                      <w:highlight w:val="none"/>
                      <w:lang w:bidi="ar"/>
                      <w14:textFill>
                        <w14:solidFill>
                          <w14:schemeClr w14:val="tx1"/>
                        </w14:solidFill>
                      </w14:textFill>
                    </w:rPr>
                    <w:t>08</w:t>
                  </w:r>
                </w:p>
              </w:tc>
              <w:tc>
                <w:tcPr>
                  <w:tcW w:w="967" w:type="dxa"/>
                  <w:vAlign w:val="center"/>
                </w:tcPr>
                <w:p w14:paraId="445A891A">
                  <w:pPr>
                    <w:widowControl/>
                    <w:jc w:val="center"/>
                    <w:rPr>
                      <w:rFonts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900-217-08</w:t>
                  </w:r>
                </w:p>
              </w:tc>
              <w:tc>
                <w:tcPr>
                  <w:tcW w:w="650" w:type="dxa"/>
                  <w:vAlign w:val="center"/>
                </w:tcPr>
                <w:p w14:paraId="604A9405">
                  <w:pPr>
                    <w:widowControl/>
                    <w:jc w:val="center"/>
                    <w:rPr>
                      <w:rFonts w:cs="宋体"/>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T/I</w:t>
                  </w:r>
                </w:p>
              </w:tc>
              <w:tc>
                <w:tcPr>
                  <w:tcW w:w="883" w:type="dxa"/>
                  <w:vAlign w:val="center"/>
                </w:tcPr>
                <w:p w14:paraId="281D5B09">
                  <w:pPr>
                    <w:widowControl/>
                    <w:jc w:val="center"/>
                    <w:rPr>
                      <w:rFonts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液态</w:t>
                  </w:r>
                </w:p>
              </w:tc>
              <w:tc>
                <w:tcPr>
                  <w:tcW w:w="1009" w:type="dxa"/>
                  <w:vAlign w:val="center"/>
                </w:tcPr>
                <w:p w14:paraId="093A2C3C">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0.016</w:t>
                  </w:r>
                </w:p>
              </w:tc>
              <w:tc>
                <w:tcPr>
                  <w:tcW w:w="1953" w:type="dxa"/>
                  <w:vAlign w:val="center"/>
                </w:tcPr>
                <w:p w14:paraId="17BFA39C">
                  <w:pPr>
                    <w:widowControl/>
                    <w:jc w:val="center"/>
                    <w:rPr>
                      <w:rFonts w:cs="宋体"/>
                      <w:color w:val="000000" w:themeColor="text1"/>
                      <w:kern w:val="0"/>
                      <w:szCs w:val="21"/>
                      <w:highlight w:val="none"/>
                      <w:lang w:bidi="ar"/>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收集存放于危险废物暂存间内，并与云南达济再生资源回收利用有限公司签订危废处置协议，定期进行危险废物转运与处置。</w:t>
                  </w:r>
                </w:p>
              </w:tc>
            </w:tr>
          </w:tbl>
          <w:p w14:paraId="11FEEAF1">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5.“三本账”影响分析</w:t>
            </w:r>
          </w:p>
          <w:p w14:paraId="7B87E3CF">
            <w:pPr>
              <w:pStyle w:val="34"/>
              <w:rPr>
                <w:rFonts w:cs="Times New Roman"/>
                <w:color w:val="000000" w:themeColor="text1"/>
                <w:highlight w:val="none"/>
                <w:lang w:eastAsia="zh-CN"/>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原项目污水全部经过处理后综合利用，不外排。本项目污水全部经过处理后回用综合利用，不外排。项目改扩建前后无污水外排。</w:t>
            </w:r>
          </w:p>
          <w:p w14:paraId="273B683F">
            <w:pPr>
              <w:pStyle w:val="34"/>
              <w:rPr>
                <w:rFonts w:cs="Times New Roman"/>
                <w:color w:val="000000" w:themeColor="text1"/>
                <w:highlight w:val="none"/>
                <w:lang w:eastAsia="zh-CN"/>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原项目固体废弃物包装垃圾由供应商回收利用，生活垃圾依托现有厂区生活垃圾处理系统，病死牛</w:t>
            </w:r>
            <w:r>
              <w:rPr>
                <w:rFonts w:hint="eastAsia"/>
                <w:color w:val="000000" w:themeColor="text1"/>
                <w:kern w:val="0"/>
                <w:szCs w:val="21"/>
                <w:highlight w:val="none"/>
                <w:lang w:eastAsia="zh-CN" w:bidi="ar"/>
                <w14:textFill>
                  <w14:solidFill>
                    <w14:schemeClr w14:val="tx1"/>
                  </w14:solidFill>
                </w14:textFill>
              </w:rPr>
              <w:t>与石林县题桥环保科技有限公司签订无害化处理委托协议，</w:t>
            </w:r>
            <w:r>
              <w:rPr>
                <w:rFonts w:hint="eastAsia"/>
                <w:color w:val="000000" w:themeColor="text1"/>
                <w:highlight w:val="none"/>
                <w:lang w:eastAsia="zh-CN"/>
                <w14:textFill>
                  <w14:solidFill>
                    <w14:schemeClr w14:val="tx1"/>
                  </w14:solidFill>
                </w14:textFill>
              </w:rPr>
              <w:t>粪便及肠胃内容物在粪污堆积场堆积之后，根据销售合同出售给张六个人，危险废物</w:t>
            </w:r>
            <w:r>
              <w:rPr>
                <w:rFonts w:hint="eastAsia"/>
                <w:color w:val="000000" w:themeColor="text1"/>
                <w:kern w:val="0"/>
                <w:szCs w:val="21"/>
                <w:highlight w:val="none"/>
                <w:lang w:eastAsia="zh-CN" w:bidi="ar"/>
                <w14:textFill>
                  <w14:solidFill>
                    <w14:schemeClr w14:val="tx1"/>
                  </w14:solidFill>
                </w14:textFill>
              </w:rPr>
              <w:t>收集存放于危废暂存间内，并与云南达济再生资源回收利用有限公司签订危废处置协议，定期进行危险废物转运与处置。原</w:t>
            </w:r>
            <w:r>
              <w:rPr>
                <w:rFonts w:hint="eastAsia" w:cs="Times New Roman"/>
                <w:color w:val="000000" w:themeColor="text1"/>
                <w:highlight w:val="none"/>
                <w:lang w:eastAsia="zh-CN"/>
                <w14:textFill>
                  <w14:solidFill>
                    <w14:schemeClr w14:val="tx1"/>
                  </w14:solidFill>
                </w14:textFill>
              </w:rPr>
              <w:t>项目固体废弃物处置率100%，不外排。本项目不新增生活垃圾，病死羊、羊粪便及</w:t>
            </w:r>
            <w:r>
              <w:rPr>
                <w:rFonts w:hint="eastAsia"/>
                <w:color w:val="000000" w:themeColor="text1"/>
                <w:highlight w:val="none"/>
                <w:lang w:eastAsia="zh-CN"/>
                <w14:textFill>
                  <w14:solidFill>
                    <w14:schemeClr w14:val="tx1"/>
                  </w14:solidFill>
                </w14:textFill>
              </w:rPr>
              <w:t>肠胃内容物和危险废物等依托原有处理方式处理，</w:t>
            </w:r>
            <w:r>
              <w:rPr>
                <w:rFonts w:hint="eastAsia" w:cs="Times New Roman"/>
                <w:color w:val="000000" w:themeColor="text1"/>
                <w:highlight w:val="none"/>
                <w:lang w:eastAsia="zh-CN"/>
                <w14:textFill>
                  <w14:solidFill>
                    <w14:schemeClr w14:val="tx1"/>
                  </w14:solidFill>
                </w14:textFill>
              </w:rPr>
              <w:t>项目固体废弃物处置率100%，不外排。项目改扩建前后无固体废弃物外排。</w:t>
            </w:r>
          </w:p>
          <w:p w14:paraId="2D1B1008">
            <w:pPr>
              <w:pStyle w:val="34"/>
              <w:rPr>
                <w:rFonts w:cs="Times New Roman"/>
                <w:color w:val="000000" w:themeColor="text1"/>
                <w:highlight w:val="none"/>
                <w:lang w:eastAsia="zh-CN"/>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项目建设前后总体工程污染物排放三本账核算可见表4-12。</w:t>
            </w:r>
          </w:p>
          <w:p w14:paraId="0242BFE7">
            <w:pPr>
              <w:pStyle w:val="30"/>
              <w:rPr>
                <w:rFonts w:hint="default"/>
                <w:highlight w:val="none"/>
              </w:rPr>
            </w:pPr>
            <w:r>
              <w:rPr>
                <w:highlight w:val="none"/>
              </w:rPr>
              <w:t>表4-12总体工程三本账核算</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94"/>
              <w:gridCol w:w="1138"/>
              <w:gridCol w:w="1144"/>
              <w:gridCol w:w="1137"/>
              <w:gridCol w:w="1087"/>
              <w:gridCol w:w="881"/>
              <w:gridCol w:w="1060"/>
            </w:tblGrid>
            <w:tr w14:paraId="325A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vMerge w:val="restart"/>
                  <w:vAlign w:val="center"/>
                </w:tcPr>
                <w:p w14:paraId="55C8AED9">
                  <w:pPr>
                    <w:pStyle w:val="28"/>
                    <w:rPr>
                      <w:b/>
                      <w:bCs/>
                      <w:highlight w:val="none"/>
                    </w:rPr>
                  </w:pPr>
                  <w:r>
                    <w:rPr>
                      <w:rFonts w:hint="eastAsia"/>
                      <w:b/>
                      <w:bCs/>
                      <w:highlight w:val="none"/>
                    </w:rPr>
                    <w:t>类别</w:t>
                  </w:r>
                </w:p>
              </w:tc>
              <w:tc>
                <w:tcPr>
                  <w:tcW w:w="718" w:type="pct"/>
                  <w:vMerge w:val="restart"/>
                  <w:vAlign w:val="center"/>
                </w:tcPr>
                <w:p w14:paraId="0EE8A1F0">
                  <w:pPr>
                    <w:pStyle w:val="28"/>
                    <w:rPr>
                      <w:b/>
                      <w:bCs/>
                      <w:highlight w:val="none"/>
                    </w:rPr>
                  </w:pPr>
                  <w:r>
                    <w:rPr>
                      <w:rFonts w:hint="eastAsia"/>
                      <w:b/>
                      <w:bCs/>
                      <w:highlight w:val="none"/>
                    </w:rPr>
                    <w:t>主要污染因子</w:t>
                  </w:r>
                </w:p>
              </w:tc>
              <w:tc>
                <w:tcPr>
                  <w:tcW w:w="1372" w:type="pct"/>
                  <w:gridSpan w:val="2"/>
                  <w:vAlign w:val="center"/>
                </w:tcPr>
                <w:p w14:paraId="0D993C46">
                  <w:pPr>
                    <w:pStyle w:val="28"/>
                    <w:rPr>
                      <w:b/>
                      <w:bCs/>
                      <w:highlight w:val="none"/>
                    </w:rPr>
                  </w:pPr>
                  <w:r>
                    <w:rPr>
                      <w:rFonts w:hint="eastAsia"/>
                      <w:b/>
                      <w:bCs/>
                      <w:highlight w:val="none"/>
                    </w:rPr>
                    <w:t>现有工程（t/a）</w:t>
                  </w:r>
                </w:p>
              </w:tc>
              <w:tc>
                <w:tcPr>
                  <w:tcW w:w="1338" w:type="pct"/>
                  <w:gridSpan w:val="2"/>
                  <w:vAlign w:val="center"/>
                </w:tcPr>
                <w:p w14:paraId="4AA9F2DD">
                  <w:pPr>
                    <w:pStyle w:val="28"/>
                    <w:rPr>
                      <w:b/>
                      <w:bCs/>
                      <w:highlight w:val="none"/>
                    </w:rPr>
                  </w:pPr>
                  <w:r>
                    <w:rPr>
                      <w:rFonts w:hint="eastAsia"/>
                      <w:b/>
                      <w:bCs/>
                      <w:highlight w:val="none"/>
                    </w:rPr>
                    <w:t>本工程（t/a）</w:t>
                  </w:r>
                </w:p>
              </w:tc>
              <w:tc>
                <w:tcPr>
                  <w:tcW w:w="530" w:type="pct"/>
                  <w:vMerge w:val="restart"/>
                  <w:vAlign w:val="center"/>
                </w:tcPr>
                <w:p w14:paraId="74D6F348">
                  <w:pPr>
                    <w:pStyle w:val="28"/>
                    <w:rPr>
                      <w:b/>
                      <w:bCs/>
                      <w:highlight w:val="none"/>
                    </w:rPr>
                  </w:pPr>
                  <w:r>
                    <w:rPr>
                      <w:rFonts w:hint="eastAsia"/>
                      <w:b/>
                      <w:bCs/>
                      <w:highlight w:val="none"/>
                    </w:rPr>
                    <w:t>“以新带老”消减量</w:t>
                  </w:r>
                </w:p>
              </w:tc>
              <w:tc>
                <w:tcPr>
                  <w:tcW w:w="638" w:type="pct"/>
                  <w:vMerge w:val="restart"/>
                  <w:vAlign w:val="center"/>
                </w:tcPr>
                <w:p w14:paraId="753FF9AE">
                  <w:pPr>
                    <w:pStyle w:val="28"/>
                    <w:rPr>
                      <w:b/>
                      <w:bCs/>
                      <w:highlight w:val="none"/>
                    </w:rPr>
                  </w:pPr>
                  <w:r>
                    <w:rPr>
                      <w:rFonts w:hint="eastAsia"/>
                      <w:b/>
                      <w:bCs/>
                      <w:highlight w:val="none"/>
                    </w:rPr>
                    <w:t>排放增减量</w:t>
                  </w:r>
                </w:p>
              </w:tc>
            </w:tr>
            <w:tr w14:paraId="2FDB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vMerge w:val="continue"/>
                  <w:vAlign w:val="center"/>
                </w:tcPr>
                <w:p w14:paraId="52AF449A">
                  <w:pPr>
                    <w:pStyle w:val="28"/>
                    <w:rPr>
                      <w:b/>
                      <w:bCs/>
                      <w:highlight w:val="none"/>
                    </w:rPr>
                  </w:pPr>
                </w:p>
              </w:tc>
              <w:tc>
                <w:tcPr>
                  <w:tcW w:w="718" w:type="pct"/>
                  <w:vMerge w:val="continue"/>
                  <w:vAlign w:val="center"/>
                </w:tcPr>
                <w:p w14:paraId="28E7BC16">
                  <w:pPr>
                    <w:pStyle w:val="28"/>
                    <w:rPr>
                      <w:b/>
                      <w:bCs/>
                      <w:highlight w:val="none"/>
                    </w:rPr>
                  </w:pPr>
                </w:p>
              </w:tc>
              <w:tc>
                <w:tcPr>
                  <w:tcW w:w="684" w:type="pct"/>
                  <w:vAlign w:val="center"/>
                </w:tcPr>
                <w:p w14:paraId="5D27604C">
                  <w:pPr>
                    <w:pStyle w:val="28"/>
                    <w:rPr>
                      <w:b/>
                      <w:bCs/>
                      <w:highlight w:val="none"/>
                    </w:rPr>
                  </w:pPr>
                  <w:r>
                    <w:rPr>
                      <w:rFonts w:hint="eastAsia"/>
                      <w:b/>
                      <w:bCs/>
                      <w:highlight w:val="none"/>
                    </w:rPr>
                    <w:t>产生量</w:t>
                  </w:r>
                </w:p>
              </w:tc>
              <w:tc>
                <w:tcPr>
                  <w:tcW w:w="688" w:type="pct"/>
                  <w:vAlign w:val="center"/>
                </w:tcPr>
                <w:p w14:paraId="4AA62850">
                  <w:pPr>
                    <w:pStyle w:val="28"/>
                    <w:rPr>
                      <w:b/>
                      <w:bCs/>
                      <w:highlight w:val="none"/>
                    </w:rPr>
                  </w:pPr>
                  <w:r>
                    <w:rPr>
                      <w:rFonts w:hint="eastAsia"/>
                      <w:b/>
                      <w:bCs/>
                      <w:highlight w:val="none"/>
                    </w:rPr>
                    <w:t>排放量</w:t>
                  </w:r>
                </w:p>
              </w:tc>
              <w:tc>
                <w:tcPr>
                  <w:tcW w:w="684" w:type="pct"/>
                  <w:vAlign w:val="center"/>
                </w:tcPr>
                <w:p w14:paraId="636563B2">
                  <w:pPr>
                    <w:pStyle w:val="28"/>
                    <w:rPr>
                      <w:b/>
                      <w:bCs/>
                      <w:highlight w:val="none"/>
                    </w:rPr>
                  </w:pPr>
                  <w:r>
                    <w:rPr>
                      <w:rFonts w:hint="eastAsia"/>
                      <w:b/>
                      <w:bCs/>
                      <w:highlight w:val="none"/>
                    </w:rPr>
                    <w:t>产生量</w:t>
                  </w:r>
                </w:p>
              </w:tc>
              <w:tc>
                <w:tcPr>
                  <w:tcW w:w="654" w:type="pct"/>
                  <w:vAlign w:val="center"/>
                </w:tcPr>
                <w:p w14:paraId="43AE8D50">
                  <w:pPr>
                    <w:pStyle w:val="28"/>
                    <w:rPr>
                      <w:b/>
                      <w:bCs/>
                      <w:highlight w:val="none"/>
                    </w:rPr>
                  </w:pPr>
                  <w:r>
                    <w:rPr>
                      <w:rFonts w:hint="eastAsia"/>
                      <w:b/>
                      <w:bCs/>
                      <w:highlight w:val="none"/>
                    </w:rPr>
                    <w:t>排放量</w:t>
                  </w:r>
                </w:p>
              </w:tc>
              <w:tc>
                <w:tcPr>
                  <w:tcW w:w="530" w:type="pct"/>
                  <w:vMerge w:val="continue"/>
                  <w:vAlign w:val="center"/>
                </w:tcPr>
                <w:p w14:paraId="1A701440">
                  <w:pPr>
                    <w:pStyle w:val="28"/>
                    <w:rPr>
                      <w:b/>
                      <w:bCs/>
                      <w:highlight w:val="none"/>
                    </w:rPr>
                  </w:pPr>
                </w:p>
              </w:tc>
              <w:tc>
                <w:tcPr>
                  <w:tcW w:w="638" w:type="pct"/>
                  <w:vMerge w:val="continue"/>
                  <w:vAlign w:val="center"/>
                </w:tcPr>
                <w:p w14:paraId="58C59B16">
                  <w:pPr>
                    <w:pStyle w:val="28"/>
                    <w:rPr>
                      <w:b/>
                      <w:bCs/>
                      <w:highlight w:val="none"/>
                    </w:rPr>
                  </w:pPr>
                </w:p>
              </w:tc>
            </w:tr>
            <w:tr w14:paraId="4B4E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vMerge w:val="restart"/>
                  <w:vAlign w:val="center"/>
                </w:tcPr>
                <w:p w14:paraId="15792EE0">
                  <w:pPr>
                    <w:pStyle w:val="28"/>
                    <w:rPr>
                      <w:highlight w:val="none"/>
                    </w:rPr>
                  </w:pPr>
                  <w:r>
                    <w:rPr>
                      <w:rFonts w:hint="eastAsia"/>
                      <w:highlight w:val="none"/>
                    </w:rPr>
                    <w:t>废水</w:t>
                  </w:r>
                </w:p>
              </w:tc>
              <w:tc>
                <w:tcPr>
                  <w:tcW w:w="718" w:type="pct"/>
                  <w:vAlign w:val="center"/>
                </w:tcPr>
                <w:p w14:paraId="650806B0">
                  <w:pPr>
                    <w:pStyle w:val="28"/>
                    <w:rPr>
                      <w:highlight w:val="none"/>
                    </w:rPr>
                  </w:pPr>
                  <w:r>
                    <w:rPr>
                      <w:rFonts w:hint="eastAsia"/>
                      <w:highlight w:val="none"/>
                    </w:rPr>
                    <w:t>CODcr</w:t>
                  </w:r>
                </w:p>
              </w:tc>
              <w:tc>
                <w:tcPr>
                  <w:tcW w:w="684" w:type="pct"/>
                  <w:vAlign w:val="center"/>
                </w:tcPr>
                <w:p w14:paraId="7FF57A6E">
                  <w:pPr>
                    <w:pStyle w:val="28"/>
                    <w:rPr>
                      <w:highlight w:val="none"/>
                    </w:rPr>
                  </w:pPr>
                  <w:r>
                    <w:rPr>
                      <w:rFonts w:hint="eastAsia"/>
                      <w:highlight w:val="none"/>
                    </w:rPr>
                    <w:t>28.28</w:t>
                  </w:r>
                </w:p>
              </w:tc>
              <w:tc>
                <w:tcPr>
                  <w:tcW w:w="688" w:type="pct"/>
                  <w:vAlign w:val="center"/>
                </w:tcPr>
                <w:p w14:paraId="0766CEC4">
                  <w:pPr>
                    <w:pStyle w:val="28"/>
                    <w:rPr>
                      <w:highlight w:val="none"/>
                    </w:rPr>
                  </w:pPr>
                  <w:r>
                    <w:rPr>
                      <w:rFonts w:hint="eastAsia"/>
                      <w:highlight w:val="none"/>
                    </w:rPr>
                    <w:t>0</w:t>
                  </w:r>
                </w:p>
              </w:tc>
              <w:tc>
                <w:tcPr>
                  <w:tcW w:w="684" w:type="pct"/>
                  <w:vAlign w:val="center"/>
                </w:tcPr>
                <w:p w14:paraId="0E16F1F9">
                  <w:pPr>
                    <w:pStyle w:val="28"/>
                    <w:rPr>
                      <w:highlight w:val="none"/>
                    </w:rPr>
                  </w:pPr>
                  <w:r>
                    <w:rPr>
                      <w:rFonts w:hint="eastAsia"/>
                      <w:highlight w:val="none"/>
                    </w:rPr>
                    <w:t>30.59</w:t>
                  </w:r>
                </w:p>
              </w:tc>
              <w:tc>
                <w:tcPr>
                  <w:tcW w:w="654" w:type="pct"/>
                  <w:vAlign w:val="center"/>
                </w:tcPr>
                <w:p w14:paraId="214D9CD9">
                  <w:pPr>
                    <w:pStyle w:val="28"/>
                    <w:rPr>
                      <w:highlight w:val="none"/>
                    </w:rPr>
                  </w:pPr>
                  <w:r>
                    <w:rPr>
                      <w:rFonts w:hint="eastAsia"/>
                      <w:highlight w:val="none"/>
                    </w:rPr>
                    <w:t>0</w:t>
                  </w:r>
                </w:p>
              </w:tc>
              <w:tc>
                <w:tcPr>
                  <w:tcW w:w="530" w:type="pct"/>
                  <w:vAlign w:val="center"/>
                </w:tcPr>
                <w:p w14:paraId="3986FDEF">
                  <w:pPr>
                    <w:pStyle w:val="28"/>
                    <w:rPr>
                      <w:highlight w:val="none"/>
                    </w:rPr>
                  </w:pPr>
                  <w:r>
                    <w:rPr>
                      <w:rFonts w:hint="eastAsia"/>
                      <w:highlight w:val="none"/>
                    </w:rPr>
                    <w:t>0</w:t>
                  </w:r>
                </w:p>
              </w:tc>
              <w:tc>
                <w:tcPr>
                  <w:tcW w:w="638" w:type="pct"/>
                  <w:vAlign w:val="center"/>
                </w:tcPr>
                <w:p w14:paraId="0AC89025">
                  <w:pPr>
                    <w:pStyle w:val="28"/>
                    <w:rPr>
                      <w:highlight w:val="none"/>
                    </w:rPr>
                  </w:pPr>
                  <w:r>
                    <w:rPr>
                      <w:rFonts w:hint="eastAsia"/>
                      <w:highlight w:val="none"/>
                    </w:rPr>
                    <w:t>0</w:t>
                  </w:r>
                </w:p>
              </w:tc>
            </w:tr>
            <w:tr w14:paraId="2D94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vMerge w:val="continue"/>
                  <w:vAlign w:val="center"/>
                </w:tcPr>
                <w:p w14:paraId="213D8E7E">
                  <w:pPr>
                    <w:pStyle w:val="28"/>
                    <w:rPr>
                      <w:highlight w:val="none"/>
                    </w:rPr>
                  </w:pPr>
                </w:p>
              </w:tc>
              <w:tc>
                <w:tcPr>
                  <w:tcW w:w="718" w:type="pct"/>
                  <w:vAlign w:val="center"/>
                </w:tcPr>
                <w:p w14:paraId="51903464">
                  <w:pPr>
                    <w:pStyle w:val="28"/>
                    <w:rPr>
                      <w:highlight w:val="none"/>
                    </w:rPr>
                  </w:pPr>
                  <w:r>
                    <w:rPr>
                      <w:rFonts w:hint="eastAsia"/>
                      <w:highlight w:val="none"/>
                    </w:rPr>
                    <w:t>NH</w:t>
                  </w:r>
                  <w:r>
                    <w:rPr>
                      <w:rFonts w:hint="eastAsia"/>
                      <w:highlight w:val="none"/>
                      <w:vertAlign w:val="subscript"/>
                    </w:rPr>
                    <w:t>3</w:t>
                  </w:r>
                  <w:r>
                    <w:rPr>
                      <w:rFonts w:hint="eastAsia"/>
                      <w:highlight w:val="none"/>
                    </w:rPr>
                    <w:t>-N</w:t>
                  </w:r>
                </w:p>
              </w:tc>
              <w:tc>
                <w:tcPr>
                  <w:tcW w:w="684" w:type="pct"/>
                  <w:vAlign w:val="center"/>
                </w:tcPr>
                <w:p w14:paraId="2436B825">
                  <w:pPr>
                    <w:pStyle w:val="28"/>
                    <w:rPr>
                      <w:highlight w:val="none"/>
                    </w:rPr>
                  </w:pPr>
                  <w:r>
                    <w:rPr>
                      <w:rFonts w:hint="eastAsia"/>
                      <w:highlight w:val="none"/>
                    </w:rPr>
                    <w:t>0.91</w:t>
                  </w:r>
                </w:p>
              </w:tc>
              <w:tc>
                <w:tcPr>
                  <w:tcW w:w="688" w:type="pct"/>
                  <w:vAlign w:val="center"/>
                </w:tcPr>
                <w:p w14:paraId="624338C8">
                  <w:pPr>
                    <w:pStyle w:val="28"/>
                    <w:rPr>
                      <w:highlight w:val="none"/>
                    </w:rPr>
                  </w:pPr>
                  <w:r>
                    <w:rPr>
                      <w:rFonts w:hint="eastAsia"/>
                      <w:highlight w:val="none"/>
                    </w:rPr>
                    <w:t>0</w:t>
                  </w:r>
                </w:p>
              </w:tc>
              <w:tc>
                <w:tcPr>
                  <w:tcW w:w="684" w:type="pct"/>
                  <w:vAlign w:val="center"/>
                </w:tcPr>
                <w:p w14:paraId="47E64C96">
                  <w:pPr>
                    <w:pStyle w:val="28"/>
                    <w:rPr>
                      <w:highlight w:val="none"/>
                    </w:rPr>
                  </w:pPr>
                  <w:r>
                    <w:rPr>
                      <w:rFonts w:hint="eastAsia"/>
                      <w:highlight w:val="none"/>
                    </w:rPr>
                    <w:t>2.294</w:t>
                  </w:r>
                </w:p>
              </w:tc>
              <w:tc>
                <w:tcPr>
                  <w:tcW w:w="654" w:type="pct"/>
                  <w:vAlign w:val="center"/>
                </w:tcPr>
                <w:p w14:paraId="691500F7">
                  <w:pPr>
                    <w:pStyle w:val="28"/>
                    <w:rPr>
                      <w:highlight w:val="none"/>
                    </w:rPr>
                  </w:pPr>
                  <w:r>
                    <w:rPr>
                      <w:rFonts w:hint="eastAsia"/>
                      <w:highlight w:val="none"/>
                    </w:rPr>
                    <w:t>0</w:t>
                  </w:r>
                </w:p>
              </w:tc>
              <w:tc>
                <w:tcPr>
                  <w:tcW w:w="530" w:type="pct"/>
                  <w:vAlign w:val="center"/>
                </w:tcPr>
                <w:p w14:paraId="65D2E1D7">
                  <w:pPr>
                    <w:pStyle w:val="28"/>
                    <w:rPr>
                      <w:highlight w:val="none"/>
                    </w:rPr>
                  </w:pPr>
                  <w:r>
                    <w:rPr>
                      <w:rFonts w:hint="eastAsia"/>
                      <w:highlight w:val="none"/>
                    </w:rPr>
                    <w:t>0</w:t>
                  </w:r>
                </w:p>
              </w:tc>
              <w:tc>
                <w:tcPr>
                  <w:tcW w:w="638" w:type="pct"/>
                  <w:vAlign w:val="center"/>
                </w:tcPr>
                <w:p w14:paraId="662ED456">
                  <w:pPr>
                    <w:pStyle w:val="28"/>
                    <w:rPr>
                      <w:highlight w:val="none"/>
                    </w:rPr>
                  </w:pPr>
                  <w:r>
                    <w:rPr>
                      <w:rFonts w:hint="eastAsia"/>
                      <w:highlight w:val="none"/>
                    </w:rPr>
                    <w:t>0</w:t>
                  </w:r>
                </w:p>
              </w:tc>
            </w:tr>
            <w:tr w14:paraId="1866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vMerge w:val="continue"/>
                  <w:vAlign w:val="center"/>
                </w:tcPr>
                <w:p w14:paraId="43B97B02">
                  <w:pPr>
                    <w:pStyle w:val="28"/>
                    <w:rPr>
                      <w:highlight w:val="none"/>
                    </w:rPr>
                  </w:pPr>
                </w:p>
              </w:tc>
              <w:tc>
                <w:tcPr>
                  <w:tcW w:w="718" w:type="pct"/>
                  <w:vAlign w:val="center"/>
                </w:tcPr>
                <w:p w14:paraId="3DB0E4ED">
                  <w:pPr>
                    <w:pStyle w:val="28"/>
                    <w:rPr>
                      <w:highlight w:val="none"/>
                    </w:rPr>
                  </w:pPr>
                  <w:r>
                    <w:rPr>
                      <w:rFonts w:hint="eastAsia"/>
                      <w:highlight w:val="none"/>
                    </w:rPr>
                    <w:t>废水量</w:t>
                  </w:r>
                </w:p>
              </w:tc>
              <w:tc>
                <w:tcPr>
                  <w:tcW w:w="684" w:type="pct"/>
                  <w:vAlign w:val="center"/>
                </w:tcPr>
                <w:p w14:paraId="464B32D6">
                  <w:pPr>
                    <w:pStyle w:val="28"/>
                    <w:rPr>
                      <w:highlight w:val="none"/>
                    </w:rPr>
                  </w:pPr>
                  <w:r>
                    <w:rPr>
                      <w:rFonts w:hint="eastAsia"/>
                      <w:highlight w:val="none"/>
                    </w:rPr>
                    <w:t>36000</w:t>
                  </w:r>
                </w:p>
              </w:tc>
              <w:tc>
                <w:tcPr>
                  <w:tcW w:w="688" w:type="pct"/>
                  <w:vAlign w:val="center"/>
                </w:tcPr>
                <w:p w14:paraId="4DEA144F">
                  <w:pPr>
                    <w:pStyle w:val="28"/>
                    <w:rPr>
                      <w:highlight w:val="none"/>
                    </w:rPr>
                  </w:pPr>
                  <w:r>
                    <w:rPr>
                      <w:rFonts w:hint="eastAsia"/>
                      <w:highlight w:val="none"/>
                    </w:rPr>
                    <w:t>0</w:t>
                  </w:r>
                </w:p>
              </w:tc>
              <w:tc>
                <w:tcPr>
                  <w:tcW w:w="684" w:type="pct"/>
                  <w:vAlign w:val="center"/>
                </w:tcPr>
                <w:p w14:paraId="2819E900">
                  <w:pPr>
                    <w:pStyle w:val="28"/>
                    <w:rPr>
                      <w:highlight w:val="none"/>
                    </w:rPr>
                  </w:pPr>
                  <w:r>
                    <w:rPr>
                      <w:rFonts w:hint="eastAsia"/>
                      <w:highlight w:val="none"/>
                    </w:rPr>
                    <w:t>15295</w:t>
                  </w:r>
                </w:p>
              </w:tc>
              <w:tc>
                <w:tcPr>
                  <w:tcW w:w="654" w:type="pct"/>
                  <w:vAlign w:val="center"/>
                </w:tcPr>
                <w:p w14:paraId="050C77BA">
                  <w:pPr>
                    <w:pStyle w:val="28"/>
                    <w:rPr>
                      <w:highlight w:val="none"/>
                    </w:rPr>
                  </w:pPr>
                  <w:r>
                    <w:rPr>
                      <w:rFonts w:hint="eastAsia"/>
                      <w:highlight w:val="none"/>
                    </w:rPr>
                    <w:t>0</w:t>
                  </w:r>
                </w:p>
              </w:tc>
              <w:tc>
                <w:tcPr>
                  <w:tcW w:w="530" w:type="pct"/>
                  <w:vAlign w:val="center"/>
                </w:tcPr>
                <w:p w14:paraId="4A59BC10">
                  <w:pPr>
                    <w:pStyle w:val="28"/>
                    <w:rPr>
                      <w:highlight w:val="none"/>
                    </w:rPr>
                  </w:pPr>
                  <w:r>
                    <w:rPr>
                      <w:rFonts w:hint="eastAsia"/>
                      <w:highlight w:val="none"/>
                    </w:rPr>
                    <w:t>0</w:t>
                  </w:r>
                </w:p>
              </w:tc>
              <w:tc>
                <w:tcPr>
                  <w:tcW w:w="638" w:type="pct"/>
                  <w:vAlign w:val="center"/>
                </w:tcPr>
                <w:p w14:paraId="6F909311">
                  <w:pPr>
                    <w:pStyle w:val="28"/>
                    <w:rPr>
                      <w:highlight w:val="none"/>
                    </w:rPr>
                  </w:pPr>
                  <w:r>
                    <w:rPr>
                      <w:rFonts w:hint="eastAsia"/>
                      <w:highlight w:val="none"/>
                    </w:rPr>
                    <w:t>0</w:t>
                  </w:r>
                </w:p>
              </w:tc>
            </w:tr>
            <w:tr w14:paraId="60DF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vMerge w:val="restart"/>
                  <w:vAlign w:val="center"/>
                </w:tcPr>
                <w:p w14:paraId="3F40713F">
                  <w:pPr>
                    <w:pStyle w:val="28"/>
                    <w:rPr>
                      <w:highlight w:val="none"/>
                    </w:rPr>
                  </w:pPr>
                  <w:r>
                    <w:rPr>
                      <w:rFonts w:hint="eastAsia"/>
                      <w:highlight w:val="none"/>
                    </w:rPr>
                    <w:t>固体废物</w:t>
                  </w:r>
                </w:p>
              </w:tc>
              <w:tc>
                <w:tcPr>
                  <w:tcW w:w="718" w:type="pct"/>
                  <w:vAlign w:val="center"/>
                </w:tcPr>
                <w:p w14:paraId="264551CF">
                  <w:pPr>
                    <w:pStyle w:val="28"/>
                    <w:rPr>
                      <w:highlight w:val="none"/>
                    </w:rPr>
                  </w:pPr>
                  <w:r>
                    <w:rPr>
                      <w:rFonts w:hint="eastAsia"/>
                      <w:highlight w:val="none"/>
                    </w:rPr>
                    <w:t>生活垃圾</w:t>
                  </w:r>
                </w:p>
              </w:tc>
              <w:tc>
                <w:tcPr>
                  <w:tcW w:w="684" w:type="pct"/>
                  <w:vAlign w:val="center"/>
                </w:tcPr>
                <w:p w14:paraId="4C603675">
                  <w:pPr>
                    <w:pStyle w:val="28"/>
                    <w:rPr>
                      <w:highlight w:val="none"/>
                    </w:rPr>
                  </w:pPr>
                  <w:r>
                    <w:rPr>
                      <w:rFonts w:hint="eastAsia"/>
                      <w:highlight w:val="none"/>
                    </w:rPr>
                    <w:t>14</w:t>
                  </w:r>
                </w:p>
              </w:tc>
              <w:tc>
                <w:tcPr>
                  <w:tcW w:w="688" w:type="pct"/>
                  <w:vAlign w:val="center"/>
                </w:tcPr>
                <w:p w14:paraId="2216128D">
                  <w:pPr>
                    <w:pStyle w:val="28"/>
                    <w:rPr>
                      <w:highlight w:val="none"/>
                    </w:rPr>
                  </w:pPr>
                  <w:r>
                    <w:rPr>
                      <w:rFonts w:hint="eastAsia"/>
                      <w:highlight w:val="none"/>
                    </w:rPr>
                    <w:t>0</w:t>
                  </w:r>
                </w:p>
              </w:tc>
              <w:tc>
                <w:tcPr>
                  <w:tcW w:w="684" w:type="pct"/>
                  <w:vAlign w:val="center"/>
                </w:tcPr>
                <w:p w14:paraId="43D28237">
                  <w:pPr>
                    <w:pStyle w:val="28"/>
                    <w:rPr>
                      <w:highlight w:val="none"/>
                    </w:rPr>
                  </w:pPr>
                  <w:r>
                    <w:rPr>
                      <w:rFonts w:hint="eastAsia"/>
                      <w:highlight w:val="none"/>
                    </w:rPr>
                    <w:t>0</w:t>
                  </w:r>
                </w:p>
              </w:tc>
              <w:tc>
                <w:tcPr>
                  <w:tcW w:w="654" w:type="pct"/>
                  <w:vAlign w:val="center"/>
                </w:tcPr>
                <w:p w14:paraId="7DDA4D65">
                  <w:pPr>
                    <w:pStyle w:val="28"/>
                    <w:rPr>
                      <w:highlight w:val="none"/>
                    </w:rPr>
                  </w:pPr>
                  <w:r>
                    <w:rPr>
                      <w:rFonts w:hint="eastAsia"/>
                      <w:highlight w:val="none"/>
                    </w:rPr>
                    <w:t>0</w:t>
                  </w:r>
                </w:p>
              </w:tc>
              <w:tc>
                <w:tcPr>
                  <w:tcW w:w="530" w:type="pct"/>
                  <w:vAlign w:val="center"/>
                </w:tcPr>
                <w:p w14:paraId="3AD81E97">
                  <w:pPr>
                    <w:pStyle w:val="28"/>
                    <w:rPr>
                      <w:highlight w:val="none"/>
                    </w:rPr>
                  </w:pPr>
                  <w:r>
                    <w:rPr>
                      <w:rFonts w:hint="eastAsia"/>
                      <w:highlight w:val="none"/>
                    </w:rPr>
                    <w:t>0</w:t>
                  </w:r>
                </w:p>
              </w:tc>
              <w:tc>
                <w:tcPr>
                  <w:tcW w:w="638" w:type="pct"/>
                  <w:vAlign w:val="center"/>
                </w:tcPr>
                <w:p w14:paraId="101A6D49">
                  <w:pPr>
                    <w:pStyle w:val="28"/>
                    <w:rPr>
                      <w:highlight w:val="none"/>
                    </w:rPr>
                  </w:pPr>
                  <w:r>
                    <w:rPr>
                      <w:rFonts w:hint="eastAsia"/>
                      <w:highlight w:val="none"/>
                    </w:rPr>
                    <w:t>0</w:t>
                  </w:r>
                </w:p>
              </w:tc>
            </w:tr>
            <w:tr w14:paraId="2B06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vMerge w:val="continue"/>
                  <w:vAlign w:val="center"/>
                </w:tcPr>
                <w:p w14:paraId="70F16043">
                  <w:pPr>
                    <w:pStyle w:val="28"/>
                    <w:rPr>
                      <w:highlight w:val="none"/>
                    </w:rPr>
                  </w:pPr>
                </w:p>
              </w:tc>
              <w:tc>
                <w:tcPr>
                  <w:tcW w:w="718" w:type="pct"/>
                  <w:vAlign w:val="center"/>
                </w:tcPr>
                <w:p w14:paraId="7706D123">
                  <w:pPr>
                    <w:pStyle w:val="28"/>
                    <w:rPr>
                      <w:rFonts w:hint="eastAsia" w:eastAsia="宋体"/>
                      <w:highlight w:val="none"/>
                      <w:lang w:val="en-US" w:eastAsia="zh-CN"/>
                    </w:rPr>
                  </w:pPr>
                  <w:r>
                    <w:rPr>
                      <w:rFonts w:hint="eastAsia"/>
                      <w:highlight w:val="none"/>
                    </w:rPr>
                    <w:t>生产</w:t>
                  </w:r>
                  <w:r>
                    <w:rPr>
                      <w:rFonts w:hint="eastAsia"/>
                      <w:highlight w:val="none"/>
                      <w:lang w:val="en-US" w:eastAsia="zh-CN"/>
                    </w:rPr>
                    <w:t>固废</w:t>
                  </w:r>
                </w:p>
              </w:tc>
              <w:tc>
                <w:tcPr>
                  <w:tcW w:w="684" w:type="pct"/>
                  <w:vAlign w:val="center"/>
                </w:tcPr>
                <w:p w14:paraId="5B923402">
                  <w:pPr>
                    <w:pStyle w:val="28"/>
                    <w:rPr>
                      <w:rFonts w:hint="default" w:eastAsia="宋体"/>
                      <w:highlight w:val="none"/>
                      <w:lang w:val="en-US" w:eastAsia="zh-CN"/>
                    </w:rPr>
                  </w:pPr>
                  <w:r>
                    <w:rPr>
                      <w:rFonts w:hint="eastAsia"/>
                      <w:highlight w:val="none"/>
                    </w:rPr>
                    <w:t>14</w:t>
                  </w:r>
                  <w:r>
                    <w:rPr>
                      <w:rFonts w:hint="eastAsia"/>
                      <w:highlight w:val="none"/>
                      <w:lang w:val="en-US" w:eastAsia="zh-CN"/>
                    </w:rPr>
                    <w:t>98.02</w:t>
                  </w:r>
                </w:p>
              </w:tc>
              <w:tc>
                <w:tcPr>
                  <w:tcW w:w="688" w:type="pct"/>
                  <w:vAlign w:val="center"/>
                </w:tcPr>
                <w:p w14:paraId="12E21A27">
                  <w:pPr>
                    <w:pStyle w:val="28"/>
                    <w:rPr>
                      <w:highlight w:val="none"/>
                    </w:rPr>
                  </w:pPr>
                  <w:r>
                    <w:rPr>
                      <w:rFonts w:hint="eastAsia"/>
                      <w:highlight w:val="none"/>
                    </w:rPr>
                    <w:t>0</w:t>
                  </w:r>
                </w:p>
              </w:tc>
              <w:tc>
                <w:tcPr>
                  <w:tcW w:w="684" w:type="pct"/>
                  <w:vAlign w:val="center"/>
                </w:tcPr>
                <w:p w14:paraId="07121374">
                  <w:pPr>
                    <w:pStyle w:val="28"/>
                    <w:rPr>
                      <w:highlight w:val="none"/>
                    </w:rPr>
                  </w:pPr>
                  <w:r>
                    <w:rPr>
                      <w:rFonts w:hint="eastAsia"/>
                      <w:highlight w:val="none"/>
                    </w:rPr>
                    <w:t>245.216</w:t>
                  </w:r>
                </w:p>
              </w:tc>
              <w:tc>
                <w:tcPr>
                  <w:tcW w:w="654" w:type="pct"/>
                  <w:vAlign w:val="center"/>
                </w:tcPr>
                <w:p w14:paraId="5B80EEFA">
                  <w:pPr>
                    <w:pStyle w:val="28"/>
                    <w:rPr>
                      <w:highlight w:val="none"/>
                    </w:rPr>
                  </w:pPr>
                  <w:r>
                    <w:rPr>
                      <w:rFonts w:hint="eastAsia"/>
                      <w:highlight w:val="none"/>
                    </w:rPr>
                    <w:t>0</w:t>
                  </w:r>
                </w:p>
              </w:tc>
              <w:tc>
                <w:tcPr>
                  <w:tcW w:w="530" w:type="pct"/>
                  <w:vAlign w:val="center"/>
                </w:tcPr>
                <w:p w14:paraId="7C5CE29B">
                  <w:pPr>
                    <w:pStyle w:val="28"/>
                    <w:rPr>
                      <w:highlight w:val="none"/>
                    </w:rPr>
                  </w:pPr>
                  <w:r>
                    <w:rPr>
                      <w:rFonts w:hint="eastAsia"/>
                      <w:highlight w:val="none"/>
                    </w:rPr>
                    <w:t>0</w:t>
                  </w:r>
                </w:p>
              </w:tc>
              <w:tc>
                <w:tcPr>
                  <w:tcW w:w="638" w:type="pct"/>
                  <w:vAlign w:val="center"/>
                </w:tcPr>
                <w:p w14:paraId="126E42D5">
                  <w:pPr>
                    <w:pStyle w:val="28"/>
                    <w:rPr>
                      <w:highlight w:val="none"/>
                    </w:rPr>
                  </w:pPr>
                  <w:r>
                    <w:rPr>
                      <w:rFonts w:hint="eastAsia"/>
                      <w:highlight w:val="none"/>
                    </w:rPr>
                    <w:t>0</w:t>
                  </w:r>
                </w:p>
              </w:tc>
            </w:tr>
          </w:tbl>
          <w:p w14:paraId="36AFE068">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6.“以新带老”分析</w:t>
            </w:r>
          </w:p>
          <w:p w14:paraId="1440B433">
            <w:pPr>
              <w:pStyle w:val="34"/>
              <w:ind w:firstLine="492"/>
              <w:rPr>
                <w:color w:val="000000" w:themeColor="text1"/>
                <w:spacing w:val="3"/>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原项目废水经污水管道收集后进入全厂建设的处理能力为250m³/d的污水处理站处理达《城市污水再生利用 城市杂用水水质》（GB/T18920-2020）绿化标准的要求后用于厂区绿化，不外排。废气达到了《恶臭污染物排放标准》（GB14554-93）的标准限值。厂界噪声均达到《工业企业厂界环境噪声排放标准》（GB12348-2008）2类区标准的要求。固体废弃物处置率达100%。均未设置总量控制指标。</w:t>
            </w:r>
          </w:p>
          <w:p w14:paraId="114DC7C5">
            <w:pPr>
              <w:pStyle w:val="34"/>
              <w:ind w:firstLine="492"/>
              <w:rPr>
                <w:color w:val="000000" w:themeColor="text1"/>
                <w:spacing w:val="3"/>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本项目根据具体情况及国家污染物排放总量控制原则，废水未新增污染物排放口，废水不外排，故不设置总量控制指标。废气H</w:t>
            </w:r>
            <w:r>
              <w:rPr>
                <w:rFonts w:hint="eastAsia"/>
                <w:color w:val="000000" w:themeColor="text1"/>
                <w:spacing w:val="3"/>
                <w:highlight w:val="none"/>
                <w:vertAlign w:val="subscript"/>
                <w:lang w:eastAsia="zh-CN"/>
                <w14:textFill>
                  <w14:solidFill>
                    <w14:schemeClr w14:val="tx1"/>
                  </w14:solidFill>
                </w14:textFill>
              </w:rPr>
              <w:t>2</w:t>
            </w:r>
            <w:r>
              <w:rPr>
                <w:rFonts w:hint="eastAsia"/>
                <w:color w:val="000000" w:themeColor="text1"/>
                <w:spacing w:val="3"/>
                <w:highlight w:val="none"/>
                <w:lang w:eastAsia="zh-CN"/>
                <w14:textFill>
                  <w14:solidFill>
                    <w14:schemeClr w14:val="tx1"/>
                  </w14:solidFill>
                </w14:textFill>
              </w:rPr>
              <w:t>S、NH</w:t>
            </w:r>
            <w:r>
              <w:rPr>
                <w:rFonts w:hint="eastAsia"/>
                <w:color w:val="000000" w:themeColor="text1"/>
                <w:spacing w:val="3"/>
                <w:highlight w:val="none"/>
                <w:vertAlign w:val="subscript"/>
                <w:lang w:eastAsia="zh-CN"/>
                <w14:textFill>
                  <w14:solidFill>
                    <w14:schemeClr w14:val="tx1"/>
                  </w14:solidFill>
                </w14:textFill>
              </w:rPr>
              <w:t>3</w:t>
            </w:r>
            <w:r>
              <w:rPr>
                <w:rFonts w:hint="eastAsia"/>
                <w:color w:val="000000" w:themeColor="text1"/>
                <w:spacing w:val="3"/>
                <w:highlight w:val="none"/>
                <w:lang w:eastAsia="zh-CN"/>
                <w14:textFill>
                  <w14:solidFill>
                    <w14:schemeClr w14:val="tx1"/>
                  </w14:solidFill>
                </w14:textFill>
              </w:rPr>
              <w:t>和臭气浓度不属于总量控制指标。固废处置率100%，不设置总量控制指标。噪声预测值达到《工业企业厂界环境噪声排放标准》（GB12348-2008）中的2类标准要求。</w:t>
            </w:r>
          </w:p>
          <w:p w14:paraId="6FF58FBA">
            <w:pPr>
              <w:pStyle w:val="34"/>
              <w:ind w:firstLine="492"/>
              <w:rPr>
                <w:color w:val="000000" w:themeColor="text1"/>
                <w:spacing w:val="3"/>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目前根据废气源强核算，待宰间废气产生量较多，针对现存问题，提出“以新带老”措施为：在待宰区喷洒除臭剂以减少恶臭气体的产生。</w:t>
            </w:r>
          </w:p>
          <w:p w14:paraId="3A97D77E">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7.地下水</w:t>
            </w:r>
          </w:p>
          <w:p w14:paraId="6E32DF9A">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根据《环境影响评价技术导则地下水环境》（</w:t>
            </w:r>
            <w:r>
              <w:rPr>
                <w:color w:val="000000" w:themeColor="text1"/>
                <w:highlight w:val="none"/>
                <w:lang w:eastAsia="zh-CN"/>
                <w14:textFill>
                  <w14:solidFill>
                    <w14:schemeClr w14:val="tx1"/>
                  </w14:solidFill>
                </w14:textFill>
              </w:rPr>
              <w:t>HJ610-2016</w:t>
            </w:r>
            <w:r>
              <w:rPr>
                <w:rFonts w:hint="eastAsia"/>
                <w:color w:val="000000" w:themeColor="text1"/>
                <w:highlight w:val="none"/>
                <w:lang w:eastAsia="zh-CN"/>
                <w14:textFill>
                  <w14:solidFill>
                    <w14:schemeClr w14:val="tx1"/>
                  </w14:solidFill>
                </w14:textFill>
              </w:rPr>
              <w:t>）本项目属于附录</w:t>
            </w: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“N轻工的98、屠宰”，本项目属</w:t>
            </w:r>
            <w:r>
              <w:rPr>
                <w:color w:val="000000" w:themeColor="text1"/>
                <w:highlight w:val="none"/>
                <w:lang w:eastAsia="zh-CN"/>
                <w14:textFill>
                  <w14:solidFill>
                    <w14:schemeClr w14:val="tx1"/>
                  </w14:solidFill>
                </w14:textFill>
              </w:rPr>
              <w:t>Ⅳ</w:t>
            </w:r>
            <w:r>
              <w:rPr>
                <w:rFonts w:hint="eastAsia"/>
                <w:color w:val="000000" w:themeColor="text1"/>
                <w:highlight w:val="none"/>
                <w:lang w:eastAsia="zh-CN"/>
                <w14:textFill>
                  <w14:solidFill>
                    <w14:schemeClr w14:val="tx1"/>
                  </w14:solidFill>
                </w14:textFill>
              </w:rPr>
              <w:t>类建设项目，可不进行地下水影响评价，且本项目屠宰过程不涉及重金属，并在项目区建设污水处理系统用以处理和蓄水，保证废水泄露时不进入地下水，不与地下水直接接触，对地下水无影响。</w:t>
            </w:r>
          </w:p>
          <w:p w14:paraId="30B90730">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8.土壤</w:t>
            </w:r>
          </w:p>
          <w:p w14:paraId="45559A2C">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根据《环境影响评价技术导则土壤环境（试行）》（</w:t>
            </w:r>
            <w:r>
              <w:rPr>
                <w:color w:val="000000" w:themeColor="text1"/>
                <w:highlight w:val="none"/>
                <w:lang w:eastAsia="zh-CN"/>
                <w14:textFill>
                  <w14:solidFill>
                    <w14:schemeClr w14:val="tx1"/>
                  </w14:solidFill>
                </w14:textFill>
              </w:rPr>
              <w:t>HJ964-2018</w:t>
            </w:r>
            <w:r>
              <w:rPr>
                <w:rFonts w:hint="eastAsia"/>
                <w:color w:val="000000" w:themeColor="text1"/>
                <w:highlight w:val="none"/>
                <w:lang w:eastAsia="zh-CN"/>
                <w14:textFill>
                  <w14:solidFill>
                    <w14:schemeClr w14:val="tx1"/>
                  </w14:solidFill>
                </w14:textFill>
              </w:rPr>
              <w:t>），本项目为附录A中的其他行业－</w:t>
            </w:r>
            <w:r>
              <w:rPr>
                <w:rFonts w:cs="Times New Roman"/>
                <w:color w:val="000000" w:themeColor="text1"/>
                <w:highlight w:val="none"/>
                <w:lang w:eastAsia="zh-CN"/>
                <w14:textFill>
                  <w14:solidFill>
                    <w14:schemeClr w14:val="tx1"/>
                  </w14:solidFill>
                </w14:textFill>
              </w:rPr>
              <w:t>Ⅳ类</w:t>
            </w:r>
            <w:r>
              <w:rPr>
                <w:rFonts w:hint="eastAsia"/>
                <w:color w:val="000000" w:themeColor="text1"/>
                <w:highlight w:val="none"/>
                <w:lang w:eastAsia="zh-CN"/>
                <w14:textFill>
                  <w14:solidFill>
                    <w14:schemeClr w14:val="tx1"/>
                  </w14:solidFill>
                </w14:textFill>
              </w:rPr>
              <w:t>项目，且本项目屠宰过程不涉及重金属，可不进行土壤评价，并在项目区建设污水处理系统用以处理和蓄水，且厂区</w:t>
            </w:r>
            <w:r>
              <w:rPr>
                <w:rFonts w:hint="eastAsia"/>
                <w:color w:val="000000" w:themeColor="text1"/>
                <w:highlight w:val="none"/>
                <w:lang w:val="zh-CN" w:eastAsia="zh-CN"/>
                <w14:textFill>
                  <w14:solidFill>
                    <w14:schemeClr w14:val="tx1"/>
                  </w14:solidFill>
                </w14:textFill>
              </w:rPr>
              <w:t>地面均已硬化，无土壤污染现象，</w:t>
            </w:r>
            <w:r>
              <w:rPr>
                <w:rFonts w:hint="eastAsia"/>
                <w:color w:val="000000" w:themeColor="text1"/>
                <w:highlight w:val="none"/>
                <w:lang w:eastAsia="zh-CN"/>
                <w14:textFill>
                  <w14:solidFill>
                    <w14:schemeClr w14:val="tx1"/>
                  </w14:solidFill>
                </w14:textFill>
              </w:rPr>
              <w:t>保证废水泄漏时不进入土壤，不与土壤直接接触，对土壤无影响。</w:t>
            </w:r>
          </w:p>
          <w:p w14:paraId="00086CBE">
            <w:pPr>
              <w:widowControl/>
              <w:spacing w:line="360" w:lineRule="auto"/>
              <w:jc w:val="left"/>
              <w:rPr>
                <w:b/>
                <w:bCs/>
                <w:color w:val="000000" w:themeColor="text1"/>
                <w:kern w:val="0"/>
                <w:sz w:val="28"/>
                <w:szCs w:val="28"/>
                <w:highlight w:val="none"/>
                <w:lang w:bidi="ar"/>
                <w14:textFill>
                  <w14:solidFill>
                    <w14:schemeClr w14:val="tx1"/>
                  </w14:solidFill>
                </w14:textFill>
              </w:rPr>
            </w:pPr>
            <w:r>
              <w:rPr>
                <w:rFonts w:hint="eastAsia"/>
                <w:b/>
                <w:bCs/>
                <w:color w:val="000000" w:themeColor="text1"/>
                <w:kern w:val="0"/>
                <w:sz w:val="28"/>
                <w:szCs w:val="28"/>
                <w:highlight w:val="none"/>
                <w:lang w:bidi="ar"/>
                <w14:textFill>
                  <w14:solidFill>
                    <w14:schemeClr w14:val="tx1"/>
                  </w14:solidFill>
                </w14:textFill>
              </w:rPr>
              <w:t>9.环境风险</w:t>
            </w:r>
          </w:p>
          <w:p w14:paraId="5E4077E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14:paraId="6A45ED8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）风险调查、识别及评价</w:t>
            </w:r>
          </w:p>
          <w:p w14:paraId="17B65C7D">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①风险调查及识别按照《</w:t>
            </w:r>
            <w:r>
              <w:rPr>
                <w:rFonts w:hint="eastAsia"/>
                <w:color w:val="000000" w:themeColor="text1"/>
                <w:highlight w:val="none"/>
                <w:lang w:val="en-US" w:eastAsia="zh-CN"/>
                <w14:textFill>
                  <w14:solidFill>
                    <w14:schemeClr w14:val="tx1"/>
                  </w14:solidFill>
                </w14:textFill>
              </w:rPr>
              <w:t>国家危险废物名录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2025年</w:t>
            </w:r>
            <w:r>
              <w:rPr>
                <w:rFonts w:hint="eastAsia"/>
                <w:color w:val="000000" w:themeColor="text1"/>
                <w:highlight w:val="none"/>
                <w:lang w:eastAsia="zh-CN"/>
                <w14:textFill>
                  <w14:solidFill>
                    <w14:schemeClr w14:val="tx1"/>
                  </w14:solidFill>
                </w14:textFill>
              </w:rPr>
              <w:t>）》《建设项目环境风险评价技术导则》（</w:t>
            </w:r>
            <w:r>
              <w:rPr>
                <w:color w:val="000000" w:themeColor="text1"/>
                <w:highlight w:val="none"/>
                <w:lang w:eastAsia="zh-CN"/>
                <w14:textFill>
                  <w14:solidFill>
                    <w14:schemeClr w14:val="tx1"/>
                  </w14:solidFill>
                </w14:textFill>
              </w:rPr>
              <w:t>HJ169-2018</w:t>
            </w:r>
            <w:r>
              <w:rPr>
                <w:rFonts w:hint="eastAsia"/>
                <w:color w:val="000000" w:themeColor="text1"/>
                <w:highlight w:val="none"/>
                <w:lang w:eastAsia="zh-CN"/>
                <w14:textFill>
                  <w14:solidFill>
                    <w14:schemeClr w14:val="tx1"/>
                  </w14:solidFill>
                </w14:textFill>
              </w:rPr>
              <w:t>）附录中附录</w:t>
            </w:r>
            <w:r>
              <w:rPr>
                <w:color w:val="000000" w:themeColor="text1"/>
                <w:highlight w:val="none"/>
                <w:lang w:eastAsia="zh-CN"/>
                <w14:textFill>
                  <w14:solidFill>
                    <w14:schemeClr w14:val="tx1"/>
                  </w14:solidFill>
                </w14:textFill>
              </w:rPr>
              <w:t>B</w:t>
            </w:r>
            <w:r>
              <w:rPr>
                <w:rFonts w:hint="eastAsia"/>
                <w:color w:val="000000" w:themeColor="text1"/>
                <w:highlight w:val="none"/>
                <w:lang w:eastAsia="zh-CN"/>
                <w14:textFill>
                  <w14:solidFill>
                    <w14:schemeClr w14:val="tx1"/>
                  </w14:solidFill>
                </w14:textFill>
              </w:rPr>
              <w:t>及《重大危险源辨识》（</w:t>
            </w:r>
            <w:r>
              <w:rPr>
                <w:color w:val="000000" w:themeColor="text1"/>
                <w:highlight w:val="none"/>
                <w:lang w:eastAsia="zh-CN"/>
                <w14:textFill>
                  <w14:solidFill>
                    <w14:schemeClr w14:val="tx1"/>
                  </w14:solidFill>
                </w14:textFill>
              </w:rPr>
              <w:t>GB18218-2018</w:t>
            </w:r>
            <w:r>
              <w:rPr>
                <w:rFonts w:hint="eastAsia"/>
                <w:color w:val="000000" w:themeColor="text1"/>
                <w:highlight w:val="none"/>
                <w:lang w:eastAsia="zh-CN"/>
                <w14:textFill>
                  <w14:solidFill>
                    <w14:schemeClr w14:val="tx1"/>
                  </w14:solidFill>
                </w14:textFill>
              </w:rPr>
              <w:t>），项目主要</w:t>
            </w:r>
            <w:r>
              <w:rPr>
                <w:rFonts w:hint="eastAsia"/>
                <w:color w:val="000000" w:themeColor="text1"/>
                <w:highlight w:val="none"/>
                <w:lang w:val="en-US" w:eastAsia="zh-CN"/>
                <w14:textFill>
                  <w14:solidFill>
                    <w14:schemeClr w14:val="tx1"/>
                  </w14:solidFill>
                </w14:textFill>
              </w:rPr>
              <w:t>危险废物</w:t>
            </w:r>
            <w:r>
              <w:rPr>
                <w:rFonts w:hint="eastAsia"/>
                <w:color w:val="000000" w:themeColor="text1"/>
                <w:highlight w:val="none"/>
                <w:lang w:eastAsia="zh-CN"/>
                <w14:textFill>
                  <w14:solidFill>
                    <w14:schemeClr w14:val="tx1"/>
                  </w14:solidFill>
                </w14:textFill>
              </w:rPr>
              <w:t>为</w:t>
            </w:r>
            <w:r>
              <w:rPr>
                <w:rFonts w:hint="eastAsia" w:cs="宋体"/>
                <w:color w:val="000000" w:themeColor="text1"/>
                <w:szCs w:val="21"/>
                <w:highlight w:val="none"/>
                <w14:textFill>
                  <w14:solidFill>
                    <w14:schemeClr w14:val="tx1"/>
                  </w14:solidFill>
                </w14:textFill>
              </w:rPr>
              <w:t>废</w:t>
            </w:r>
            <w:r>
              <w:rPr>
                <w:rFonts w:hint="eastAsia" w:cs="宋体"/>
                <w:color w:val="000000" w:themeColor="text1"/>
                <w:szCs w:val="21"/>
                <w:highlight w:val="none"/>
                <w:lang w:val="en-US" w:eastAsia="zh-CN"/>
                <w14:textFill>
                  <w14:solidFill>
                    <w14:schemeClr w14:val="tx1"/>
                  </w14:solidFill>
                </w14:textFill>
              </w:rPr>
              <w:t>润滑油</w:t>
            </w:r>
            <w:r>
              <w:rPr>
                <w:rFonts w:hint="eastAsia"/>
                <w:color w:val="000000" w:themeColor="text1"/>
                <w:highlight w:val="none"/>
                <w:lang w:eastAsia="zh-CN"/>
                <w14:textFill>
                  <w14:solidFill>
                    <w14:schemeClr w14:val="tx1"/>
                  </w14:solidFill>
                </w14:textFill>
              </w:rPr>
              <w:t>。根据《建设项目环境风险评价技术导则》（</w:t>
            </w:r>
            <w:r>
              <w:rPr>
                <w:color w:val="000000" w:themeColor="text1"/>
                <w:highlight w:val="none"/>
                <w:lang w:eastAsia="zh-CN"/>
                <w14:textFill>
                  <w14:solidFill>
                    <w14:schemeClr w14:val="tx1"/>
                  </w14:solidFill>
                </w14:textFill>
              </w:rPr>
              <w:t>HJ169-2018</w:t>
            </w:r>
            <w:r>
              <w:rPr>
                <w:rFonts w:hint="eastAsia"/>
                <w:color w:val="000000" w:themeColor="text1"/>
                <w:highlight w:val="none"/>
                <w:lang w:eastAsia="zh-CN"/>
                <w14:textFill>
                  <w14:solidFill>
                    <w14:schemeClr w14:val="tx1"/>
                  </w14:solidFill>
                </w14:textFill>
              </w:rPr>
              <w:t>）和《环境风险评价实用技术和方法》规定，风险评价首先要确定建设项目所用原辅材料的毒性、易燃易爆性等危险性级别。</w:t>
            </w:r>
          </w:p>
          <w:p w14:paraId="4A06F855">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本项目主要进行肉羊屠宰工作，项目在机器润滑阶段产生</w:t>
            </w:r>
            <w:r>
              <w:rPr>
                <w:rFonts w:hint="eastAsia" w:cs="宋体"/>
                <w:color w:val="000000" w:themeColor="text1"/>
                <w:szCs w:val="21"/>
                <w:highlight w:val="none"/>
                <w14:textFill>
                  <w14:solidFill>
                    <w14:schemeClr w14:val="tx1"/>
                  </w14:solidFill>
                </w14:textFill>
              </w:rPr>
              <w:t>废</w:t>
            </w:r>
            <w:r>
              <w:rPr>
                <w:rFonts w:hint="eastAsia" w:cs="宋体"/>
                <w:color w:val="000000" w:themeColor="text1"/>
                <w:szCs w:val="21"/>
                <w:highlight w:val="none"/>
                <w:lang w:val="en-US" w:eastAsia="zh-CN"/>
                <w14:textFill>
                  <w14:solidFill>
                    <w14:schemeClr w14:val="tx1"/>
                  </w14:solidFill>
                </w14:textFill>
              </w:rPr>
              <w:t>润滑油</w:t>
            </w:r>
            <w:r>
              <w:rPr>
                <w:rFonts w:hint="eastAsia"/>
                <w:color w:val="000000" w:themeColor="text1"/>
                <w:highlight w:val="none"/>
                <w:lang w:eastAsia="zh-CN"/>
                <w14:textFill>
                  <w14:solidFill>
                    <w14:schemeClr w14:val="tx1"/>
                  </w14:solidFill>
                </w14:textFill>
              </w:rPr>
              <w:t>。</w:t>
            </w:r>
          </w:p>
          <w:p w14:paraId="0871B551">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经分析筛选确定本项目涉及的危险化学品理化性质见表</w:t>
            </w:r>
            <w:r>
              <w:rPr>
                <w:color w:val="000000" w:themeColor="text1"/>
                <w:highlight w:val="none"/>
                <w:lang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13。</w:t>
            </w:r>
          </w:p>
          <w:p w14:paraId="0D458F23">
            <w:pPr>
              <w:widowControl/>
              <w:jc w:val="center"/>
              <w:rPr>
                <w:rFonts w:hint="eastAsia"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表</w:t>
            </w:r>
            <w:r>
              <w:rPr>
                <w:rFonts w:cs="宋体"/>
                <w:b/>
                <w:bCs/>
                <w:color w:val="000000" w:themeColor="text1"/>
                <w:kern w:val="0"/>
                <w:szCs w:val="21"/>
                <w:highlight w:val="none"/>
                <w:lang w:bidi="ar"/>
                <w14:textFill>
                  <w14:solidFill>
                    <w14:schemeClr w14:val="tx1"/>
                  </w14:solidFill>
                </w14:textFill>
              </w:rPr>
              <w:t>4-</w:t>
            </w:r>
            <w:r>
              <w:rPr>
                <w:rFonts w:hint="eastAsia" w:cs="宋体"/>
                <w:b/>
                <w:bCs/>
                <w:color w:val="000000" w:themeColor="text1"/>
                <w:kern w:val="0"/>
                <w:szCs w:val="21"/>
                <w:highlight w:val="none"/>
                <w:lang w:bidi="ar"/>
                <w14:textFill>
                  <w14:solidFill>
                    <w14:schemeClr w14:val="tx1"/>
                  </w14:solidFill>
                </w14:textFill>
              </w:rPr>
              <w:t>13风险物质理化性质情况表</w:t>
            </w:r>
          </w:p>
          <w:tbl>
            <w:tblPr>
              <w:tblStyle w:val="20"/>
              <w:tblW w:w="8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3580"/>
              <w:gridCol w:w="156"/>
              <w:gridCol w:w="3371"/>
            </w:tblGrid>
            <w:tr w14:paraId="6BEE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1184" w:type="dxa"/>
                  <w:vMerge w:val="restart"/>
                  <w:noWrap w:val="0"/>
                  <w:vAlign w:val="center"/>
                </w:tcPr>
                <w:p w14:paraId="2EF310F2">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标识</w:t>
                  </w:r>
                </w:p>
              </w:tc>
              <w:tc>
                <w:tcPr>
                  <w:tcW w:w="3580" w:type="dxa"/>
                  <w:noWrap w:val="0"/>
                  <w:vAlign w:val="center"/>
                </w:tcPr>
                <w:p w14:paraId="359E15C7">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中文名：润滑油（机油）</w:t>
                  </w:r>
                </w:p>
              </w:tc>
              <w:tc>
                <w:tcPr>
                  <w:tcW w:w="3527" w:type="dxa"/>
                  <w:gridSpan w:val="2"/>
                  <w:noWrap w:val="0"/>
                  <w:vAlign w:val="center"/>
                </w:tcPr>
                <w:p w14:paraId="5B6F59C0">
                  <w:pPr>
                    <w:pStyle w:val="34"/>
                    <w:spacing w:line="240" w:lineRule="auto"/>
                    <w:ind w:firstLine="0" w:firstLineChars="0"/>
                    <w:jc w:val="center"/>
                    <w:rPr>
                      <w:rFonts w:hint="eastAsia"/>
                      <w:b w:val="0"/>
                      <w:bCs w:val="0"/>
                      <w:color w:val="000000" w:themeColor="text1"/>
                      <w:sz w:val="21"/>
                      <w:szCs w:val="21"/>
                      <w:highlight w:val="none"/>
                      <w:lang w:val="de-DE"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英文名</w:t>
                  </w:r>
                  <w:r>
                    <w:rPr>
                      <w:rFonts w:hint="eastAsia"/>
                      <w:b w:val="0"/>
                      <w:bCs w:val="0"/>
                      <w:color w:val="000000" w:themeColor="text1"/>
                      <w:sz w:val="21"/>
                      <w:szCs w:val="21"/>
                      <w:highlight w:val="none"/>
                      <w:lang w:val="de-DE" w:eastAsia="zh-CN"/>
                      <w14:textFill>
                        <w14:solidFill>
                          <w14:schemeClr w14:val="tx1"/>
                        </w14:solidFill>
                      </w14:textFill>
                    </w:rPr>
                    <w:t>：</w:t>
                  </w:r>
                  <w:r>
                    <w:rPr>
                      <w:rFonts w:hint="eastAsia"/>
                      <w:b w:val="0"/>
                      <w:bCs w:val="0"/>
                      <w:color w:val="000000" w:themeColor="text1"/>
                      <w:sz w:val="21"/>
                      <w:szCs w:val="21"/>
                      <w:highlight w:val="none"/>
                      <w:lang w:val="en-US" w:eastAsia="zh-CN"/>
                      <w14:textFill>
                        <w14:solidFill>
                          <w14:schemeClr w14:val="tx1"/>
                        </w14:solidFill>
                      </w14:textFill>
                    </w:rPr>
                    <w:t>lubricatingoil；Lubeoil</w:t>
                  </w:r>
                </w:p>
              </w:tc>
            </w:tr>
            <w:tr w14:paraId="4FB5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184" w:type="dxa"/>
                  <w:vMerge w:val="continue"/>
                  <w:noWrap w:val="0"/>
                  <w:vAlign w:val="center"/>
                </w:tcPr>
                <w:p w14:paraId="70FCDB61">
                  <w:pPr>
                    <w:pStyle w:val="34"/>
                    <w:spacing w:line="240" w:lineRule="auto"/>
                    <w:ind w:firstLine="0" w:firstLineChars="0"/>
                    <w:jc w:val="center"/>
                    <w:rPr>
                      <w:rFonts w:hint="eastAsia"/>
                      <w:b/>
                      <w:bCs/>
                      <w:color w:val="000000" w:themeColor="text1"/>
                      <w:sz w:val="21"/>
                      <w:szCs w:val="21"/>
                      <w:highlight w:val="none"/>
                      <w:lang w:val="de-DE" w:eastAsia="zh-CN"/>
                      <w14:textFill>
                        <w14:solidFill>
                          <w14:schemeClr w14:val="tx1"/>
                        </w14:solidFill>
                      </w14:textFill>
                    </w:rPr>
                  </w:pPr>
                </w:p>
              </w:tc>
              <w:tc>
                <w:tcPr>
                  <w:tcW w:w="3580" w:type="dxa"/>
                  <w:noWrap w:val="0"/>
                  <w:vAlign w:val="center"/>
                </w:tcPr>
                <w:p w14:paraId="5EDA83D6">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分子式：—</w:t>
                  </w:r>
                </w:p>
              </w:tc>
              <w:tc>
                <w:tcPr>
                  <w:tcW w:w="3527" w:type="dxa"/>
                  <w:gridSpan w:val="2"/>
                  <w:noWrap w:val="0"/>
                  <w:vAlign w:val="center"/>
                </w:tcPr>
                <w:p w14:paraId="5DD2DD26">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CAS号：—</w:t>
                  </w:r>
                </w:p>
              </w:tc>
            </w:tr>
            <w:tr w14:paraId="5542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184" w:type="dxa"/>
                  <w:vMerge w:val="restart"/>
                  <w:noWrap w:val="0"/>
                  <w:vAlign w:val="center"/>
                </w:tcPr>
                <w:p w14:paraId="1190A523">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理化性质</w:t>
                  </w:r>
                </w:p>
              </w:tc>
              <w:tc>
                <w:tcPr>
                  <w:tcW w:w="7107" w:type="dxa"/>
                  <w:gridSpan w:val="3"/>
                  <w:noWrap w:val="0"/>
                  <w:vAlign w:val="center"/>
                </w:tcPr>
                <w:p w14:paraId="44C957EF">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外观及性状：油状液体，淡黄色至褐色，无气味或略带异味。</w:t>
                  </w:r>
                </w:p>
              </w:tc>
            </w:tr>
            <w:tr w14:paraId="30C1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184" w:type="dxa"/>
                  <w:vMerge w:val="continue"/>
                  <w:noWrap w:val="0"/>
                  <w:vAlign w:val="center"/>
                </w:tcPr>
                <w:p w14:paraId="392065C1">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p>
              </w:tc>
              <w:tc>
                <w:tcPr>
                  <w:tcW w:w="3580" w:type="dxa"/>
                  <w:noWrap w:val="0"/>
                  <w:vAlign w:val="center"/>
                </w:tcPr>
                <w:p w14:paraId="261D8E98">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熔点（℃）：—</w:t>
                  </w:r>
                </w:p>
              </w:tc>
              <w:tc>
                <w:tcPr>
                  <w:tcW w:w="3527" w:type="dxa"/>
                  <w:gridSpan w:val="2"/>
                  <w:noWrap w:val="0"/>
                  <w:vAlign w:val="center"/>
                </w:tcPr>
                <w:p w14:paraId="3F46B96A">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闪点（℃）：76</w:t>
                  </w:r>
                </w:p>
              </w:tc>
            </w:tr>
            <w:tr w14:paraId="1695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184" w:type="dxa"/>
                  <w:vMerge w:val="continue"/>
                  <w:noWrap w:val="0"/>
                  <w:vAlign w:val="center"/>
                </w:tcPr>
                <w:p w14:paraId="4613DC5D">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p>
              </w:tc>
              <w:tc>
                <w:tcPr>
                  <w:tcW w:w="7107" w:type="dxa"/>
                  <w:gridSpan w:val="3"/>
                  <w:noWrap w:val="0"/>
                  <w:vAlign w:val="center"/>
                </w:tcPr>
                <w:p w14:paraId="259CCC2A">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溶解性：不溶于水</w:t>
                  </w:r>
                </w:p>
              </w:tc>
            </w:tr>
            <w:tr w14:paraId="015D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184" w:type="dxa"/>
                  <w:vMerge w:val="restart"/>
                  <w:noWrap w:val="0"/>
                  <w:vAlign w:val="center"/>
                </w:tcPr>
                <w:p w14:paraId="1DB38C0B">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燃烧爆炸危险性</w:t>
                  </w:r>
                </w:p>
              </w:tc>
              <w:tc>
                <w:tcPr>
                  <w:tcW w:w="3736" w:type="dxa"/>
                  <w:gridSpan w:val="2"/>
                  <w:noWrap w:val="0"/>
                  <w:vAlign w:val="center"/>
                </w:tcPr>
                <w:p w14:paraId="589EA958">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危险类别：可燃</w:t>
                  </w:r>
                </w:p>
              </w:tc>
              <w:tc>
                <w:tcPr>
                  <w:tcW w:w="3371" w:type="dxa"/>
                  <w:noWrap w:val="0"/>
                  <w:vAlign w:val="center"/>
                </w:tcPr>
                <w:p w14:paraId="37700BF1">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有害燃烧产物：CO、CO2</w:t>
                  </w:r>
                </w:p>
              </w:tc>
            </w:tr>
            <w:tr w14:paraId="260E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184" w:type="dxa"/>
                  <w:vMerge w:val="continue"/>
                  <w:noWrap w:val="0"/>
                  <w:vAlign w:val="center"/>
                </w:tcPr>
                <w:p w14:paraId="6845BE2B">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p>
              </w:tc>
              <w:tc>
                <w:tcPr>
                  <w:tcW w:w="3736" w:type="dxa"/>
                  <w:gridSpan w:val="2"/>
                  <w:noWrap w:val="0"/>
                  <w:vAlign w:val="center"/>
                </w:tcPr>
                <w:p w14:paraId="05482F3E">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爆炸极限（体积分数%）：无资料</w:t>
                  </w:r>
                </w:p>
              </w:tc>
              <w:tc>
                <w:tcPr>
                  <w:tcW w:w="3371" w:type="dxa"/>
                  <w:noWrap w:val="0"/>
                  <w:vAlign w:val="center"/>
                </w:tcPr>
                <w:p w14:paraId="59DABAD6">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稳定性：稳定</w:t>
                  </w:r>
                </w:p>
              </w:tc>
            </w:tr>
            <w:tr w14:paraId="611B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184" w:type="dxa"/>
                  <w:vMerge w:val="continue"/>
                  <w:noWrap w:val="0"/>
                  <w:vAlign w:val="center"/>
                </w:tcPr>
                <w:p w14:paraId="3812CCF3">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p>
              </w:tc>
              <w:tc>
                <w:tcPr>
                  <w:tcW w:w="7107" w:type="dxa"/>
                  <w:gridSpan w:val="3"/>
                  <w:noWrap w:val="0"/>
                  <w:vAlign w:val="center"/>
                </w:tcPr>
                <w:p w14:paraId="4CD9C6F5">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引燃温度（℃）：248</w:t>
                  </w:r>
                </w:p>
              </w:tc>
            </w:tr>
            <w:tr w14:paraId="2616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1184" w:type="dxa"/>
                  <w:vMerge w:val="continue"/>
                  <w:noWrap w:val="0"/>
                  <w:vAlign w:val="center"/>
                </w:tcPr>
                <w:p w14:paraId="201B8EA5">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p>
              </w:tc>
              <w:tc>
                <w:tcPr>
                  <w:tcW w:w="7107" w:type="dxa"/>
                  <w:gridSpan w:val="3"/>
                  <w:noWrap w:val="0"/>
                  <w:vAlign w:val="center"/>
                </w:tcPr>
                <w:p w14:paraId="1FE14EE6">
                  <w:pPr>
                    <w:pStyle w:val="34"/>
                    <w:spacing w:line="240" w:lineRule="auto"/>
                    <w:ind w:firstLine="0" w:firstLineChars="0"/>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危险特性：遇明火、高热可燃。</w:t>
                  </w:r>
                </w:p>
              </w:tc>
            </w:tr>
            <w:tr w14:paraId="13F9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184" w:type="dxa"/>
                  <w:vMerge w:val="continue"/>
                  <w:noWrap w:val="0"/>
                  <w:vAlign w:val="center"/>
                </w:tcPr>
                <w:p w14:paraId="4F8F6F34">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p>
              </w:tc>
              <w:tc>
                <w:tcPr>
                  <w:tcW w:w="7107" w:type="dxa"/>
                  <w:gridSpan w:val="3"/>
                  <w:noWrap w:val="0"/>
                  <w:vAlign w:val="center"/>
                </w:tcPr>
                <w:p w14:paraId="5E55D9B0">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灭火方法：消防人员须戴空气呼吸器、穿全身防火防毒服，在上风向灭火。尽可能将容器从火场移至空旷处。喷水保持火场容器冷却，直至灭火结束。处在火场中的容器若已变色或从安全泄压装置中产生声音，必须马上撤离。</w:t>
                  </w:r>
                </w:p>
                <w:p w14:paraId="21816E77">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灭火剂：泡沫、干粉、二氧化碳、砂土。</w:t>
                  </w:r>
                </w:p>
              </w:tc>
            </w:tr>
            <w:tr w14:paraId="6119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84" w:type="dxa"/>
                  <w:noWrap w:val="0"/>
                  <w:vAlign w:val="center"/>
                </w:tcPr>
                <w:p w14:paraId="19F5D1DD">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急性毒性</w:t>
                  </w:r>
                </w:p>
              </w:tc>
              <w:tc>
                <w:tcPr>
                  <w:tcW w:w="7107" w:type="dxa"/>
                  <w:gridSpan w:val="3"/>
                  <w:noWrap w:val="0"/>
                  <w:vAlign w:val="center"/>
                </w:tcPr>
                <w:p w14:paraId="78C331F4">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最高允许浓度：LD50（mg/kg，大鼠经口）无资料，LC50（mg/kg）无资料。</w:t>
                  </w:r>
                </w:p>
              </w:tc>
            </w:tr>
            <w:tr w14:paraId="13CF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4" w:type="dxa"/>
                  <w:noWrap w:val="0"/>
                  <w:vAlign w:val="center"/>
                </w:tcPr>
                <w:p w14:paraId="479A5B9A">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健康危害</w:t>
                  </w:r>
                </w:p>
              </w:tc>
              <w:tc>
                <w:tcPr>
                  <w:tcW w:w="7107" w:type="dxa"/>
                  <w:gridSpan w:val="3"/>
                  <w:noWrap w:val="0"/>
                  <w:vAlign w:val="center"/>
                </w:tcPr>
                <w:p w14:paraId="2B457000">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 xml:space="preserve">侵入途径：吸入、食入，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 </w:t>
                  </w:r>
                </w:p>
              </w:tc>
            </w:tr>
            <w:tr w14:paraId="1618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184" w:type="dxa"/>
                  <w:noWrap w:val="0"/>
                  <w:vAlign w:val="center"/>
                </w:tcPr>
                <w:p w14:paraId="6747239F">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急救</w:t>
                  </w:r>
                </w:p>
                <w:p w14:paraId="2BC83665">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措施</w:t>
                  </w:r>
                </w:p>
              </w:tc>
              <w:tc>
                <w:tcPr>
                  <w:tcW w:w="7107" w:type="dxa"/>
                  <w:gridSpan w:val="3"/>
                  <w:noWrap w:val="0"/>
                  <w:vAlign w:val="center"/>
                </w:tcPr>
                <w:p w14:paraId="45E71AB3">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皮肤接触：脱去被污染的衣着，用肥皂水和清水彻底冲洗皮肤；</w:t>
                  </w:r>
                </w:p>
                <w:p w14:paraId="5E4A9686">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眼睛接触：提起眼睑，用流动清水或生理盐水冲洗，就医；</w:t>
                  </w:r>
                </w:p>
                <w:p w14:paraId="5C4ED07C">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吸入：迅速脱离现场至空气新鲜处，保持呼吸道通畅，如呼吸困难，给输氧，如呼吸停止，立即进行人工呼吸，就医；</w:t>
                  </w:r>
                </w:p>
                <w:p w14:paraId="6E7CFD23">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食入：饮足量温水，催吐，就医。</w:t>
                  </w:r>
                </w:p>
              </w:tc>
            </w:tr>
            <w:tr w14:paraId="0DA6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184" w:type="dxa"/>
                  <w:noWrap w:val="0"/>
                  <w:vAlign w:val="center"/>
                </w:tcPr>
                <w:p w14:paraId="118A2B40">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防护</w:t>
                  </w:r>
                </w:p>
                <w:p w14:paraId="5A81F247">
                  <w:pPr>
                    <w:pStyle w:val="34"/>
                    <w:spacing w:line="240" w:lineRule="auto"/>
                    <w:ind w:firstLine="0" w:firstLineChars="0"/>
                    <w:jc w:val="center"/>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措施</w:t>
                  </w:r>
                </w:p>
              </w:tc>
              <w:tc>
                <w:tcPr>
                  <w:tcW w:w="7107" w:type="dxa"/>
                  <w:gridSpan w:val="3"/>
                  <w:noWrap w:val="0"/>
                  <w:vAlign w:val="center"/>
                </w:tcPr>
                <w:p w14:paraId="14C71D52">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工程控制：密闭操作，注意通风；</w:t>
                  </w:r>
                </w:p>
                <w:p w14:paraId="4B2D1EDF">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呼吸系统防护：空气中浓度超标时，建议佩戴自吸过滤式防毒面具、半面罩。紧急事态抢救或撤离时，应该佩戴空气呼吸器；</w:t>
                  </w:r>
                </w:p>
                <w:p w14:paraId="2E4C32FE">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 xml:space="preserve">眼睛防护：戴化学安全防护眼镜； </w:t>
                  </w:r>
                </w:p>
                <w:p w14:paraId="6BCEF346">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身体防护：穿防毒物渗透工作服；</w:t>
                  </w:r>
                </w:p>
                <w:p w14:paraId="2384681E">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手防护：戴橡胶耐油手套；</w:t>
                  </w:r>
                </w:p>
                <w:p w14:paraId="2B3E6431">
                  <w:pPr>
                    <w:pStyle w:val="34"/>
                    <w:spacing w:line="240" w:lineRule="auto"/>
                    <w:ind w:firstLine="0" w:firstLineChars="0"/>
                    <w:jc w:val="left"/>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其他：工作现场严禁吸烟。避免长期反复接触。</w:t>
                  </w:r>
                </w:p>
              </w:tc>
            </w:tr>
          </w:tbl>
          <w:p w14:paraId="4384DF9A">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②风险潜势初判及风险评价等级</w:t>
            </w:r>
          </w:p>
          <w:p w14:paraId="5B82F14F">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A.</w:t>
            </w:r>
            <w:r>
              <w:rPr>
                <w:rFonts w:hint="eastAsia"/>
                <w:color w:val="000000" w:themeColor="text1"/>
                <w:highlight w:val="none"/>
                <w:lang w:eastAsia="zh-CN"/>
                <w14:textFill>
                  <w14:solidFill>
                    <w14:schemeClr w14:val="tx1"/>
                  </w14:solidFill>
                </w14:textFill>
              </w:rPr>
              <w:t>风险潜势初判</w:t>
            </w:r>
          </w:p>
          <w:p w14:paraId="49703FC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根据建设项目涉及的物质和工艺系统的危险性及其所在地的环境敏感程度，结合事故情形下环境影响途径．对建设项目潜在环境危害程度进行概化分析，建设项目环境风险潜势划分见表</w:t>
            </w:r>
            <w:r>
              <w:rPr>
                <w:color w:val="000000" w:themeColor="text1"/>
                <w:highlight w:val="none"/>
                <w:lang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14。</w:t>
            </w:r>
          </w:p>
          <w:p w14:paraId="724BE4EC">
            <w:pPr>
              <w:pStyle w:val="30"/>
              <w:rPr>
                <w:rFonts w:hint="default"/>
                <w:highlight w:val="none"/>
              </w:rPr>
            </w:pPr>
            <w:r>
              <w:rPr>
                <w:highlight w:val="none"/>
              </w:rPr>
              <w:t>表4-14建设项目环境风险潜势划分表</w:t>
            </w:r>
          </w:p>
          <w:tbl>
            <w:tblPr>
              <w:tblStyle w:val="20"/>
              <w:tblW w:w="8239" w:type="dxa"/>
              <w:jc w:val="center"/>
              <w:tblLayout w:type="fixed"/>
              <w:tblCellMar>
                <w:top w:w="0" w:type="dxa"/>
                <w:left w:w="108" w:type="dxa"/>
                <w:bottom w:w="0" w:type="dxa"/>
                <w:right w:w="108" w:type="dxa"/>
              </w:tblCellMar>
            </w:tblPr>
            <w:tblGrid>
              <w:gridCol w:w="2221"/>
              <w:gridCol w:w="1504"/>
              <w:gridCol w:w="1504"/>
              <w:gridCol w:w="1504"/>
              <w:gridCol w:w="1506"/>
            </w:tblGrid>
            <w:tr w14:paraId="6AD52F4D">
              <w:tblPrEx>
                <w:tblCellMar>
                  <w:top w:w="0" w:type="dxa"/>
                  <w:left w:w="108" w:type="dxa"/>
                  <w:bottom w:w="0" w:type="dxa"/>
                  <w:right w:w="108" w:type="dxa"/>
                </w:tblCellMar>
              </w:tblPrEx>
              <w:trPr>
                <w:trHeight w:val="340" w:hRule="atLeast"/>
                <w:jc w:val="center"/>
              </w:trPr>
              <w:tc>
                <w:tcPr>
                  <w:tcW w:w="2221" w:type="dxa"/>
                  <w:vMerge w:val="restart"/>
                  <w:tcBorders>
                    <w:top w:val="single" w:color="000000" w:sz="4" w:space="0"/>
                    <w:left w:val="single" w:color="000000" w:sz="4" w:space="0"/>
                    <w:bottom w:val="single" w:color="000000" w:sz="4" w:space="0"/>
                    <w:right w:val="single" w:color="000000" w:sz="4" w:space="0"/>
                  </w:tcBorders>
                  <w:vAlign w:val="center"/>
                </w:tcPr>
                <w:p w14:paraId="649A28F2">
                  <w:pPr>
                    <w:pStyle w:val="28"/>
                    <w:rPr>
                      <w:b/>
                      <w:bCs/>
                      <w:highlight w:val="none"/>
                    </w:rPr>
                  </w:pPr>
                  <w:r>
                    <w:rPr>
                      <w:b/>
                      <w:bCs/>
                      <w:highlight w:val="none"/>
                    </w:rPr>
                    <w:t>环境</w:t>
                  </w:r>
                  <w:r>
                    <w:rPr>
                      <w:rFonts w:hint="eastAsia"/>
                      <w:b/>
                      <w:bCs/>
                      <w:highlight w:val="none"/>
                    </w:rPr>
                    <w:t>敏感</w:t>
                  </w:r>
                  <w:r>
                    <w:rPr>
                      <w:b/>
                      <w:bCs/>
                      <w:highlight w:val="none"/>
                    </w:rPr>
                    <w:t>程度</w:t>
                  </w:r>
                  <w:r>
                    <w:rPr>
                      <w:rFonts w:hint="eastAsia"/>
                      <w:b/>
                      <w:bCs/>
                      <w:highlight w:val="none"/>
                    </w:rPr>
                    <w:t>（</w:t>
                  </w:r>
                  <w:r>
                    <w:rPr>
                      <w:b/>
                      <w:bCs/>
                      <w:highlight w:val="none"/>
                    </w:rPr>
                    <w:t>E</w:t>
                  </w:r>
                  <w:r>
                    <w:rPr>
                      <w:rFonts w:hint="eastAsia"/>
                      <w:b/>
                      <w:bCs/>
                      <w:highlight w:val="none"/>
                    </w:rPr>
                    <w:t>）</w:t>
                  </w:r>
                </w:p>
              </w:tc>
              <w:tc>
                <w:tcPr>
                  <w:tcW w:w="6018" w:type="dxa"/>
                  <w:gridSpan w:val="4"/>
                  <w:tcBorders>
                    <w:top w:val="single" w:color="000000" w:sz="4" w:space="0"/>
                    <w:left w:val="single" w:color="000000" w:sz="4" w:space="0"/>
                    <w:bottom w:val="single" w:color="000000" w:sz="4" w:space="0"/>
                    <w:right w:val="single" w:color="000000" w:sz="4" w:space="0"/>
                  </w:tcBorders>
                  <w:vAlign w:val="center"/>
                </w:tcPr>
                <w:p w14:paraId="0921A575">
                  <w:pPr>
                    <w:pStyle w:val="28"/>
                    <w:rPr>
                      <w:b/>
                      <w:bCs/>
                      <w:highlight w:val="none"/>
                    </w:rPr>
                  </w:pPr>
                  <w:r>
                    <w:rPr>
                      <w:b/>
                      <w:bCs/>
                      <w:highlight w:val="none"/>
                    </w:rPr>
                    <w:t>危险物质及工艺系统危险性</w:t>
                  </w:r>
                  <w:r>
                    <w:rPr>
                      <w:rFonts w:hint="eastAsia"/>
                      <w:b/>
                      <w:bCs/>
                      <w:highlight w:val="none"/>
                    </w:rPr>
                    <w:t>（</w:t>
                  </w:r>
                  <w:r>
                    <w:rPr>
                      <w:b/>
                      <w:bCs/>
                      <w:highlight w:val="none"/>
                    </w:rPr>
                    <w:t>P</w:t>
                  </w:r>
                  <w:r>
                    <w:rPr>
                      <w:rFonts w:hint="eastAsia"/>
                      <w:b/>
                      <w:bCs/>
                      <w:highlight w:val="none"/>
                    </w:rPr>
                    <w:t>）</w:t>
                  </w:r>
                </w:p>
              </w:tc>
            </w:tr>
            <w:tr w14:paraId="1FBB7911">
              <w:tblPrEx>
                <w:tblCellMar>
                  <w:top w:w="0" w:type="dxa"/>
                  <w:left w:w="108" w:type="dxa"/>
                  <w:bottom w:w="0" w:type="dxa"/>
                  <w:right w:w="108" w:type="dxa"/>
                </w:tblCellMar>
              </w:tblPrEx>
              <w:trPr>
                <w:trHeight w:val="340" w:hRule="atLeast"/>
                <w:jc w:val="center"/>
              </w:trPr>
              <w:tc>
                <w:tcPr>
                  <w:tcW w:w="2221" w:type="dxa"/>
                  <w:vMerge w:val="continue"/>
                  <w:tcBorders>
                    <w:top w:val="single" w:color="000000" w:sz="4" w:space="0"/>
                    <w:left w:val="single" w:color="000000" w:sz="4" w:space="0"/>
                    <w:bottom w:val="single" w:color="000000" w:sz="4" w:space="0"/>
                    <w:right w:val="single" w:color="000000" w:sz="4" w:space="0"/>
                  </w:tcBorders>
                  <w:vAlign w:val="center"/>
                </w:tcPr>
                <w:p w14:paraId="0F8486DA">
                  <w:pPr>
                    <w:pStyle w:val="28"/>
                    <w:rPr>
                      <w:b/>
                      <w:bCs/>
                      <w:highlight w:val="none"/>
                    </w:rPr>
                  </w:pPr>
                </w:p>
              </w:tc>
              <w:tc>
                <w:tcPr>
                  <w:tcW w:w="1504" w:type="dxa"/>
                  <w:tcBorders>
                    <w:top w:val="single" w:color="000000" w:sz="4" w:space="0"/>
                    <w:left w:val="single" w:color="000000" w:sz="4" w:space="0"/>
                    <w:bottom w:val="single" w:color="000000" w:sz="4" w:space="0"/>
                    <w:right w:val="single" w:color="000000" w:sz="4" w:space="0"/>
                  </w:tcBorders>
                  <w:vAlign w:val="center"/>
                </w:tcPr>
                <w:p w14:paraId="6A35FFA2">
                  <w:pPr>
                    <w:pStyle w:val="28"/>
                    <w:rPr>
                      <w:b/>
                      <w:bCs/>
                      <w:highlight w:val="none"/>
                    </w:rPr>
                  </w:pPr>
                  <w:r>
                    <w:rPr>
                      <w:b/>
                      <w:bCs/>
                      <w:highlight w:val="none"/>
                    </w:rPr>
                    <w:t>极高危害</w:t>
                  </w:r>
                  <w:r>
                    <w:rPr>
                      <w:rFonts w:hint="eastAsia"/>
                      <w:b/>
                      <w:bCs/>
                      <w:highlight w:val="none"/>
                    </w:rPr>
                    <w:t>（</w:t>
                  </w:r>
                  <w:r>
                    <w:rPr>
                      <w:b/>
                      <w:bCs/>
                      <w:highlight w:val="none"/>
                    </w:rPr>
                    <w:t>P1</w:t>
                  </w:r>
                  <w:r>
                    <w:rPr>
                      <w:rFonts w:hint="eastAsia"/>
                      <w:b/>
                      <w:bCs/>
                      <w:highlight w:val="none"/>
                    </w:rPr>
                    <w:t>）</w:t>
                  </w:r>
                </w:p>
              </w:tc>
              <w:tc>
                <w:tcPr>
                  <w:tcW w:w="1504" w:type="dxa"/>
                  <w:tcBorders>
                    <w:top w:val="single" w:color="000000" w:sz="4" w:space="0"/>
                    <w:left w:val="single" w:color="000000" w:sz="4" w:space="0"/>
                    <w:bottom w:val="single" w:color="000000" w:sz="4" w:space="0"/>
                    <w:right w:val="single" w:color="000000" w:sz="4" w:space="0"/>
                  </w:tcBorders>
                  <w:vAlign w:val="center"/>
                </w:tcPr>
                <w:p w14:paraId="349CCAA9">
                  <w:pPr>
                    <w:pStyle w:val="28"/>
                    <w:rPr>
                      <w:b/>
                      <w:bCs/>
                      <w:highlight w:val="none"/>
                    </w:rPr>
                  </w:pPr>
                  <w:r>
                    <w:rPr>
                      <w:b/>
                      <w:bCs/>
                      <w:highlight w:val="none"/>
                    </w:rPr>
                    <w:t>极高危害</w:t>
                  </w:r>
                  <w:r>
                    <w:rPr>
                      <w:rFonts w:hint="eastAsia"/>
                      <w:b/>
                      <w:bCs/>
                      <w:highlight w:val="none"/>
                    </w:rPr>
                    <w:t>（</w:t>
                  </w:r>
                  <w:r>
                    <w:rPr>
                      <w:b/>
                      <w:bCs/>
                      <w:highlight w:val="none"/>
                    </w:rPr>
                    <w:t>P2</w:t>
                  </w:r>
                  <w:r>
                    <w:rPr>
                      <w:rFonts w:hint="eastAsia"/>
                      <w:b/>
                      <w:bCs/>
                      <w:highlight w:val="none"/>
                    </w:rPr>
                    <w:t>）</w:t>
                  </w:r>
                </w:p>
              </w:tc>
              <w:tc>
                <w:tcPr>
                  <w:tcW w:w="1504" w:type="dxa"/>
                  <w:tcBorders>
                    <w:top w:val="single" w:color="000000" w:sz="4" w:space="0"/>
                    <w:left w:val="single" w:color="000000" w:sz="4" w:space="0"/>
                    <w:bottom w:val="single" w:color="000000" w:sz="4" w:space="0"/>
                    <w:right w:val="single" w:color="000000" w:sz="4" w:space="0"/>
                  </w:tcBorders>
                  <w:vAlign w:val="center"/>
                </w:tcPr>
                <w:p w14:paraId="7E1782F1">
                  <w:pPr>
                    <w:pStyle w:val="28"/>
                    <w:rPr>
                      <w:b/>
                      <w:bCs/>
                      <w:highlight w:val="none"/>
                    </w:rPr>
                  </w:pPr>
                  <w:r>
                    <w:rPr>
                      <w:b/>
                      <w:bCs/>
                      <w:highlight w:val="none"/>
                    </w:rPr>
                    <w:t>极高危害</w:t>
                  </w:r>
                  <w:r>
                    <w:rPr>
                      <w:rFonts w:hint="eastAsia"/>
                      <w:b/>
                      <w:bCs/>
                      <w:highlight w:val="none"/>
                    </w:rPr>
                    <w:t>（</w:t>
                  </w:r>
                  <w:r>
                    <w:rPr>
                      <w:b/>
                      <w:bCs/>
                      <w:highlight w:val="none"/>
                    </w:rPr>
                    <w:t>P3</w:t>
                  </w:r>
                  <w:r>
                    <w:rPr>
                      <w:rFonts w:hint="eastAsia"/>
                      <w:b/>
                      <w:bCs/>
                      <w:highlight w:val="none"/>
                    </w:rPr>
                    <w:t>）</w:t>
                  </w:r>
                </w:p>
              </w:tc>
              <w:tc>
                <w:tcPr>
                  <w:tcW w:w="1506" w:type="dxa"/>
                  <w:tcBorders>
                    <w:top w:val="single" w:color="000000" w:sz="4" w:space="0"/>
                    <w:left w:val="single" w:color="000000" w:sz="4" w:space="0"/>
                    <w:bottom w:val="single" w:color="000000" w:sz="4" w:space="0"/>
                    <w:right w:val="single" w:color="000000" w:sz="4" w:space="0"/>
                  </w:tcBorders>
                  <w:vAlign w:val="center"/>
                </w:tcPr>
                <w:p w14:paraId="670757AD">
                  <w:pPr>
                    <w:pStyle w:val="28"/>
                    <w:rPr>
                      <w:b/>
                      <w:bCs/>
                      <w:highlight w:val="none"/>
                    </w:rPr>
                  </w:pPr>
                  <w:r>
                    <w:rPr>
                      <w:b/>
                      <w:bCs/>
                      <w:highlight w:val="none"/>
                    </w:rPr>
                    <w:t>极高危害</w:t>
                  </w:r>
                  <w:r>
                    <w:rPr>
                      <w:rFonts w:hint="eastAsia"/>
                      <w:b/>
                      <w:bCs/>
                      <w:highlight w:val="none"/>
                    </w:rPr>
                    <w:t>（</w:t>
                  </w:r>
                  <w:r>
                    <w:rPr>
                      <w:b/>
                      <w:bCs/>
                      <w:highlight w:val="none"/>
                    </w:rPr>
                    <w:t>P4</w:t>
                  </w:r>
                  <w:r>
                    <w:rPr>
                      <w:rFonts w:hint="eastAsia"/>
                      <w:b/>
                      <w:bCs/>
                      <w:highlight w:val="none"/>
                    </w:rPr>
                    <w:t>）</w:t>
                  </w:r>
                </w:p>
              </w:tc>
            </w:tr>
            <w:tr w14:paraId="098512D5">
              <w:tblPrEx>
                <w:tblCellMar>
                  <w:top w:w="0" w:type="dxa"/>
                  <w:left w:w="108" w:type="dxa"/>
                  <w:bottom w:w="0" w:type="dxa"/>
                  <w:right w:w="108" w:type="dxa"/>
                </w:tblCellMar>
              </w:tblPrEx>
              <w:trPr>
                <w:trHeight w:val="340"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76204642">
                  <w:pPr>
                    <w:pStyle w:val="28"/>
                    <w:rPr>
                      <w:highlight w:val="none"/>
                    </w:rPr>
                  </w:pPr>
                  <w:r>
                    <w:rPr>
                      <w:highlight w:val="none"/>
                    </w:rPr>
                    <w:t>环境</w:t>
                  </w:r>
                  <w:r>
                    <w:rPr>
                      <w:rFonts w:hint="eastAsia"/>
                      <w:highlight w:val="none"/>
                    </w:rPr>
                    <w:t>敏感</w:t>
                  </w:r>
                  <w:r>
                    <w:rPr>
                      <w:highlight w:val="none"/>
                    </w:rPr>
                    <w:t>程度</w:t>
                  </w:r>
                  <w:r>
                    <w:rPr>
                      <w:rFonts w:hint="eastAsia"/>
                      <w:highlight w:val="none"/>
                    </w:rPr>
                    <w:t>（</w:t>
                  </w:r>
                  <w:r>
                    <w:rPr>
                      <w:highlight w:val="none"/>
                    </w:rPr>
                    <w:t>E1</w:t>
                  </w:r>
                  <w:r>
                    <w:rPr>
                      <w:rFonts w:hint="eastAsia"/>
                      <w:highlight w:val="none"/>
                    </w:rPr>
                    <w:t>）</w:t>
                  </w:r>
                </w:p>
              </w:tc>
              <w:tc>
                <w:tcPr>
                  <w:tcW w:w="1504" w:type="dxa"/>
                  <w:tcBorders>
                    <w:top w:val="single" w:color="000000" w:sz="4" w:space="0"/>
                    <w:left w:val="single" w:color="000000" w:sz="4" w:space="0"/>
                    <w:bottom w:val="single" w:color="000000" w:sz="4" w:space="0"/>
                    <w:right w:val="single" w:color="000000" w:sz="4" w:space="0"/>
                  </w:tcBorders>
                  <w:vAlign w:val="center"/>
                </w:tcPr>
                <w:p w14:paraId="4F343DF3">
                  <w:pPr>
                    <w:pStyle w:val="28"/>
                    <w:rPr>
                      <w:highlight w:val="none"/>
                    </w:rPr>
                  </w:pPr>
                  <w:r>
                    <w:rPr>
                      <w:highlight w:val="none"/>
                    </w:rPr>
                    <w:t>IV+</w:t>
                  </w:r>
                </w:p>
              </w:tc>
              <w:tc>
                <w:tcPr>
                  <w:tcW w:w="1504" w:type="dxa"/>
                  <w:tcBorders>
                    <w:top w:val="single" w:color="000000" w:sz="4" w:space="0"/>
                    <w:left w:val="single" w:color="000000" w:sz="4" w:space="0"/>
                    <w:bottom w:val="single" w:color="000000" w:sz="4" w:space="0"/>
                    <w:right w:val="single" w:color="000000" w:sz="4" w:space="0"/>
                  </w:tcBorders>
                  <w:vAlign w:val="center"/>
                </w:tcPr>
                <w:p w14:paraId="22396361">
                  <w:pPr>
                    <w:pStyle w:val="28"/>
                    <w:rPr>
                      <w:highlight w:val="none"/>
                    </w:rPr>
                  </w:pPr>
                  <w:r>
                    <w:rPr>
                      <w:highlight w:val="none"/>
                    </w:rPr>
                    <w:t>IV</w:t>
                  </w:r>
                </w:p>
              </w:tc>
              <w:tc>
                <w:tcPr>
                  <w:tcW w:w="1504" w:type="dxa"/>
                  <w:tcBorders>
                    <w:top w:val="single" w:color="000000" w:sz="4" w:space="0"/>
                    <w:left w:val="single" w:color="000000" w:sz="4" w:space="0"/>
                    <w:bottom w:val="single" w:color="000000" w:sz="4" w:space="0"/>
                    <w:right w:val="single" w:color="000000" w:sz="4" w:space="0"/>
                  </w:tcBorders>
                  <w:vAlign w:val="center"/>
                </w:tcPr>
                <w:p w14:paraId="0EA63A63">
                  <w:pPr>
                    <w:pStyle w:val="28"/>
                    <w:rPr>
                      <w:highlight w:val="none"/>
                    </w:rPr>
                  </w:pPr>
                  <w:r>
                    <w:rPr>
                      <w:highlight w:val="none"/>
                    </w:rPr>
                    <w:t>Ⅲ</w:t>
                  </w:r>
                </w:p>
              </w:tc>
              <w:tc>
                <w:tcPr>
                  <w:tcW w:w="1506" w:type="dxa"/>
                  <w:tcBorders>
                    <w:top w:val="single" w:color="000000" w:sz="4" w:space="0"/>
                    <w:left w:val="single" w:color="000000" w:sz="4" w:space="0"/>
                    <w:bottom w:val="single" w:color="000000" w:sz="4" w:space="0"/>
                    <w:right w:val="single" w:color="000000" w:sz="4" w:space="0"/>
                  </w:tcBorders>
                  <w:vAlign w:val="center"/>
                </w:tcPr>
                <w:p w14:paraId="1A1A99A5">
                  <w:pPr>
                    <w:pStyle w:val="28"/>
                    <w:rPr>
                      <w:highlight w:val="none"/>
                    </w:rPr>
                  </w:pPr>
                  <w:r>
                    <w:rPr>
                      <w:highlight w:val="none"/>
                    </w:rPr>
                    <w:t>Ⅲ</w:t>
                  </w:r>
                </w:p>
              </w:tc>
            </w:tr>
            <w:tr w14:paraId="7C1E9684">
              <w:tblPrEx>
                <w:tblCellMar>
                  <w:top w:w="0" w:type="dxa"/>
                  <w:left w:w="108" w:type="dxa"/>
                  <w:bottom w:w="0" w:type="dxa"/>
                  <w:right w:w="108" w:type="dxa"/>
                </w:tblCellMar>
              </w:tblPrEx>
              <w:trPr>
                <w:trHeight w:val="340"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51301838">
                  <w:pPr>
                    <w:pStyle w:val="28"/>
                    <w:rPr>
                      <w:highlight w:val="none"/>
                    </w:rPr>
                  </w:pPr>
                  <w:r>
                    <w:rPr>
                      <w:highlight w:val="none"/>
                    </w:rPr>
                    <w:t>环境</w:t>
                  </w:r>
                  <w:r>
                    <w:rPr>
                      <w:rFonts w:hint="eastAsia"/>
                      <w:highlight w:val="none"/>
                    </w:rPr>
                    <w:t>敏感</w:t>
                  </w:r>
                  <w:r>
                    <w:rPr>
                      <w:highlight w:val="none"/>
                    </w:rPr>
                    <w:t>程度</w:t>
                  </w:r>
                  <w:r>
                    <w:rPr>
                      <w:rFonts w:hint="eastAsia"/>
                      <w:highlight w:val="none"/>
                    </w:rPr>
                    <w:t>（</w:t>
                  </w:r>
                  <w:r>
                    <w:rPr>
                      <w:highlight w:val="none"/>
                    </w:rPr>
                    <w:t>E2</w:t>
                  </w:r>
                  <w:r>
                    <w:rPr>
                      <w:rFonts w:hint="eastAsia"/>
                      <w:highlight w:val="none"/>
                    </w:rPr>
                    <w:t>）</w:t>
                  </w:r>
                </w:p>
              </w:tc>
              <w:tc>
                <w:tcPr>
                  <w:tcW w:w="1504" w:type="dxa"/>
                  <w:tcBorders>
                    <w:top w:val="single" w:color="000000" w:sz="4" w:space="0"/>
                    <w:left w:val="single" w:color="000000" w:sz="4" w:space="0"/>
                    <w:bottom w:val="single" w:color="000000" w:sz="4" w:space="0"/>
                    <w:right w:val="single" w:color="000000" w:sz="4" w:space="0"/>
                  </w:tcBorders>
                  <w:vAlign w:val="center"/>
                </w:tcPr>
                <w:p w14:paraId="3D1E07F1">
                  <w:pPr>
                    <w:pStyle w:val="28"/>
                    <w:rPr>
                      <w:highlight w:val="none"/>
                    </w:rPr>
                  </w:pPr>
                  <w:r>
                    <w:rPr>
                      <w:highlight w:val="none"/>
                    </w:rPr>
                    <w:t>IV</w:t>
                  </w:r>
                </w:p>
              </w:tc>
              <w:tc>
                <w:tcPr>
                  <w:tcW w:w="1504" w:type="dxa"/>
                  <w:tcBorders>
                    <w:top w:val="single" w:color="000000" w:sz="4" w:space="0"/>
                    <w:left w:val="single" w:color="000000" w:sz="4" w:space="0"/>
                    <w:bottom w:val="single" w:color="000000" w:sz="4" w:space="0"/>
                    <w:right w:val="single" w:color="000000" w:sz="4" w:space="0"/>
                  </w:tcBorders>
                  <w:vAlign w:val="center"/>
                </w:tcPr>
                <w:p w14:paraId="44237C19">
                  <w:pPr>
                    <w:pStyle w:val="28"/>
                    <w:rPr>
                      <w:highlight w:val="none"/>
                    </w:rPr>
                  </w:pPr>
                  <w:r>
                    <w:rPr>
                      <w:highlight w:val="none"/>
                    </w:rPr>
                    <w:t>Ⅲ</w:t>
                  </w:r>
                </w:p>
              </w:tc>
              <w:tc>
                <w:tcPr>
                  <w:tcW w:w="1504" w:type="dxa"/>
                  <w:tcBorders>
                    <w:top w:val="single" w:color="000000" w:sz="4" w:space="0"/>
                    <w:left w:val="single" w:color="000000" w:sz="4" w:space="0"/>
                    <w:bottom w:val="single" w:color="000000" w:sz="4" w:space="0"/>
                    <w:right w:val="single" w:color="000000" w:sz="4" w:space="0"/>
                  </w:tcBorders>
                  <w:vAlign w:val="center"/>
                </w:tcPr>
                <w:p w14:paraId="205C92DE">
                  <w:pPr>
                    <w:pStyle w:val="28"/>
                    <w:rPr>
                      <w:highlight w:val="none"/>
                    </w:rPr>
                  </w:pPr>
                  <w:r>
                    <w:rPr>
                      <w:highlight w:val="none"/>
                    </w:rPr>
                    <w:t>Ⅲ</w:t>
                  </w:r>
                </w:p>
              </w:tc>
              <w:tc>
                <w:tcPr>
                  <w:tcW w:w="1506" w:type="dxa"/>
                  <w:tcBorders>
                    <w:top w:val="single" w:color="000000" w:sz="4" w:space="0"/>
                    <w:left w:val="single" w:color="000000" w:sz="4" w:space="0"/>
                    <w:bottom w:val="single" w:color="000000" w:sz="4" w:space="0"/>
                    <w:right w:val="single" w:color="000000" w:sz="4" w:space="0"/>
                  </w:tcBorders>
                  <w:vAlign w:val="center"/>
                </w:tcPr>
                <w:p w14:paraId="1A7B0294">
                  <w:pPr>
                    <w:pStyle w:val="28"/>
                    <w:rPr>
                      <w:highlight w:val="none"/>
                    </w:rPr>
                  </w:pPr>
                  <w:r>
                    <w:rPr>
                      <w:highlight w:val="none"/>
                    </w:rPr>
                    <w:t>Ⅲ</w:t>
                  </w:r>
                </w:p>
              </w:tc>
            </w:tr>
            <w:tr w14:paraId="74AE1EF0">
              <w:tblPrEx>
                <w:tblCellMar>
                  <w:top w:w="0" w:type="dxa"/>
                  <w:left w:w="108" w:type="dxa"/>
                  <w:bottom w:w="0" w:type="dxa"/>
                  <w:right w:w="108" w:type="dxa"/>
                </w:tblCellMar>
              </w:tblPrEx>
              <w:trPr>
                <w:trHeight w:val="340"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3C815358">
                  <w:pPr>
                    <w:pStyle w:val="28"/>
                    <w:rPr>
                      <w:highlight w:val="none"/>
                    </w:rPr>
                  </w:pPr>
                  <w:r>
                    <w:rPr>
                      <w:highlight w:val="none"/>
                    </w:rPr>
                    <w:t>环境</w:t>
                  </w:r>
                  <w:r>
                    <w:rPr>
                      <w:rFonts w:hint="eastAsia"/>
                      <w:highlight w:val="none"/>
                    </w:rPr>
                    <w:t>敏感</w:t>
                  </w:r>
                  <w:r>
                    <w:rPr>
                      <w:highlight w:val="none"/>
                    </w:rPr>
                    <w:t>程度</w:t>
                  </w:r>
                  <w:r>
                    <w:rPr>
                      <w:rFonts w:hint="eastAsia"/>
                      <w:highlight w:val="none"/>
                    </w:rPr>
                    <w:t>（</w:t>
                  </w:r>
                  <w:r>
                    <w:rPr>
                      <w:highlight w:val="none"/>
                    </w:rPr>
                    <w:t>E3</w:t>
                  </w:r>
                  <w:r>
                    <w:rPr>
                      <w:rFonts w:hint="eastAsia"/>
                      <w:highlight w:val="none"/>
                    </w:rPr>
                    <w:t>）</w:t>
                  </w:r>
                </w:p>
              </w:tc>
              <w:tc>
                <w:tcPr>
                  <w:tcW w:w="1504" w:type="dxa"/>
                  <w:tcBorders>
                    <w:top w:val="single" w:color="000000" w:sz="4" w:space="0"/>
                    <w:left w:val="single" w:color="000000" w:sz="4" w:space="0"/>
                    <w:bottom w:val="single" w:color="000000" w:sz="4" w:space="0"/>
                    <w:right w:val="single" w:color="000000" w:sz="4" w:space="0"/>
                  </w:tcBorders>
                  <w:vAlign w:val="center"/>
                </w:tcPr>
                <w:p w14:paraId="48672784">
                  <w:pPr>
                    <w:pStyle w:val="28"/>
                    <w:rPr>
                      <w:highlight w:val="none"/>
                    </w:rPr>
                  </w:pPr>
                  <w:r>
                    <w:rPr>
                      <w:highlight w:val="none"/>
                    </w:rPr>
                    <w:t>Ⅲ</w:t>
                  </w:r>
                </w:p>
              </w:tc>
              <w:tc>
                <w:tcPr>
                  <w:tcW w:w="1504" w:type="dxa"/>
                  <w:tcBorders>
                    <w:top w:val="single" w:color="000000" w:sz="4" w:space="0"/>
                    <w:left w:val="single" w:color="000000" w:sz="4" w:space="0"/>
                    <w:bottom w:val="single" w:color="000000" w:sz="4" w:space="0"/>
                    <w:right w:val="single" w:color="000000" w:sz="4" w:space="0"/>
                  </w:tcBorders>
                  <w:vAlign w:val="center"/>
                </w:tcPr>
                <w:p w14:paraId="3863D6E9">
                  <w:pPr>
                    <w:pStyle w:val="28"/>
                    <w:rPr>
                      <w:highlight w:val="none"/>
                    </w:rPr>
                  </w:pPr>
                  <w:r>
                    <w:rPr>
                      <w:highlight w:val="none"/>
                    </w:rPr>
                    <w:t>Ⅲ</w:t>
                  </w:r>
                </w:p>
              </w:tc>
              <w:tc>
                <w:tcPr>
                  <w:tcW w:w="1504" w:type="dxa"/>
                  <w:tcBorders>
                    <w:top w:val="single" w:color="000000" w:sz="4" w:space="0"/>
                    <w:left w:val="single" w:color="000000" w:sz="4" w:space="0"/>
                    <w:bottom w:val="single" w:color="000000" w:sz="4" w:space="0"/>
                    <w:right w:val="single" w:color="000000" w:sz="4" w:space="0"/>
                  </w:tcBorders>
                  <w:vAlign w:val="center"/>
                </w:tcPr>
                <w:p w14:paraId="693867F5">
                  <w:pPr>
                    <w:pStyle w:val="28"/>
                    <w:rPr>
                      <w:highlight w:val="none"/>
                    </w:rPr>
                  </w:pPr>
                  <w:r>
                    <w:rPr>
                      <w:highlight w:val="none"/>
                    </w:rPr>
                    <w:t>II</w:t>
                  </w:r>
                </w:p>
              </w:tc>
              <w:tc>
                <w:tcPr>
                  <w:tcW w:w="1506" w:type="dxa"/>
                  <w:tcBorders>
                    <w:top w:val="single" w:color="000000" w:sz="4" w:space="0"/>
                    <w:left w:val="single" w:color="000000" w:sz="4" w:space="0"/>
                    <w:bottom w:val="single" w:color="000000" w:sz="4" w:space="0"/>
                    <w:right w:val="single" w:color="000000" w:sz="4" w:space="0"/>
                  </w:tcBorders>
                  <w:vAlign w:val="center"/>
                </w:tcPr>
                <w:p w14:paraId="33F90E80">
                  <w:pPr>
                    <w:pStyle w:val="28"/>
                    <w:rPr>
                      <w:highlight w:val="none"/>
                    </w:rPr>
                  </w:pPr>
                  <w:r>
                    <w:rPr>
                      <w:highlight w:val="none"/>
                    </w:rPr>
                    <w:t>I</w:t>
                  </w:r>
                </w:p>
              </w:tc>
            </w:tr>
            <w:tr w14:paraId="470CE975">
              <w:tblPrEx>
                <w:tblCellMar>
                  <w:top w:w="0" w:type="dxa"/>
                  <w:left w:w="108" w:type="dxa"/>
                  <w:bottom w:w="0" w:type="dxa"/>
                  <w:right w:w="108" w:type="dxa"/>
                </w:tblCellMar>
              </w:tblPrEx>
              <w:trPr>
                <w:trHeight w:val="340" w:hRule="atLeast"/>
                <w:jc w:val="center"/>
              </w:trPr>
              <w:tc>
                <w:tcPr>
                  <w:tcW w:w="8239" w:type="dxa"/>
                  <w:gridSpan w:val="5"/>
                  <w:tcBorders>
                    <w:top w:val="single" w:color="000000" w:sz="4" w:space="0"/>
                    <w:left w:val="single" w:color="000000" w:sz="4" w:space="0"/>
                    <w:bottom w:val="single" w:color="000000" w:sz="4" w:space="0"/>
                    <w:right w:val="single" w:color="000000" w:sz="4" w:space="0"/>
                  </w:tcBorders>
                  <w:vAlign w:val="center"/>
                </w:tcPr>
                <w:p w14:paraId="56E5C03E">
                  <w:pPr>
                    <w:pStyle w:val="28"/>
                    <w:rPr>
                      <w:highlight w:val="none"/>
                    </w:rPr>
                  </w:pPr>
                  <w:r>
                    <w:rPr>
                      <w:highlight w:val="none"/>
                    </w:rPr>
                    <w:t>注：IV+为极高环境风险</w:t>
                  </w:r>
                </w:p>
              </w:tc>
            </w:tr>
          </w:tbl>
          <w:p w14:paraId="55650CA9">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B.P</w:t>
            </w:r>
            <w:r>
              <w:rPr>
                <w:rFonts w:hint="eastAsia"/>
                <w:color w:val="000000" w:themeColor="text1"/>
                <w:highlight w:val="none"/>
                <w:lang w:eastAsia="zh-CN"/>
                <w14:textFill>
                  <w14:solidFill>
                    <w14:schemeClr w14:val="tx1"/>
                  </w14:solidFill>
                </w14:textFill>
              </w:rPr>
              <w:t>的分级确定</w:t>
            </w:r>
          </w:p>
          <w:p w14:paraId="20A3A37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根据《建设项目环境风险评价技术导则》（</w:t>
            </w:r>
            <w:r>
              <w:rPr>
                <w:color w:val="000000" w:themeColor="text1"/>
                <w:highlight w:val="none"/>
                <w:lang w:eastAsia="zh-CN"/>
                <w14:textFill>
                  <w14:solidFill>
                    <w14:schemeClr w14:val="tx1"/>
                  </w14:solidFill>
                </w14:textFill>
              </w:rPr>
              <w:t>HJ169-2018</w:t>
            </w:r>
            <w:r>
              <w:rPr>
                <w:rFonts w:hint="eastAsia"/>
                <w:color w:val="000000" w:themeColor="text1"/>
                <w:highlight w:val="none"/>
                <w:lang w:eastAsia="zh-CN"/>
                <w14:textFill>
                  <w14:solidFill>
                    <w14:schemeClr w14:val="tx1"/>
                  </w14:solidFill>
                </w14:textFill>
              </w:rPr>
              <w:t>）中危险物质及工艺系统危险性</w:t>
            </w:r>
            <w:r>
              <w:rPr>
                <w:color w:val="000000" w:themeColor="text1"/>
                <w:highlight w:val="none"/>
                <w:lang w:eastAsia="zh-CN"/>
                <w14:textFill>
                  <w14:solidFill>
                    <w14:schemeClr w14:val="tx1"/>
                  </w14:solidFill>
                </w14:textFill>
              </w:rPr>
              <w:t>P</w:t>
            </w:r>
            <w:r>
              <w:rPr>
                <w:rFonts w:hint="eastAsia"/>
                <w:color w:val="000000" w:themeColor="text1"/>
                <w:highlight w:val="none"/>
                <w:lang w:eastAsia="zh-CN"/>
                <w14:textFill>
                  <w14:solidFill>
                    <w14:schemeClr w14:val="tx1"/>
                  </w14:solidFill>
                </w14:textFill>
              </w:rPr>
              <w:t>分级，计算所涉及的每种危险物质在厂界内的最大存在总量与其在《建设项目环境风险评价技术导则》（</w:t>
            </w:r>
            <w:r>
              <w:rPr>
                <w:color w:val="000000" w:themeColor="text1"/>
                <w:highlight w:val="none"/>
                <w:lang w:eastAsia="zh-CN"/>
                <w14:textFill>
                  <w14:solidFill>
                    <w14:schemeClr w14:val="tx1"/>
                  </w14:solidFill>
                </w14:textFill>
              </w:rPr>
              <w:t>HJ169-2018</w:t>
            </w:r>
            <w:r>
              <w:rPr>
                <w:rFonts w:hint="eastAsia"/>
                <w:color w:val="000000" w:themeColor="text1"/>
                <w:highlight w:val="none"/>
                <w:lang w:eastAsia="zh-CN"/>
                <w14:textFill>
                  <w14:solidFill>
                    <w14:schemeClr w14:val="tx1"/>
                  </w14:solidFill>
                </w14:textFill>
              </w:rPr>
              <w:t>）附录</w:t>
            </w:r>
            <w:r>
              <w:rPr>
                <w:color w:val="000000" w:themeColor="text1"/>
                <w:highlight w:val="none"/>
                <w:lang w:eastAsia="zh-CN"/>
                <w14:textFill>
                  <w14:solidFill>
                    <w14:schemeClr w14:val="tx1"/>
                  </w14:solidFill>
                </w14:textFill>
              </w:rPr>
              <w:t>B</w:t>
            </w:r>
            <w:r>
              <w:rPr>
                <w:rFonts w:hint="eastAsia"/>
                <w:color w:val="000000" w:themeColor="text1"/>
                <w:highlight w:val="none"/>
                <w:lang w:eastAsia="zh-CN"/>
                <w14:textFill>
                  <w14:solidFill>
                    <w14:schemeClr w14:val="tx1"/>
                  </w14:solidFill>
                </w14:textFill>
              </w:rPr>
              <w:t>中对应临界量的比值</w:t>
            </w:r>
            <w:r>
              <w:rPr>
                <w:color w:val="000000" w:themeColor="text1"/>
                <w:highlight w:val="none"/>
                <w:lang w:eastAsia="zh-CN"/>
                <w14:textFill>
                  <w14:solidFill>
                    <w14:schemeClr w14:val="tx1"/>
                  </w14:solidFill>
                </w14:textFill>
              </w:rPr>
              <w:t>Q</w:t>
            </w:r>
            <w:r>
              <w:rPr>
                <w:rFonts w:hint="eastAsia"/>
                <w:color w:val="000000" w:themeColor="text1"/>
                <w:highlight w:val="none"/>
                <w:lang w:eastAsia="zh-CN"/>
                <w14:textFill>
                  <w14:solidFill>
                    <w14:schemeClr w14:val="tx1"/>
                  </w14:solidFill>
                </w14:textFill>
              </w:rPr>
              <w:t>。</w:t>
            </w:r>
          </w:p>
          <w:p w14:paraId="40C2A734">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当只涉及一种危险物质时，计算该物质的总量与其临界量比值，即为</w:t>
            </w:r>
            <w:r>
              <w:rPr>
                <w:color w:val="000000" w:themeColor="text1"/>
                <w:highlight w:val="none"/>
                <w:lang w:eastAsia="zh-CN"/>
                <w14:textFill>
                  <w14:solidFill>
                    <w14:schemeClr w14:val="tx1"/>
                  </w14:solidFill>
                </w14:textFill>
              </w:rPr>
              <w:t>Q</w:t>
            </w:r>
            <w:r>
              <w:rPr>
                <w:rFonts w:hint="eastAsia"/>
                <w:color w:val="000000" w:themeColor="text1"/>
                <w:highlight w:val="none"/>
                <w:lang w:eastAsia="zh-CN"/>
                <w14:textFill>
                  <w14:solidFill>
                    <w14:schemeClr w14:val="tx1"/>
                  </w14:solidFill>
                </w14:textFill>
              </w:rPr>
              <w:t>；</w:t>
            </w:r>
          </w:p>
          <w:p w14:paraId="06955EB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当存在多种危险物质时，则按下式计算物质总量与其临界量比值（</w:t>
            </w:r>
            <w:r>
              <w:rPr>
                <w:color w:val="000000" w:themeColor="text1"/>
                <w:highlight w:val="none"/>
                <w:lang w:eastAsia="zh-CN"/>
                <w14:textFill>
                  <w14:solidFill>
                    <w14:schemeClr w14:val="tx1"/>
                  </w14:solidFill>
                </w14:textFill>
              </w:rPr>
              <w:t>Q</w:t>
            </w:r>
            <w:r>
              <w:rPr>
                <w:rFonts w:hint="eastAsia"/>
                <w:color w:val="000000" w:themeColor="text1"/>
                <w:highlight w:val="none"/>
                <w:lang w:eastAsia="zh-CN"/>
                <w14:textFill>
                  <w14:solidFill>
                    <w14:schemeClr w14:val="tx1"/>
                  </w14:solidFill>
                </w14:textFill>
              </w:rPr>
              <w:t>）</w:t>
            </w:r>
          </w:p>
          <w:p w14:paraId="2B5F70BE">
            <w:pPr>
              <w:pStyle w:val="34"/>
              <w:rPr>
                <w:color w:val="000000" w:themeColor="text1"/>
                <w:highlight w:val="none"/>
                <w14:textFill>
                  <w14:solidFill>
                    <w14:schemeClr w14:val="tx1"/>
                  </w14:solidFill>
                </w14:textFill>
              </w:rPr>
            </w:pPr>
            <w:r>
              <w:rPr>
                <w:color w:val="000000" w:themeColor="text1"/>
                <w:highlight w:val="none"/>
                <w:lang w:eastAsia="zh-CN"/>
                <w14:textFill>
                  <w14:solidFill>
                    <w14:schemeClr w14:val="tx1"/>
                  </w14:solidFill>
                </w14:textFill>
              </w:rPr>
              <w:t>Q=q</w:t>
            </w:r>
            <w:r>
              <w:rPr>
                <w:rFonts w:hint="eastAsia"/>
                <w:color w:val="000000" w:themeColor="text1"/>
                <w:highlight w:val="none"/>
                <w:vertAlign w:val="subscript"/>
                <w:lang w:eastAsia="zh-CN"/>
                <w14:textFill>
                  <w14:solidFill>
                    <w14:schemeClr w14:val="tx1"/>
                  </w14:solidFill>
                </w14:textFill>
              </w:rPr>
              <w:t>1</w:t>
            </w:r>
            <w:r>
              <w:rPr>
                <w:color w:val="000000" w:themeColor="text1"/>
                <w:highlight w:val="none"/>
                <w:lang w:eastAsia="zh-CN"/>
                <w14:textFill>
                  <w14:solidFill>
                    <w14:schemeClr w14:val="tx1"/>
                  </w14:solidFill>
                </w14:textFill>
              </w:rPr>
              <w:t>/Q</w:t>
            </w:r>
            <w:r>
              <w:rPr>
                <w:rFonts w:hint="eastAsia"/>
                <w:color w:val="000000" w:themeColor="text1"/>
                <w:highlight w:val="none"/>
                <w:vertAlign w:val="subscript"/>
                <w:lang w:eastAsia="zh-CN"/>
                <w14:textFill>
                  <w14:solidFill>
                    <w14:schemeClr w14:val="tx1"/>
                  </w14:solidFill>
                </w14:textFill>
              </w:rPr>
              <w:t>1</w:t>
            </w: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2</w:t>
            </w: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2</w:t>
            </w: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n</w:t>
            </w: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n</w:t>
            </w:r>
          </w:p>
          <w:p w14:paraId="0774EFD6">
            <w:pPr>
              <w:pStyle w:val="34"/>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式中：</w:t>
            </w: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n</w:t>
            </w:r>
            <w:r>
              <w:rPr>
                <w:rFonts w:hint="eastAsia"/>
                <w:color w:val="000000" w:themeColor="text1"/>
                <w:highlight w:val="none"/>
                <w:lang w:eastAsia="zh-CN"/>
                <w14:textFill>
                  <w14:solidFill>
                    <w14:schemeClr w14:val="tx1"/>
                  </w14:solidFill>
                </w14:textFill>
              </w:rPr>
              <w:t>——每种危险物质的最大存在总量，</w:t>
            </w:r>
            <w:r>
              <w:rPr>
                <w:color w:val="000000" w:themeColor="text1"/>
                <w:highlight w:val="none"/>
                <w:lang w:eastAsia="zh-CN"/>
                <w14:textFill>
                  <w14:solidFill>
                    <w14:schemeClr w14:val="tx1"/>
                  </w14:solidFill>
                </w14:textFill>
              </w:rPr>
              <w:t>t</w:t>
            </w:r>
            <w:r>
              <w:rPr>
                <w:rFonts w:hint="eastAsia"/>
                <w:color w:val="000000" w:themeColor="text1"/>
                <w:highlight w:val="none"/>
                <w:lang w:eastAsia="zh-CN"/>
                <w14:textFill>
                  <w14:solidFill>
                    <w14:schemeClr w14:val="tx1"/>
                  </w14:solidFill>
                </w14:textFill>
              </w:rPr>
              <w:t>；</w:t>
            </w:r>
          </w:p>
          <w:p w14:paraId="2C218ACF">
            <w:pPr>
              <w:pStyle w:val="34"/>
              <w:ind w:firstLine="1210" w:firstLineChars="500"/>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Q</w:t>
            </w:r>
            <w:r>
              <w:rPr>
                <w:color w:val="000000" w:themeColor="text1"/>
                <w:highlight w:val="none"/>
                <w:vertAlign w:val="subscript"/>
                <w:lang w:eastAsia="zh-CN"/>
                <w14:textFill>
                  <w14:solidFill>
                    <w14:schemeClr w14:val="tx1"/>
                  </w14:solidFill>
                </w14:textFill>
              </w:rPr>
              <w:t>n</w:t>
            </w:r>
            <w:r>
              <w:rPr>
                <w:rFonts w:hint="eastAsia"/>
                <w:color w:val="000000" w:themeColor="text1"/>
                <w:highlight w:val="none"/>
                <w:lang w:eastAsia="zh-CN"/>
                <w14:textFill>
                  <w14:solidFill>
                    <w14:schemeClr w14:val="tx1"/>
                  </w14:solidFill>
                </w14:textFill>
              </w:rPr>
              <w:t>——每种危险物质的临界量，</w:t>
            </w:r>
            <w:r>
              <w:rPr>
                <w:color w:val="000000" w:themeColor="text1"/>
                <w:highlight w:val="none"/>
                <w:lang w:eastAsia="zh-CN"/>
                <w14:textFill>
                  <w14:solidFill>
                    <w14:schemeClr w14:val="tx1"/>
                  </w14:solidFill>
                </w14:textFill>
              </w:rPr>
              <w:t>t</w:t>
            </w:r>
            <w:r>
              <w:rPr>
                <w:rFonts w:hint="eastAsia"/>
                <w:color w:val="000000" w:themeColor="text1"/>
                <w:highlight w:val="none"/>
                <w:lang w:eastAsia="zh-CN"/>
                <w14:textFill>
                  <w14:solidFill>
                    <w14:schemeClr w14:val="tx1"/>
                  </w14:solidFill>
                </w14:textFill>
              </w:rPr>
              <w:t>。</w:t>
            </w:r>
          </w:p>
          <w:p w14:paraId="1DD6E52B">
            <w:pPr>
              <w:pStyle w:val="34"/>
              <w:ind w:firstLine="1210" w:firstLineChars="500"/>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当</w:t>
            </w:r>
            <w:r>
              <w:rPr>
                <w:color w:val="000000" w:themeColor="text1"/>
                <w:highlight w:val="none"/>
                <w:lang w:eastAsia="zh-CN"/>
                <w14:textFill>
                  <w14:solidFill>
                    <w14:schemeClr w14:val="tx1"/>
                  </w14:solidFill>
                </w14:textFill>
              </w:rPr>
              <w:t>Q</w:t>
            </w:r>
            <w:r>
              <w:rPr>
                <w:rFonts w:hint="eastAsia"/>
                <w:color w:val="000000" w:themeColor="text1"/>
                <w:highlight w:val="none"/>
                <w:lang w:eastAsia="zh-CN"/>
                <w14:textFill>
                  <w14:solidFill>
                    <w14:schemeClr w14:val="tx1"/>
                  </w14:solidFill>
                </w14:textFill>
              </w:rPr>
              <w:t>&lt;</w:t>
            </w:r>
            <w:r>
              <w:rPr>
                <w:color w:val="000000" w:themeColor="text1"/>
                <w:highlight w:val="none"/>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，该项目环境风险潜势为Ⅰ。</w:t>
            </w:r>
          </w:p>
          <w:p w14:paraId="58225E6A">
            <w:pPr>
              <w:pStyle w:val="34"/>
              <w:ind w:firstLine="1210" w:firstLineChars="500"/>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当</w:t>
            </w:r>
            <w:r>
              <w:rPr>
                <w:color w:val="000000" w:themeColor="text1"/>
                <w:highlight w:val="none"/>
                <w:lang w:eastAsia="zh-CN"/>
                <w14:textFill>
                  <w14:solidFill>
                    <w14:schemeClr w14:val="tx1"/>
                  </w14:solidFill>
                </w14:textFill>
              </w:rPr>
              <w:t>Q</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时，将</w:t>
            </w:r>
            <w:r>
              <w:rPr>
                <w:color w:val="000000" w:themeColor="text1"/>
                <w:highlight w:val="none"/>
                <w:lang w:eastAsia="zh-CN"/>
                <w14:textFill>
                  <w14:solidFill>
                    <w14:schemeClr w14:val="tx1"/>
                  </w14:solidFill>
                </w14:textFill>
              </w:rPr>
              <w:t>Q</w:t>
            </w:r>
            <w:r>
              <w:rPr>
                <w:rFonts w:hint="eastAsia"/>
                <w:color w:val="000000" w:themeColor="text1"/>
                <w:highlight w:val="none"/>
                <w:lang w:eastAsia="zh-CN"/>
                <w14:textFill>
                  <w14:solidFill>
                    <w14:schemeClr w14:val="tx1"/>
                  </w14:solidFill>
                </w14:textFill>
              </w:rPr>
              <w:t>值划分为：</w:t>
            </w:r>
          </w:p>
          <w:p w14:paraId="398CE066">
            <w:pPr>
              <w:pStyle w:val="34"/>
              <w:ind w:firstLine="1210" w:firstLineChars="5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Q</w:t>
            </w:r>
            <w:r>
              <w:rPr>
                <w:rFonts w:hint="eastAsia"/>
                <w:color w:val="000000" w:themeColor="text1"/>
                <w:highlight w:val="none"/>
                <w:lang w:eastAsia="zh-CN"/>
                <w14:textFill>
                  <w14:solidFill>
                    <w14:schemeClr w14:val="tx1"/>
                  </w14:solidFill>
                </w14:textFill>
              </w:rPr>
              <w:t>&lt;</w:t>
            </w:r>
            <w:r>
              <w:rPr>
                <w:color w:val="000000" w:themeColor="text1"/>
                <w:highlight w:val="none"/>
                <w:lang w:eastAsia="zh-CN"/>
                <w14:textFill>
                  <w14:solidFill>
                    <w14:schemeClr w14:val="tx1"/>
                  </w14:solidFill>
                </w14:textFill>
              </w:rPr>
              <w:t>10</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10</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Q</w:t>
            </w:r>
            <w:r>
              <w:rPr>
                <w:rFonts w:hint="eastAsia"/>
                <w:color w:val="000000" w:themeColor="text1"/>
                <w:highlight w:val="none"/>
                <w:lang w:eastAsia="zh-CN"/>
                <w14:textFill>
                  <w14:solidFill>
                    <w14:schemeClr w14:val="tx1"/>
                  </w14:solidFill>
                </w14:textFill>
              </w:rPr>
              <w:t>&lt;</w:t>
            </w:r>
            <w:r>
              <w:rPr>
                <w:color w:val="000000" w:themeColor="text1"/>
                <w:highlight w:val="none"/>
                <w:lang w:eastAsia="zh-CN"/>
                <w14:textFill>
                  <w14:solidFill>
                    <w14:schemeClr w14:val="tx1"/>
                  </w14:solidFill>
                </w14:textFill>
              </w:rPr>
              <w:t>100</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Q</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100</w:t>
            </w:r>
            <w:r>
              <w:rPr>
                <w:rFonts w:hint="eastAsia"/>
                <w:color w:val="000000" w:themeColor="text1"/>
                <w:highlight w:val="none"/>
                <w:lang w:eastAsia="zh-CN"/>
                <w14:textFill>
                  <w14:solidFill>
                    <w14:schemeClr w14:val="tx1"/>
                  </w14:solidFill>
                </w14:textFill>
              </w:rPr>
              <w:t>。</w:t>
            </w:r>
          </w:p>
          <w:p w14:paraId="6C89855D">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项目危险物质存储情况见表</w:t>
            </w:r>
            <w:r>
              <w:rPr>
                <w:color w:val="000000" w:themeColor="text1"/>
                <w:highlight w:val="none"/>
                <w:lang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15。</w:t>
            </w:r>
          </w:p>
          <w:p w14:paraId="72CE3898">
            <w:pPr>
              <w:widowControl/>
              <w:jc w:val="center"/>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表</w:t>
            </w:r>
            <w:r>
              <w:rPr>
                <w:rFonts w:cs="宋体"/>
                <w:b/>
                <w:bCs/>
                <w:color w:val="000000" w:themeColor="text1"/>
                <w:kern w:val="0"/>
                <w:szCs w:val="21"/>
                <w:highlight w:val="none"/>
                <w:lang w:bidi="ar"/>
                <w14:textFill>
                  <w14:solidFill>
                    <w14:schemeClr w14:val="tx1"/>
                  </w14:solidFill>
                </w14:textFill>
              </w:rPr>
              <w:t>4-</w:t>
            </w:r>
            <w:r>
              <w:rPr>
                <w:rFonts w:hint="eastAsia" w:cs="宋体"/>
                <w:b/>
                <w:bCs/>
                <w:color w:val="000000" w:themeColor="text1"/>
                <w:kern w:val="0"/>
                <w:szCs w:val="21"/>
                <w:highlight w:val="none"/>
                <w:lang w:bidi="ar"/>
                <w14:textFill>
                  <w14:solidFill>
                    <w14:schemeClr w14:val="tx1"/>
                  </w14:solidFill>
                </w14:textFill>
              </w:rPr>
              <w:t>15项目危险物质存储情况</w:t>
            </w:r>
          </w:p>
          <w:tbl>
            <w:tblPr>
              <w:tblStyle w:val="20"/>
              <w:tblW w:w="8137" w:type="dxa"/>
              <w:tblInd w:w="0" w:type="dxa"/>
              <w:tblLayout w:type="fixed"/>
              <w:tblCellMar>
                <w:top w:w="0" w:type="dxa"/>
                <w:left w:w="108" w:type="dxa"/>
                <w:bottom w:w="0" w:type="dxa"/>
                <w:right w:w="108" w:type="dxa"/>
              </w:tblCellMar>
            </w:tblPr>
            <w:tblGrid>
              <w:gridCol w:w="972"/>
              <w:gridCol w:w="1507"/>
              <w:gridCol w:w="1378"/>
              <w:gridCol w:w="2368"/>
              <w:gridCol w:w="1912"/>
            </w:tblGrid>
            <w:tr w14:paraId="3DBBB406">
              <w:tblPrEx>
                <w:tblCellMar>
                  <w:top w:w="0" w:type="dxa"/>
                  <w:left w:w="108" w:type="dxa"/>
                  <w:bottom w:w="0" w:type="dxa"/>
                  <w:right w:w="108" w:type="dxa"/>
                </w:tblCellMar>
              </w:tblPrEx>
              <w:trPr>
                <w:trHeight w:val="340"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6C5E0A24">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序号</w:t>
                  </w:r>
                </w:p>
              </w:tc>
              <w:tc>
                <w:tcPr>
                  <w:tcW w:w="1507" w:type="dxa"/>
                  <w:tcBorders>
                    <w:top w:val="single" w:color="000000" w:sz="4" w:space="0"/>
                    <w:left w:val="single" w:color="000000" w:sz="4" w:space="0"/>
                    <w:bottom w:val="single" w:color="000000" w:sz="4" w:space="0"/>
                    <w:right w:val="single" w:color="000000" w:sz="4" w:space="0"/>
                  </w:tcBorders>
                  <w:vAlign w:val="center"/>
                </w:tcPr>
                <w:p w14:paraId="6EB7E8B5">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危险物质</w:t>
                  </w:r>
                </w:p>
              </w:tc>
              <w:tc>
                <w:tcPr>
                  <w:tcW w:w="1378" w:type="dxa"/>
                  <w:tcBorders>
                    <w:top w:val="single" w:color="000000" w:sz="4" w:space="0"/>
                    <w:left w:val="single" w:color="000000" w:sz="4" w:space="0"/>
                    <w:bottom w:val="single" w:color="000000" w:sz="4" w:space="0"/>
                    <w:right w:val="single" w:color="000000" w:sz="4" w:space="0"/>
                  </w:tcBorders>
                  <w:vAlign w:val="center"/>
                </w:tcPr>
                <w:p w14:paraId="20675BAC">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临界量</w:t>
                  </w:r>
                  <w:r>
                    <w:rPr>
                      <w:rFonts w:hint="eastAsia" w:cs="宋体"/>
                      <w:b/>
                      <w:bCs/>
                      <w:color w:val="000000" w:themeColor="text1"/>
                      <w:kern w:val="0"/>
                      <w:szCs w:val="21"/>
                      <w:highlight w:val="none"/>
                      <w:lang w:bidi="ar"/>
                      <w14:textFill>
                        <w14:solidFill>
                          <w14:schemeClr w14:val="tx1"/>
                        </w14:solidFill>
                      </w14:textFill>
                    </w:rPr>
                    <w:t>（</w:t>
                  </w:r>
                  <w:r>
                    <w:rPr>
                      <w:rFonts w:cs="宋体"/>
                      <w:b/>
                      <w:bCs/>
                      <w:color w:val="000000" w:themeColor="text1"/>
                      <w:kern w:val="0"/>
                      <w:szCs w:val="21"/>
                      <w:highlight w:val="none"/>
                      <w:lang w:bidi="ar"/>
                      <w14:textFill>
                        <w14:solidFill>
                          <w14:schemeClr w14:val="tx1"/>
                        </w14:solidFill>
                      </w14:textFill>
                    </w:rPr>
                    <w:t>t</w:t>
                  </w:r>
                  <w:r>
                    <w:rPr>
                      <w:rFonts w:hint="eastAsia" w:cs="宋体"/>
                      <w:b/>
                      <w:bCs/>
                      <w:color w:val="000000" w:themeColor="text1"/>
                      <w:kern w:val="0"/>
                      <w:szCs w:val="21"/>
                      <w:highlight w:val="none"/>
                      <w:lang w:bidi="ar"/>
                      <w14:textFill>
                        <w14:solidFill>
                          <w14:schemeClr w14:val="tx1"/>
                        </w14:solidFill>
                      </w14:textFill>
                    </w:rPr>
                    <w:t>）</w:t>
                  </w:r>
                </w:p>
              </w:tc>
              <w:tc>
                <w:tcPr>
                  <w:tcW w:w="2368" w:type="dxa"/>
                  <w:tcBorders>
                    <w:top w:val="single" w:color="000000" w:sz="4" w:space="0"/>
                    <w:left w:val="single" w:color="000000" w:sz="4" w:space="0"/>
                    <w:bottom w:val="single" w:color="000000" w:sz="4" w:space="0"/>
                    <w:right w:val="single" w:color="000000" w:sz="4" w:space="0"/>
                  </w:tcBorders>
                  <w:vAlign w:val="center"/>
                </w:tcPr>
                <w:p w14:paraId="383488F6">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最大存储量</w:t>
                  </w:r>
                  <w:r>
                    <w:rPr>
                      <w:rFonts w:hint="eastAsia" w:cs="宋体"/>
                      <w:b/>
                      <w:bCs/>
                      <w:color w:val="000000" w:themeColor="text1"/>
                      <w:kern w:val="0"/>
                      <w:szCs w:val="21"/>
                      <w:highlight w:val="none"/>
                      <w:lang w:bidi="ar"/>
                      <w14:textFill>
                        <w14:solidFill>
                          <w14:schemeClr w14:val="tx1"/>
                        </w14:solidFill>
                      </w14:textFill>
                    </w:rPr>
                    <w:t>（</w:t>
                  </w:r>
                  <w:r>
                    <w:rPr>
                      <w:rFonts w:cs="宋体"/>
                      <w:b/>
                      <w:bCs/>
                      <w:color w:val="000000" w:themeColor="text1"/>
                      <w:kern w:val="0"/>
                      <w:szCs w:val="21"/>
                      <w:highlight w:val="none"/>
                      <w:lang w:bidi="ar"/>
                      <w14:textFill>
                        <w14:solidFill>
                          <w14:schemeClr w14:val="tx1"/>
                        </w14:solidFill>
                      </w14:textFill>
                    </w:rPr>
                    <w:t>t</w:t>
                  </w:r>
                  <w:r>
                    <w:rPr>
                      <w:rFonts w:hint="eastAsia" w:cs="宋体"/>
                      <w:b/>
                      <w:bCs/>
                      <w:color w:val="000000" w:themeColor="text1"/>
                      <w:kern w:val="0"/>
                      <w:szCs w:val="21"/>
                      <w:highlight w:val="none"/>
                      <w:lang w:bidi="ar"/>
                      <w14:textFill>
                        <w14:solidFill>
                          <w14:schemeClr w14:val="tx1"/>
                        </w14:solidFill>
                      </w14:textFill>
                    </w:rPr>
                    <w:t>）</w:t>
                  </w:r>
                </w:p>
              </w:tc>
              <w:tc>
                <w:tcPr>
                  <w:tcW w:w="1912" w:type="dxa"/>
                  <w:tcBorders>
                    <w:top w:val="single" w:color="000000" w:sz="4" w:space="0"/>
                    <w:left w:val="single" w:color="000000" w:sz="4" w:space="0"/>
                    <w:bottom w:val="single" w:color="000000" w:sz="4" w:space="0"/>
                    <w:right w:val="single" w:color="000000" w:sz="4" w:space="0"/>
                  </w:tcBorders>
                  <w:vAlign w:val="center"/>
                </w:tcPr>
                <w:p w14:paraId="5277170A">
                  <w:pPr>
                    <w:widowControl/>
                    <w:jc w:val="center"/>
                    <w:textAlignment w:val="center"/>
                    <w:rPr>
                      <w:rFonts w:cs="宋体"/>
                      <w:b/>
                      <w:bCs/>
                      <w:color w:val="000000" w:themeColor="text1"/>
                      <w:szCs w:val="21"/>
                      <w:highlight w:val="none"/>
                      <w14:textFill>
                        <w14:solidFill>
                          <w14:schemeClr w14:val="tx1"/>
                        </w14:solidFill>
                      </w14:textFill>
                    </w:rPr>
                  </w:pPr>
                  <w:r>
                    <w:rPr>
                      <w:rFonts w:cs="宋体"/>
                      <w:b/>
                      <w:bCs/>
                      <w:color w:val="000000" w:themeColor="text1"/>
                      <w:kern w:val="0"/>
                      <w:szCs w:val="21"/>
                      <w:highlight w:val="none"/>
                      <w:lang w:bidi="ar"/>
                      <w14:textFill>
                        <w14:solidFill>
                          <w14:schemeClr w14:val="tx1"/>
                        </w14:solidFill>
                      </w14:textFill>
                    </w:rPr>
                    <w:t>q/Q</w:t>
                  </w:r>
                </w:p>
              </w:tc>
            </w:tr>
            <w:tr w14:paraId="022A7724">
              <w:tblPrEx>
                <w:tblCellMar>
                  <w:top w:w="0" w:type="dxa"/>
                  <w:left w:w="108" w:type="dxa"/>
                  <w:bottom w:w="0" w:type="dxa"/>
                  <w:right w:w="108" w:type="dxa"/>
                </w:tblCellMar>
              </w:tblPrEx>
              <w:trPr>
                <w:trHeight w:val="340" w:hRule="atLeast"/>
              </w:trPr>
              <w:tc>
                <w:tcPr>
                  <w:tcW w:w="972" w:type="dxa"/>
                  <w:tcBorders>
                    <w:top w:val="single" w:color="000000" w:sz="4" w:space="0"/>
                    <w:left w:val="single" w:color="000000" w:sz="4" w:space="0"/>
                    <w:bottom w:val="single" w:color="000000" w:sz="4" w:space="0"/>
                    <w:right w:val="single" w:color="000000" w:sz="4" w:space="0"/>
                  </w:tcBorders>
                  <w:vAlign w:val="center"/>
                </w:tcPr>
                <w:p w14:paraId="64F61867">
                  <w:pPr>
                    <w:widowControl/>
                    <w:jc w:val="center"/>
                    <w:textAlignment w:val="top"/>
                    <w:rPr>
                      <w:rFonts w:cs="宋体"/>
                      <w:color w:val="000000" w:themeColor="text1"/>
                      <w:szCs w:val="21"/>
                      <w:highlight w:val="none"/>
                      <w14:textFill>
                        <w14:solidFill>
                          <w14:schemeClr w14:val="tx1"/>
                        </w14:solidFill>
                      </w14:textFill>
                    </w:rPr>
                  </w:pPr>
                  <w:r>
                    <w:rPr>
                      <w:rFonts w:cs="宋体"/>
                      <w:color w:val="000000" w:themeColor="text1"/>
                      <w:kern w:val="0"/>
                      <w:szCs w:val="21"/>
                      <w:highlight w:val="none"/>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vAlign w:val="center"/>
                </w:tcPr>
                <w:p w14:paraId="50131988">
                  <w:pPr>
                    <w:widowControl/>
                    <w:jc w:val="center"/>
                    <w:textAlignment w:val="top"/>
                    <w:rPr>
                      <w:rFonts w:hint="eastAsia" w:eastAsia="宋体" w:cs="宋体"/>
                      <w:color w:val="000000" w:themeColor="text1"/>
                      <w:szCs w:val="21"/>
                      <w:highlight w:val="none"/>
                      <w:lang w:eastAsia="zh-CN"/>
                      <w14:textFill>
                        <w14:solidFill>
                          <w14:schemeClr w14:val="tx1"/>
                        </w14:solidFill>
                      </w14:textFill>
                    </w:rPr>
                  </w:pPr>
                  <w:r>
                    <w:rPr>
                      <w:rFonts w:hint="eastAsia" w:cs="宋体"/>
                      <w:color w:val="000000" w:themeColor="text1"/>
                      <w:szCs w:val="21"/>
                      <w:highlight w:val="none"/>
                      <w14:textFill>
                        <w14:solidFill>
                          <w14:schemeClr w14:val="tx1"/>
                        </w14:solidFill>
                      </w14:textFill>
                    </w:rPr>
                    <w:t>废</w:t>
                  </w:r>
                  <w:r>
                    <w:rPr>
                      <w:rFonts w:hint="eastAsia" w:cs="宋体"/>
                      <w:color w:val="000000" w:themeColor="text1"/>
                      <w:szCs w:val="21"/>
                      <w:highlight w:val="none"/>
                      <w:lang w:val="en-US" w:eastAsia="zh-CN"/>
                      <w14:textFill>
                        <w14:solidFill>
                          <w14:schemeClr w14:val="tx1"/>
                        </w14:solidFill>
                      </w14:textFill>
                    </w:rPr>
                    <w:t>润滑油</w:t>
                  </w:r>
                </w:p>
              </w:tc>
              <w:tc>
                <w:tcPr>
                  <w:tcW w:w="1378" w:type="dxa"/>
                  <w:tcBorders>
                    <w:top w:val="single" w:color="000000" w:sz="4" w:space="0"/>
                    <w:left w:val="single" w:color="000000" w:sz="4" w:space="0"/>
                    <w:bottom w:val="single" w:color="000000" w:sz="4" w:space="0"/>
                    <w:right w:val="single" w:color="000000" w:sz="4" w:space="0"/>
                  </w:tcBorders>
                  <w:vAlign w:val="center"/>
                </w:tcPr>
                <w:p w14:paraId="07C768C0">
                  <w:pPr>
                    <w:widowControl/>
                    <w:jc w:val="center"/>
                    <w:textAlignment w:val="top"/>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2500</w:t>
                  </w:r>
                </w:p>
              </w:tc>
              <w:tc>
                <w:tcPr>
                  <w:tcW w:w="2368" w:type="dxa"/>
                  <w:tcBorders>
                    <w:top w:val="single" w:color="000000" w:sz="4" w:space="0"/>
                    <w:left w:val="single" w:color="000000" w:sz="4" w:space="0"/>
                    <w:bottom w:val="single" w:color="000000" w:sz="4" w:space="0"/>
                    <w:right w:val="single" w:color="000000" w:sz="4" w:space="0"/>
                  </w:tcBorders>
                  <w:vAlign w:val="center"/>
                </w:tcPr>
                <w:p w14:paraId="080A4846">
                  <w:pPr>
                    <w:widowControl/>
                    <w:jc w:val="center"/>
                    <w:textAlignment w:val="top"/>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0.5</w:t>
                  </w:r>
                </w:p>
              </w:tc>
              <w:tc>
                <w:tcPr>
                  <w:tcW w:w="1912" w:type="dxa"/>
                  <w:tcBorders>
                    <w:top w:val="single" w:color="000000" w:sz="4" w:space="0"/>
                    <w:left w:val="single" w:color="000000" w:sz="4" w:space="0"/>
                    <w:bottom w:val="single" w:color="000000" w:sz="4" w:space="0"/>
                    <w:right w:val="single" w:color="000000" w:sz="4" w:space="0"/>
                  </w:tcBorders>
                  <w:vAlign w:val="center"/>
                </w:tcPr>
                <w:p w14:paraId="0D835397">
                  <w:pPr>
                    <w:widowControl/>
                    <w:jc w:val="center"/>
                    <w:textAlignment w:val="top"/>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0.0002</w:t>
                  </w:r>
                </w:p>
              </w:tc>
            </w:tr>
            <w:tr w14:paraId="2A52B668">
              <w:tblPrEx>
                <w:tblCellMar>
                  <w:top w:w="0" w:type="dxa"/>
                  <w:left w:w="108" w:type="dxa"/>
                  <w:bottom w:w="0" w:type="dxa"/>
                  <w:right w:w="108" w:type="dxa"/>
                </w:tblCellMar>
              </w:tblPrEx>
              <w:trPr>
                <w:trHeight w:val="340" w:hRule="atLeast"/>
              </w:trPr>
              <w:tc>
                <w:tcPr>
                  <w:tcW w:w="6225" w:type="dxa"/>
                  <w:gridSpan w:val="4"/>
                  <w:tcBorders>
                    <w:top w:val="single" w:color="000000" w:sz="4" w:space="0"/>
                    <w:left w:val="single" w:color="000000" w:sz="4" w:space="0"/>
                    <w:bottom w:val="single" w:color="000000" w:sz="4" w:space="0"/>
                    <w:right w:val="single" w:color="000000" w:sz="4" w:space="0"/>
                  </w:tcBorders>
                  <w:vAlign w:val="center"/>
                </w:tcPr>
                <w:p w14:paraId="569F39D3">
                  <w:pPr>
                    <w:widowControl/>
                    <w:jc w:val="center"/>
                    <w:textAlignment w:val="center"/>
                    <w:rPr>
                      <w:rFonts w:cs="宋体"/>
                      <w:color w:val="000000" w:themeColor="text1"/>
                      <w:szCs w:val="21"/>
                      <w:highlight w:val="none"/>
                      <w14:textFill>
                        <w14:solidFill>
                          <w14:schemeClr w14:val="tx1"/>
                        </w14:solidFill>
                      </w14:textFill>
                    </w:rPr>
                  </w:pPr>
                  <w:r>
                    <w:rPr>
                      <w:rFonts w:cs="宋体"/>
                      <w:color w:val="000000" w:themeColor="text1"/>
                      <w:kern w:val="0"/>
                      <w:szCs w:val="21"/>
                      <w:highlight w:val="none"/>
                      <w:lang w:bidi="ar"/>
                      <w14:textFill>
                        <w14:solidFill>
                          <w14:schemeClr w14:val="tx1"/>
                        </w14:solidFill>
                      </w14:textFill>
                    </w:rPr>
                    <w:t>Q值</w:t>
                  </w:r>
                </w:p>
              </w:tc>
              <w:tc>
                <w:tcPr>
                  <w:tcW w:w="1912" w:type="dxa"/>
                  <w:tcBorders>
                    <w:top w:val="single" w:color="000000" w:sz="4" w:space="0"/>
                    <w:left w:val="single" w:color="000000" w:sz="4" w:space="0"/>
                    <w:bottom w:val="single" w:color="000000" w:sz="4" w:space="0"/>
                    <w:right w:val="single" w:color="000000" w:sz="4" w:space="0"/>
                  </w:tcBorders>
                  <w:vAlign w:val="center"/>
                </w:tcPr>
                <w:p w14:paraId="357A27B9">
                  <w:pPr>
                    <w:widowControl/>
                    <w:jc w:val="center"/>
                    <w:textAlignment w:val="top"/>
                    <w:rPr>
                      <w:rFonts w:hint="default" w:eastAsia="宋体" w:cs="宋体"/>
                      <w:color w:val="000000" w:themeColor="text1"/>
                      <w:szCs w:val="21"/>
                      <w:highlight w:val="none"/>
                      <w:lang w:val="en-US" w:eastAsia="zh-CN"/>
                      <w14:textFill>
                        <w14:solidFill>
                          <w14:schemeClr w14:val="tx1"/>
                        </w14:solidFill>
                      </w14:textFill>
                    </w:rPr>
                  </w:pPr>
                  <w:r>
                    <w:rPr>
                      <w:rFonts w:hint="eastAsia" w:cs="宋体"/>
                      <w:color w:val="000000" w:themeColor="text1"/>
                      <w:kern w:val="0"/>
                      <w:szCs w:val="21"/>
                      <w:highlight w:val="none"/>
                      <w:lang w:val="en-US" w:eastAsia="zh-CN" w:bidi="ar"/>
                      <w14:textFill>
                        <w14:solidFill>
                          <w14:schemeClr w14:val="tx1"/>
                        </w14:solidFill>
                      </w14:textFill>
                    </w:rPr>
                    <w:t>0.0002</w:t>
                  </w:r>
                </w:p>
              </w:tc>
            </w:tr>
          </w:tbl>
          <w:p w14:paraId="422C713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根据以上分析，项目</w:t>
            </w:r>
            <w:r>
              <w:rPr>
                <w:color w:val="000000" w:themeColor="text1"/>
                <w:highlight w:val="none"/>
                <w:lang w:eastAsia="zh-CN"/>
                <w14:textFill>
                  <w14:solidFill>
                    <w14:schemeClr w14:val="tx1"/>
                  </w14:solidFill>
                </w14:textFill>
              </w:rPr>
              <w:t>Q=</w:t>
            </w:r>
            <w:r>
              <w:rPr>
                <w:rFonts w:hint="eastAsia"/>
                <w:color w:val="000000" w:themeColor="text1"/>
                <w:kern w:val="0"/>
                <w:szCs w:val="21"/>
                <w:highlight w:val="none"/>
                <w:lang w:eastAsia="zh-CN" w:bidi="ar"/>
                <w14:textFill>
                  <w14:solidFill>
                    <w14:schemeClr w14:val="tx1"/>
                  </w14:solidFill>
                </w14:textFill>
              </w:rPr>
              <w:t>0</w:t>
            </w:r>
            <w:r>
              <w:rPr>
                <w:rFonts w:hint="eastAsia"/>
                <w:color w:val="000000" w:themeColor="text1"/>
                <w:kern w:val="0"/>
                <w:szCs w:val="21"/>
                <w:highlight w:val="none"/>
                <w:lang w:val="en-US" w:eastAsia="zh-CN" w:bidi="ar"/>
                <w14:textFill>
                  <w14:solidFill>
                    <w14:schemeClr w14:val="tx1"/>
                  </w14:solidFill>
                </w14:textFill>
              </w:rPr>
              <w:t>.0002</w:t>
            </w:r>
            <w:r>
              <w:rPr>
                <w:color w:val="000000" w:themeColor="text1"/>
                <w:highlight w:val="none"/>
                <w:lang w:eastAsia="zh-CN"/>
                <w14:textFill>
                  <w14:solidFill>
                    <w14:schemeClr w14:val="tx1"/>
                  </w14:solidFill>
                </w14:textFill>
              </w:rPr>
              <w:t>&lt;1</w:t>
            </w:r>
            <w:r>
              <w:rPr>
                <w:rFonts w:hint="eastAsia"/>
                <w:color w:val="000000" w:themeColor="text1"/>
                <w:highlight w:val="none"/>
                <w:lang w:eastAsia="zh-CN"/>
                <w14:textFill>
                  <w14:solidFill>
                    <w14:schemeClr w14:val="tx1"/>
                  </w14:solidFill>
                </w14:textFill>
              </w:rPr>
              <w:t>，故环境风险潜势为Ⅰ。</w:t>
            </w:r>
          </w:p>
          <w:p w14:paraId="3E006F73">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按《建设项目环境风险评价技术导则》（</w:t>
            </w:r>
            <w:r>
              <w:rPr>
                <w:color w:val="000000" w:themeColor="text1"/>
                <w:highlight w:val="none"/>
                <w:lang w:eastAsia="zh-CN"/>
                <w14:textFill>
                  <w14:solidFill>
                    <w14:schemeClr w14:val="tx1"/>
                  </w14:solidFill>
                </w14:textFill>
              </w:rPr>
              <w:t>HJ169-2018</w:t>
            </w:r>
            <w:r>
              <w:rPr>
                <w:rFonts w:hint="eastAsia"/>
                <w:color w:val="000000" w:themeColor="text1"/>
                <w:highlight w:val="none"/>
                <w:lang w:eastAsia="zh-CN"/>
                <w14:textFill>
                  <w14:solidFill>
                    <w14:schemeClr w14:val="tx1"/>
                  </w14:solidFill>
                </w14:textFill>
              </w:rPr>
              <w:t>）的要求，评价工作等级划分见表</w:t>
            </w:r>
            <w:r>
              <w:rPr>
                <w:color w:val="000000" w:themeColor="text1"/>
                <w:highlight w:val="none"/>
                <w:lang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16。</w:t>
            </w:r>
          </w:p>
          <w:p w14:paraId="31C05D27">
            <w:pPr>
              <w:pStyle w:val="30"/>
              <w:rPr>
                <w:rFonts w:hint="default"/>
                <w:highlight w:val="none"/>
              </w:rPr>
            </w:pPr>
            <w:r>
              <w:rPr>
                <w:highlight w:val="none"/>
              </w:rPr>
              <w:t>表4-16评价工作等级划分</w:t>
            </w:r>
          </w:p>
          <w:tbl>
            <w:tblPr>
              <w:tblStyle w:val="20"/>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465"/>
              <w:gridCol w:w="1661"/>
              <w:gridCol w:w="1661"/>
              <w:gridCol w:w="1661"/>
            </w:tblGrid>
            <w:tr w14:paraId="0F4C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55" w:type="dxa"/>
                  <w:vAlign w:val="center"/>
                </w:tcPr>
                <w:p w14:paraId="3BC27ADC">
                  <w:pPr>
                    <w:pStyle w:val="28"/>
                    <w:rPr>
                      <w:b/>
                      <w:bCs/>
                      <w:highlight w:val="none"/>
                    </w:rPr>
                  </w:pPr>
                  <w:r>
                    <w:rPr>
                      <w:rFonts w:hint="eastAsia"/>
                      <w:b/>
                      <w:bCs/>
                      <w:highlight w:val="none"/>
                    </w:rPr>
                    <w:t>环境风险态势</w:t>
                  </w:r>
                </w:p>
              </w:tc>
              <w:tc>
                <w:tcPr>
                  <w:tcW w:w="1465" w:type="dxa"/>
                  <w:vAlign w:val="center"/>
                </w:tcPr>
                <w:p w14:paraId="2EF00DA9">
                  <w:pPr>
                    <w:pStyle w:val="28"/>
                    <w:rPr>
                      <w:highlight w:val="none"/>
                    </w:rPr>
                  </w:pPr>
                  <w:r>
                    <w:rPr>
                      <w:rFonts w:hint="eastAsia"/>
                      <w:highlight w:val="none"/>
                    </w:rPr>
                    <w:t>IV、IV+</w:t>
                  </w:r>
                </w:p>
              </w:tc>
              <w:tc>
                <w:tcPr>
                  <w:tcW w:w="1661" w:type="dxa"/>
                  <w:vAlign w:val="center"/>
                </w:tcPr>
                <w:p w14:paraId="4A48C7AA">
                  <w:pPr>
                    <w:pStyle w:val="28"/>
                    <w:rPr>
                      <w:highlight w:val="none"/>
                    </w:rPr>
                  </w:pPr>
                  <w:r>
                    <w:rPr>
                      <w:rFonts w:hint="eastAsia"/>
                      <w:highlight w:val="none"/>
                    </w:rPr>
                    <w:t>III</w:t>
                  </w:r>
                </w:p>
              </w:tc>
              <w:tc>
                <w:tcPr>
                  <w:tcW w:w="1661" w:type="dxa"/>
                  <w:vAlign w:val="center"/>
                </w:tcPr>
                <w:p w14:paraId="6520923B">
                  <w:pPr>
                    <w:pStyle w:val="28"/>
                    <w:rPr>
                      <w:highlight w:val="none"/>
                    </w:rPr>
                  </w:pPr>
                  <w:r>
                    <w:rPr>
                      <w:rFonts w:hint="eastAsia"/>
                      <w:highlight w:val="none"/>
                    </w:rPr>
                    <w:t>II</w:t>
                  </w:r>
                </w:p>
              </w:tc>
              <w:tc>
                <w:tcPr>
                  <w:tcW w:w="1661" w:type="dxa"/>
                  <w:vAlign w:val="center"/>
                </w:tcPr>
                <w:p w14:paraId="2D96DA98">
                  <w:pPr>
                    <w:pStyle w:val="28"/>
                    <w:rPr>
                      <w:highlight w:val="none"/>
                    </w:rPr>
                  </w:pPr>
                  <w:r>
                    <w:rPr>
                      <w:rFonts w:hint="eastAsia"/>
                      <w:highlight w:val="none"/>
                    </w:rPr>
                    <w:t>I</w:t>
                  </w:r>
                </w:p>
              </w:tc>
            </w:tr>
            <w:tr w14:paraId="0725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55" w:type="dxa"/>
                  <w:vAlign w:val="center"/>
                </w:tcPr>
                <w:p w14:paraId="0FA32B23">
                  <w:pPr>
                    <w:pStyle w:val="28"/>
                    <w:rPr>
                      <w:b/>
                      <w:bCs/>
                      <w:highlight w:val="none"/>
                    </w:rPr>
                  </w:pPr>
                  <w:r>
                    <w:rPr>
                      <w:rFonts w:hint="eastAsia"/>
                      <w:b/>
                      <w:bCs/>
                      <w:highlight w:val="none"/>
                    </w:rPr>
                    <w:t>重大危险源</w:t>
                  </w:r>
                </w:p>
              </w:tc>
              <w:tc>
                <w:tcPr>
                  <w:tcW w:w="1465" w:type="dxa"/>
                  <w:vAlign w:val="center"/>
                </w:tcPr>
                <w:p w14:paraId="01BA88BA">
                  <w:pPr>
                    <w:pStyle w:val="28"/>
                    <w:rPr>
                      <w:highlight w:val="none"/>
                    </w:rPr>
                  </w:pPr>
                  <w:r>
                    <w:rPr>
                      <w:rFonts w:hint="eastAsia"/>
                      <w:highlight w:val="none"/>
                    </w:rPr>
                    <w:t>一</w:t>
                  </w:r>
                </w:p>
              </w:tc>
              <w:tc>
                <w:tcPr>
                  <w:tcW w:w="1661" w:type="dxa"/>
                  <w:vAlign w:val="center"/>
                </w:tcPr>
                <w:p w14:paraId="6C1C0516">
                  <w:pPr>
                    <w:pStyle w:val="28"/>
                    <w:rPr>
                      <w:highlight w:val="none"/>
                    </w:rPr>
                  </w:pPr>
                  <w:r>
                    <w:rPr>
                      <w:rFonts w:hint="eastAsia"/>
                      <w:highlight w:val="none"/>
                    </w:rPr>
                    <w:t>二</w:t>
                  </w:r>
                </w:p>
              </w:tc>
              <w:tc>
                <w:tcPr>
                  <w:tcW w:w="1661" w:type="dxa"/>
                  <w:vAlign w:val="center"/>
                </w:tcPr>
                <w:p w14:paraId="09FBFBB5">
                  <w:pPr>
                    <w:pStyle w:val="28"/>
                    <w:rPr>
                      <w:highlight w:val="none"/>
                    </w:rPr>
                  </w:pPr>
                  <w:r>
                    <w:rPr>
                      <w:rFonts w:hint="eastAsia"/>
                      <w:highlight w:val="none"/>
                    </w:rPr>
                    <w:t>一</w:t>
                  </w:r>
                </w:p>
              </w:tc>
              <w:tc>
                <w:tcPr>
                  <w:tcW w:w="1661" w:type="dxa"/>
                  <w:vAlign w:val="center"/>
                </w:tcPr>
                <w:p w14:paraId="22F409B9">
                  <w:pPr>
                    <w:pStyle w:val="28"/>
                    <w:rPr>
                      <w:highlight w:val="none"/>
                    </w:rPr>
                  </w:pPr>
                  <w:r>
                    <w:rPr>
                      <w:rFonts w:hint="eastAsia"/>
                      <w:highlight w:val="none"/>
                    </w:rPr>
                    <w:t>简单分析</w:t>
                  </w:r>
                  <w:r>
                    <w:rPr>
                      <w:rFonts w:hint="eastAsia"/>
                      <w:highlight w:val="none"/>
                      <w:vertAlign w:val="superscript"/>
                    </w:rPr>
                    <w:t>a</w:t>
                  </w:r>
                </w:p>
              </w:tc>
            </w:tr>
            <w:tr w14:paraId="0B1F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3" w:type="dxa"/>
                  <w:gridSpan w:val="5"/>
                  <w:vAlign w:val="center"/>
                </w:tcPr>
                <w:p w14:paraId="51963943">
                  <w:pPr>
                    <w:pStyle w:val="28"/>
                    <w:rPr>
                      <w:highlight w:val="none"/>
                    </w:rPr>
                  </w:pPr>
                  <w:r>
                    <w:rPr>
                      <w:highlight w:val="none"/>
                    </w:rPr>
                    <w:t>a是相对于详细评价工作内容而言，在描述危险物质、环境影响途径、环境危害后果、风险防范措施等方面给出定性的说明。</w:t>
                  </w:r>
                </w:p>
              </w:tc>
            </w:tr>
          </w:tbl>
          <w:p w14:paraId="5A23FEC4">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根据以上分析，项目环境风险评价工作等级简单分析即可。</w:t>
            </w:r>
          </w:p>
          <w:p w14:paraId="31F17C45">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）风险分析</w:t>
            </w:r>
          </w:p>
          <w:p w14:paraId="18393F75">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①</w:t>
            </w:r>
            <w:r>
              <w:rPr>
                <w:rFonts w:hint="eastAsia"/>
                <w:color w:val="000000" w:themeColor="text1"/>
                <w:highlight w:val="none"/>
                <w:lang w:val="zh-CN" w:eastAsia="zh-CN"/>
                <w14:textFill>
                  <w14:solidFill>
                    <w14:schemeClr w14:val="tx1"/>
                  </w14:solidFill>
                </w14:textFill>
              </w:rPr>
              <w:t>危险</w:t>
            </w:r>
            <w:r>
              <w:rPr>
                <w:rFonts w:hint="eastAsia"/>
                <w:color w:val="000000" w:themeColor="text1"/>
                <w:highlight w:val="none"/>
                <w:lang w:val="en-US" w:eastAsia="zh-CN"/>
                <w14:textFill>
                  <w14:solidFill>
                    <w14:schemeClr w14:val="tx1"/>
                  </w14:solidFill>
                </w14:textFill>
              </w:rPr>
              <w:t>废物</w:t>
            </w:r>
            <w:r>
              <w:rPr>
                <w:rFonts w:hint="eastAsia"/>
                <w:color w:val="000000" w:themeColor="text1"/>
                <w:highlight w:val="none"/>
                <w:lang w:val="zh-CN" w:eastAsia="zh-CN"/>
                <w14:textFill>
                  <w14:solidFill>
                    <w14:schemeClr w14:val="tx1"/>
                  </w14:solidFill>
                </w14:textFill>
              </w:rPr>
              <w:t>泄漏</w:t>
            </w:r>
            <w:r>
              <w:rPr>
                <w:rFonts w:hint="eastAsia"/>
                <w:color w:val="000000" w:themeColor="text1"/>
                <w:highlight w:val="none"/>
                <w:lang w:eastAsia="zh-CN"/>
                <w14:textFill>
                  <w14:solidFill>
                    <w14:schemeClr w14:val="tx1"/>
                  </w14:solidFill>
                </w14:textFill>
              </w:rPr>
              <w:t>事故风险分析</w:t>
            </w:r>
          </w:p>
          <w:p w14:paraId="67441D8E">
            <w:pPr>
              <w:pStyle w:val="34"/>
              <w:rPr>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润滑油属于危险废物经收集后进入危险废物暂存间，若泄漏进入外环境，暴露在露天，长期雨淋受潮、阳光照射、风吹、会对环境造成地表、地下水源及土壤的污染，必须严加防范。企业在危废暂存间地面进行硬化和防渗处理，废机油放置于防泄漏托盘上，泄漏时可及时收集于托盘内，不会进入外环境。部分储存废润滑油在原油库及生产设备内，主要用于设备维修和润滑，使用量较小，生产设备使用地面已进行硬化和防渗处理，原油库也已进行硬化和防渗处理，且原油库内润滑油放置于防泄漏托盘上，泄漏时可及时收集于托盘内，不会进入外环境。</w:t>
            </w:r>
          </w:p>
          <w:p w14:paraId="3B2EB750">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②</w:t>
            </w:r>
            <w:r>
              <w:rPr>
                <w:rFonts w:hint="eastAsia"/>
                <w:color w:val="000000" w:themeColor="text1"/>
                <w:highlight w:val="none"/>
                <w:lang w:val="en-US" w:eastAsia="zh-CN"/>
                <w14:textFill>
                  <w14:solidFill>
                    <w14:schemeClr w14:val="tx1"/>
                  </w14:solidFill>
                </w14:textFill>
              </w:rPr>
              <w:t>火灾、爆炸</w:t>
            </w:r>
            <w:r>
              <w:rPr>
                <w:rFonts w:hint="eastAsia"/>
                <w:color w:val="000000" w:themeColor="text1"/>
                <w:highlight w:val="none"/>
                <w:lang w:eastAsia="zh-CN"/>
                <w14:textFill>
                  <w14:solidFill>
                    <w14:schemeClr w14:val="tx1"/>
                  </w14:solidFill>
                </w14:textFill>
              </w:rPr>
              <w:t>事故风险分析</w:t>
            </w:r>
          </w:p>
          <w:p w14:paraId="2EE8C390">
            <w:pPr>
              <w:pStyle w:val="34"/>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项目区发生火灾爆炸的主要原因有以下几种情况：项目区电器设备、生产区、生活区、仓库等均有可能因漏电、短路、违规操作</w:t>
            </w:r>
            <w:bookmarkStart w:id="8" w:name="bookmark157"/>
            <w:bookmarkEnd w:id="8"/>
            <w:r>
              <w:rPr>
                <w:rFonts w:hint="eastAsia"/>
                <w:color w:val="000000" w:themeColor="text1"/>
                <w:highlight w:val="none"/>
                <w:lang w:eastAsia="zh-CN"/>
                <w14:textFill>
                  <w14:solidFill>
                    <w14:schemeClr w14:val="tx1"/>
                  </w14:solidFill>
                </w14:textFill>
              </w:rPr>
              <w:t>等造成火灾事故或产生次生或衍生灾害。</w:t>
            </w:r>
          </w:p>
          <w:p w14:paraId="6F47FB86">
            <w:pPr>
              <w:pStyle w:val="34"/>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火灾、爆炸事件中燃烧过程中产生的大气污染物（CO）迅速飘散至大气环境中，在空气中滞留或发生化学反应，对空气环境造成污染；由于气体扩散作用，烟气中的微粒随着人们的呼吸进入人体呼吸系统，对人造成直接危害。CO是火灾中的主要燃烧产物之一，其毒性在于对人体血液中血红蛋白的高亲和性，其对血红蛋白的亲和力比氧气高出250倍。由于CO能通过与人体中的血红蛋白结合，生成离解缓慢的碳氧血红蛋白，从而降低血液的输氧能力，造成各种缺氧症状。</w:t>
            </w:r>
          </w:p>
          <w:p w14:paraId="569969C0">
            <w:pPr>
              <w:pStyle w:val="3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③污水处理站泄漏事故分析</w:t>
            </w:r>
          </w:p>
          <w:p w14:paraId="183CA447">
            <w:pPr>
              <w:pStyle w:val="34"/>
              <w:rPr>
                <w:rFonts w:hint="eastAsia"/>
                <w:lang w:val="en-US" w:eastAsia="zh-CN"/>
              </w:rPr>
            </w:pPr>
            <w:r>
              <w:rPr>
                <w:rFonts w:hint="eastAsia"/>
                <w:lang w:val="en-US" w:eastAsia="zh-CN"/>
              </w:rPr>
              <w:t>企业的生产废水、员工生活污水都由污水管网集中收集后，进入厂区原有自建的污水处理站进行处理，经过达标处理后存入蓄水池中，回用于厂区绿化、道路洒水等，不外排。当污水处理设备发生异常时，未经处理的废水可以暂时储存于应急事故池内。当污水量较大，应急事故池无法满足要求，排入蓄水池后，会使蓄水池水体中的固体悬浮物</w:t>
            </w:r>
            <w:r>
              <w:rPr>
                <w:rFonts w:hint="default"/>
                <w:lang w:val="en-US" w:eastAsia="zh-CN"/>
              </w:rPr>
              <w:t>（SS）</w:t>
            </w:r>
            <w:r>
              <w:rPr>
                <w:rFonts w:hint="eastAsia"/>
                <w:lang w:val="en-US" w:eastAsia="zh-CN"/>
              </w:rPr>
              <w:t>、有机物和微生物含量升高，改变水体中物理、化学和生物群落组成，使水质变坏。若污水进入菜地和绿化用地，则会进一步影响到绿植和人体健康。</w:t>
            </w:r>
          </w:p>
          <w:p w14:paraId="57229291">
            <w:pPr>
              <w:pStyle w:val="34"/>
              <w:rPr>
                <w:rFonts w:hint="eastAsia"/>
                <w:lang w:val="en-US" w:eastAsia="zh-CN"/>
              </w:rPr>
            </w:pPr>
            <w:r>
              <w:rPr>
                <w:rFonts w:hint="eastAsia"/>
                <w:lang w:val="en-US" w:eastAsia="zh-CN"/>
              </w:rPr>
              <w:t>④恶臭影响分析</w:t>
            </w:r>
          </w:p>
          <w:p w14:paraId="6C263094">
            <w:pPr>
              <w:pStyle w:val="34"/>
              <w:rPr>
                <w:rFonts w:hint="default"/>
                <w:lang w:val="en-US" w:eastAsia="zh-CN"/>
              </w:rPr>
            </w:pPr>
            <w:r>
              <w:rPr>
                <w:rFonts w:hint="default"/>
                <w:lang w:val="en-US" w:eastAsia="zh-CN"/>
              </w:rPr>
              <w:t>恶臭主要来源于</w:t>
            </w:r>
            <w:r>
              <w:rPr>
                <w:rFonts w:hint="eastAsia"/>
                <w:lang w:val="en-US" w:eastAsia="zh-CN"/>
              </w:rPr>
              <w:t>羊待宰</w:t>
            </w:r>
            <w:r>
              <w:rPr>
                <w:rFonts w:hint="default"/>
                <w:lang w:val="en-US" w:eastAsia="zh-CN"/>
              </w:rPr>
              <w:t>圈的粪便，以及污水处理站的污泥。若</w:t>
            </w:r>
            <w:r>
              <w:rPr>
                <w:rFonts w:hint="eastAsia"/>
                <w:lang w:val="en-US" w:eastAsia="zh-CN"/>
              </w:rPr>
              <w:t>羊待宰</w:t>
            </w:r>
            <w:r>
              <w:rPr>
                <w:rFonts w:hint="default"/>
                <w:lang w:val="en-US" w:eastAsia="zh-CN"/>
              </w:rPr>
              <w:t>圈</w:t>
            </w:r>
            <w:r>
              <w:rPr>
                <w:rFonts w:hint="eastAsia"/>
                <w:lang w:val="en-US" w:eastAsia="zh-CN"/>
              </w:rPr>
              <w:t>的</w:t>
            </w:r>
            <w:r>
              <w:rPr>
                <w:rFonts w:hint="default"/>
                <w:lang w:val="en-US" w:eastAsia="zh-CN"/>
              </w:rPr>
              <w:t>粪便不及时清运处理，不仅会影响企业环境卫生，散发出来的气体会导致恶臭超标，甚至污染周围空气环境。应及时对粪便进行收集处理，以免滋生蚊蝇，影响环境卫生。</w:t>
            </w:r>
          </w:p>
          <w:p w14:paraId="20ECFAA7">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（3）风险防范措施及应急要求</w:t>
            </w:r>
          </w:p>
          <w:p w14:paraId="3E589A9B">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①</w:t>
            </w:r>
            <w:r>
              <w:rPr>
                <w:rFonts w:hint="eastAsia"/>
                <w:color w:val="000000" w:themeColor="text1"/>
                <w:highlight w:val="none"/>
                <w:lang w:val="en-US" w:eastAsia="zh-CN"/>
                <w14:textFill>
                  <w14:solidFill>
                    <w14:schemeClr w14:val="tx1"/>
                  </w14:solidFill>
                </w14:textFill>
              </w:rPr>
              <w:t>危险物质泄漏防范措施</w:t>
            </w:r>
          </w:p>
          <w:p w14:paraId="68300027">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A.</w:t>
            </w:r>
            <w:r>
              <w:rPr>
                <w:rFonts w:hint="eastAsia"/>
                <w:color w:val="000000" w:themeColor="text1"/>
                <w:highlight w:val="none"/>
                <w:lang w:val="en-US" w:eastAsia="zh-CN"/>
                <w14:textFill>
                  <w14:solidFill>
                    <w14:schemeClr w14:val="tx1"/>
                  </w14:solidFill>
                </w14:textFill>
              </w:rPr>
              <w:t>在生产过程中严格执行《安全生产法》和《工业企业安全规程》等相关法规中的规定，严格遵守和落实劳动安全、卫生、消防、环保措施及正确的操作规程，预防因为生产操作和火灾、爆炸衍生的突发环境事件；</w:t>
            </w:r>
          </w:p>
          <w:p w14:paraId="22A23C31">
            <w:pPr>
              <w:pStyle w:val="34"/>
              <w:rPr>
                <w:rFonts w:hint="default"/>
                <w:color w:val="000000" w:themeColor="text1"/>
                <w:highlight w:val="none"/>
                <w:lang w:val="en-US" w:eastAsia="zh-CN"/>
                <w14:textFill>
                  <w14:solidFill>
                    <w14:schemeClr w14:val="tx1"/>
                  </w14:solidFill>
                </w14:textFill>
              </w:rPr>
            </w:pPr>
            <w:r>
              <w:rPr>
                <w:color w:val="000000" w:themeColor="text1"/>
                <w:highlight w:val="none"/>
                <w:lang w:eastAsia="zh-CN"/>
                <w14:textFill>
                  <w14:solidFill>
                    <w14:schemeClr w14:val="tx1"/>
                  </w14:solidFill>
                </w14:textFill>
              </w:rPr>
              <w:t>B.</w:t>
            </w:r>
            <w:r>
              <w:rPr>
                <w:rFonts w:hint="default"/>
                <w:color w:val="000000" w:themeColor="text1"/>
                <w:highlight w:val="none"/>
                <w:lang w:val="en-US" w:eastAsia="zh-CN"/>
                <w14:textFill>
                  <w14:solidFill>
                    <w14:schemeClr w14:val="tx1"/>
                  </w14:solidFill>
                </w14:textFill>
              </w:rPr>
              <w:t>对危废暂存间管理人员进行培训，设置相关的危险废物标识标牌</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尽量避免因操作管理不当造成的环境突发事件；</w:t>
            </w:r>
          </w:p>
          <w:p w14:paraId="1482BBD3">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C.</w:t>
            </w:r>
            <w:r>
              <w:rPr>
                <w:rFonts w:hint="eastAsia"/>
                <w:color w:val="000000" w:themeColor="text1"/>
                <w:highlight w:val="none"/>
                <w:lang w:eastAsia="zh-CN"/>
                <w14:textFill>
                  <w14:solidFill>
                    <w14:schemeClr w14:val="tx1"/>
                  </w14:solidFill>
                </w14:textFill>
              </w:rPr>
              <w:t>储存场所保持阴凉、干燥、通风，远离火种、热源，防止阳光直射；</w:t>
            </w:r>
          </w:p>
          <w:p w14:paraId="766C5774">
            <w:pPr>
              <w:pStyle w:val="34"/>
              <w:rPr>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D</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定期开展应急消防演练，提高应变能力。</w:t>
            </w:r>
          </w:p>
          <w:p w14:paraId="3563FA1F">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②火灾、爆炸事故风险防范措施</w:t>
            </w:r>
          </w:p>
          <w:p w14:paraId="73D890C2">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A.</w:t>
            </w:r>
            <w:r>
              <w:rPr>
                <w:rFonts w:hint="eastAsia"/>
                <w:color w:val="000000" w:themeColor="text1"/>
                <w:highlight w:val="none"/>
                <w:lang w:val="en-US" w:eastAsia="zh-CN"/>
                <w14:textFill>
                  <w14:solidFill>
                    <w14:schemeClr w14:val="tx1"/>
                  </w14:solidFill>
                </w14:textFill>
              </w:rPr>
              <w:t>车间易燃易爆区域</w:t>
            </w:r>
            <w:r>
              <w:rPr>
                <w:rFonts w:hint="default"/>
                <w:color w:val="000000" w:themeColor="text1"/>
                <w:highlight w:val="none"/>
                <w:lang w:val="en-US" w:eastAsia="zh-CN"/>
                <w14:textFill>
                  <w14:solidFill>
                    <w14:schemeClr w14:val="tx1"/>
                  </w14:solidFill>
                </w14:textFill>
              </w:rPr>
              <w:t>不得使用明火</w:t>
            </w:r>
            <w:r>
              <w:rPr>
                <w:rFonts w:hint="eastAsia"/>
                <w:color w:val="000000" w:themeColor="text1"/>
                <w:highlight w:val="none"/>
                <w:lang w:val="en-US" w:eastAsia="zh-CN"/>
                <w14:textFill>
                  <w14:solidFill>
                    <w14:schemeClr w14:val="tx1"/>
                  </w14:solidFill>
                </w14:textFill>
              </w:rPr>
              <w:t>，禁止</w:t>
            </w:r>
            <w:r>
              <w:rPr>
                <w:rFonts w:hint="default"/>
                <w:color w:val="000000" w:themeColor="text1"/>
                <w:highlight w:val="none"/>
                <w:lang w:val="en-US" w:eastAsia="zh-CN"/>
                <w14:textFill>
                  <w14:solidFill>
                    <w14:schemeClr w14:val="tx1"/>
                  </w14:solidFill>
                </w14:textFill>
              </w:rPr>
              <w:t>吸烟</w:t>
            </w:r>
            <w:r>
              <w:rPr>
                <w:rFonts w:hint="eastAsia"/>
                <w:color w:val="000000" w:themeColor="text1"/>
                <w:highlight w:val="none"/>
                <w:lang w:val="en-US" w:eastAsia="zh-CN"/>
                <w14:textFill>
                  <w14:solidFill>
                    <w14:schemeClr w14:val="tx1"/>
                  </w14:solidFill>
                </w14:textFill>
              </w:rPr>
              <w:t>，划定禁火区，在明显地点设置警示标志，输配电线、灯具、火灾事故照明和疏散指示标识要符合安全生产要求；</w:t>
            </w:r>
          </w:p>
          <w:p w14:paraId="577F5033">
            <w:pPr>
              <w:pStyle w:val="34"/>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B.</w:t>
            </w:r>
            <w:r>
              <w:rPr>
                <w:rFonts w:hint="eastAsia"/>
                <w:color w:val="000000" w:themeColor="text1"/>
                <w:highlight w:val="none"/>
                <w:lang w:val="zh-CN" w:eastAsia="zh-CN"/>
                <w14:textFill>
                  <w14:solidFill>
                    <w14:schemeClr w14:val="tx1"/>
                  </w14:solidFill>
                </w14:textFill>
              </w:rPr>
              <w:t>加强对原油库和危废暂存间的监控管理，禁止吸烟、使用明火，设置警示标识标牌，配备消防灭火设备。</w:t>
            </w:r>
          </w:p>
          <w:p w14:paraId="60C4759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③</w:t>
            </w:r>
            <w:r>
              <w:rPr>
                <w:rFonts w:hint="eastAsia"/>
                <w:color w:val="000000" w:themeColor="text1"/>
                <w:highlight w:val="none"/>
                <w:lang w:val="en-US" w:eastAsia="zh-CN"/>
                <w14:textFill>
                  <w14:solidFill>
                    <w14:schemeClr w14:val="tx1"/>
                  </w14:solidFill>
                </w14:textFill>
              </w:rPr>
              <w:t>污水处理站</w:t>
            </w:r>
            <w:r>
              <w:rPr>
                <w:rFonts w:hint="eastAsia"/>
                <w:color w:val="000000" w:themeColor="text1"/>
                <w:highlight w:val="none"/>
                <w:lang w:eastAsia="zh-CN"/>
                <w14:textFill>
                  <w14:solidFill>
                    <w14:schemeClr w14:val="tx1"/>
                  </w14:solidFill>
                </w14:textFill>
              </w:rPr>
              <w:t>风险防范措施</w:t>
            </w:r>
          </w:p>
          <w:p w14:paraId="6BE05EAC">
            <w:pPr>
              <w:pStyle w:val="34"/>
              <w:numPr>
                <w:ilvl w:val="0"/>
                <w:numId w:val="0"/>
              </w:numPr>
              <w:ind w:firstLine="484" w:firstLineChars="200"/>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s="宋体"/>
                <w:color w:val="000000" w:themeColor="text1"/>
                <w:spacing w:val="1"/>
                <w:kern w:val="2"/>
                <w:sz w:val="24"/>
                <w:szCs w:val="24"/>
                <w:lang w:val="en-US" w:eastAsia="zh-CN" w:bidi="ar-SA"/>
                <w14:textFill>
                  <w14:solidFill>
                    <w14:schemeClr w14:val="tx1"/>
                  </w14:solidFill>
                </w14:textFill>
              </w:rPr>
              <w:t>A.</w:t>
            </w:r>
            <w:r>
              <w:rPr>
                <w:rFonts w:hint="default"/>
                <w:color w:val="000000" w:themeColor="text1"/>
                <w:highlight w:val="none"/>
                <w:lang w:val="en-US" w:eastAsia="zh-CN"/>
                <w14:textFill>
                  <w14:solidFill>
                    <w14:schemeClr w14:val="tx1"/>
                  </w14:solidFill>
                </w14:textFill>
              </w:rPr>
              <w:t>加强对污水管网及处理设施的监察与管理，确保污水收集率与处理达标率；</w:t>
            </w:r>
          </w:p>
          <w:p w14:paraId="372BFAAA">
            <w:pPr>
              <w:pStyle w:val="34"/>
              <w:numPr>
                <w:ilvl w:val="0"/>
                <w:numId w:val="0"/>
              </w:numPr>
              <w:ind w:firstLine="484" w:firstLineChars="200"/>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s="宋体"/>
                <w:color w:val="000000" w:themeColor="text1"/>
                <w:spacing w:val="1"/>
                <w:kern w:val="2"/>
                <w:sz w:val="24"/>
                <w:szCs w:val="24"/>
                <w:lang w:val="en-US" w:eastAsia="zh-CN" w:bidi="ar-SA"/>
                <w14:textFill>
                  <w14:solidFill>
                    <w14:schemeClr w14:val="tx1"/>
                  </w14:solidFill>
                </w14:textFill>
              </w:rPr>
              <w:t>B.</w:t>
            </w:r>
            <w:r>
              <w:rPr>
                <w:rFonts w:hint="default"/>
                <w:color w:val="000000" w:themeColor="text1"/>
                <w:highlight w:val="none"/>
                <w:lang w:val="en-US" w:eastAsia="zh-CN"/>
                <w14:textFill>
                  <w14:solidFill>
                    <w14:schemeClr w14:val="tx1"/>
                  </w14:solidFill>
                </w14:textFill>
              </w:rPr>
              <w:t>关键污水处理设备、易损配件应有备用，在出现故障时应及时更换；</w:t>
            </w:r>
          </w:p>
          <w:p w14:paraId="199CE280">
            <w:pPr>
              <w:pStyle w:val="3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w:t>
            </w:r>
            <w:r>
              <w:rPr>
                <w:color w:val="000000" w:themeColor="text1"/>
                <w:highlight w:val="none"/>
                <w:lang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加强事故苗头监控定期巡查、调节、保养、维修，及时发现有可能引起的事故异常运行苗头。</w:t>
            </w:r>
          </w:p>
          <w:p w14:paraId="0EE5B74F">
            <w:pPr>
              <w:pStyle w:val="34"/>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④恶臭防范措施</w:t>
            </w:r>
          </w:p>
          <w:p w14:paraId="2319F6E3">
            <w:pPr>
              <w:pStyle w:val="34"/>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及时安排相关工作人员清理处置牲畜粪便，污水处理站产生的污泥及时处置外运，定期对地面进行清洗。</w:t>
            </w:r>
          </w:p>
          <w:p w14:paraId="32A9FF46">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（4）应急要求</w:t>
            </w:r>
          </w:p>
          <w:p w14:paraId="3EB2F1CD">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结合项目实际情况，环评认为本项目应制定应急预案。</w:t>
            </w:r>
          </w:p>
          <w:p w14:paraId="71F32959">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（5）结论</w:t>
            </w:r>
          </w:p>
          <w:p w14:paraId="1886406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综上所述，突发事故多属人为造成的，发生概率与工作人员素质高低、管理措施严格与否有着直接的关系。项目应严格落实上述措施，做好防火和消防措施。</w:t>
            </w:r>
          </w:p>
          <w:p w14:paraId="7161A008">
            <w:pPr>
              <w:pStyle w:val="34"/>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同时，项目应制定应急预案，配备必备的消防应急工具和卫生防护急救设备，加强防火安全教育，以便采取更有效的措施来监测灾情及防止火灾事故的进一步扩散。在采取有效的风险防范措施后，项目环境风险水平可以接受。建设项目环境风险简单分析内容见表</w:t>
            </w:r>
            <w:r>
              <w:rPr>
                <w:color w:val="000000" w:themeColor="text1"/>
                <w:highlight w:val="none"/>
                <w:lang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17。</w:t>
            </w:r>
          </w:p>
          <w:p w14:paraId="49455355">
            <w:pPr>
              <w:widowControl/>
              <w:jc w:val="center"/>
              <w:rPr>
                <w:rFonts w:cs="宋体"/>
                <w:b/>
                <w:bCs/>
                <w:color w:val="000000" w:themeColor="text1"/>
                <w:kern w:val="0"/>
                <w:szCs w:val="21"/>
                <w:highlight w:val="none"/>
                <w:lang w:bidi="ar"/>
                <w14:textFill>
                  <w14:solidFill>
                    <w14:schemeClr w14:val="tx1"/>
                  </w14:solidFill>
                </w14:textFill>
              </w:rPr>
            </w:pPr>
            <w:r>
              <w:rPr>
                <w:rFonts w:hint="eastAsia" w:cs="宋体"/>
                <w:b/>
                <w:bCs/>
                <w:color w:val="000000" w:themeColor="text1"/>
                <w:kern w:val="0"/>
                <w:szCs w:val="21"/>
                <w:highlight w:val="none"/>
                <w:lang w:bidi="ar"/>
                <w14:textFill>
                  <w14:solidFill>
                    <w14:schemeClr w14:val="tx1"/>
                  </w14:solidFill>
                </w14:textFill>
              </w:rPr>
              <w:t>表</w:t>
            </w:r>
            <w:r>
              <w:rPr>
                <w:rFonts w:cs="宋体"/>
                <w:b/>
                <w:bCs/>
                <w:color w:val="000000" w:themeColor="text1"/>
                <w:kern w:val="0"/>
                <w:szCs w:val="21"/>
                <w:highlight w:val="none"/>
                <w:lang w:bidi="ar"/>
                <w14:textFill>
                  <w14:solidFill>
                    <w14:schemeClr w14:val="tx1"/>
                  </w14:solidFill>
                </w14:textFill>
              </w:rPr>
              <w:t>4-</w:t>
            </w:r>
            <w:r>
              <w:rPr>
                <w:rFonts w:hint="eastAsia" w:cs="宋体"/>
                <w:b/>
                <w:bCs/>
                <w:color w:val="000000" w:themeColor="text1"/>
                <w:kern w:val="0"/>
                <w:szCs w:val="21"/>
                <w:highlight w:val="none"/>
                <w:lang w:bidi="ar"/>
                <w14:textFill>
                  <w14:solidFill>
                    <w14:schemeClr w14:val="tx1"/>
                  </w14:solidFill>
                </w14:textFill>
              </w:rPr>
              <w:t>17建设项目环境风险简单分析表</w:t>
            </w:r>
          </w:p>
          <w:tbl>
            <w:tblPr>
              <w:tblStyle w:val="20"/>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6517"/>
            </w:tblGrid>
            <w:tr w14:paraId="23FB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Align w:val="center"/>
                </w:tcPr>
                <w:p w14:paraId="039ACA9C">
                  <w:pPr>
                    <w:widowControl/>
                    <w:jc w:val="center"/>
                    <w:textAlignment w:val="center"/>
                    <w:rPr>
                      <w:rFonts w:cs="微软雅黑"/>
                      <w:b/>
                      <w:bCs/>
                      <w:color w:val="000000" w:themeColor="text1"/>
                      <w:szCs w:val="21"/>
                      <w:highlight w:val="none"/>
                      <w14:textFill>
                        <w14:solidFill>
                          <w14:schemeClr w14:val="tx1"/>
                        </w14:solidFill>
                      </w14:textFill>
                    </w:rPr>
                  </w:pPr>
                  <w:r>
                    <w:rPr>
                      <w:rFonts w:hint="eastAsia" w:cs="微软雅黑"/>
                      <w:b/>
                      <w:bCs/>
                      <w:color w:val="000000" w:themeColor="text1"/>
                      <w:kern w:val="0"/>
                      <w:szCs w:val="21"/>
                      <w:highlight w:val="none"/>
                      <w:lang w:bidi="ar"/>
                      <w14:textFill>
                        <w14:solidFill>
                          <w14:schemeClr w14:val="tx1"/>
                        </w14:solidFill>
                      </w14:textFill>
                    </w:rPr>
                    <w:t>建设项目名称</w:t>
                  </w:r>
                </w:p>
              </w:tc>
              <w:tc>
                <w:tcPr>
                  <w:tcW w:w="6517" w:type="dxa"/>
                  <w:vAlign w:val="center"/>
                </w:tcPr>
                <w:p w14:paraId="645B7745">
                  <w:pPr>
                    <w:widowControl/>
                    <w:jc w:val="center"/>
                    <w:textAlignment w:val="center"/>
                    <w:rPr>
                      <w:rFonts w:cs="微软雅黑"/>
                      <w:color w:val="000000" w:themeColor="text1"/>
                      <w:szCs w:val="21"/>
                      <w:highlight w:val="none"/>
                      <w14:textFill>
                        <w14:solidFill>
                          <w14:schemeClr w14:val="tx1"/>
                        </w14:solidFill>
                      </w14:textFill>
                    </w:rPr>
                  </w:pPr>
                  <w:r>
                    <w:rPr>
                      <w:rFonts w:hint="eastAsia" w:cs="微软雅黑"/>
                      <w:color w:val="000000" w:themeColor="text1"/>
                      <w:szCs w:val="21"/>
                      <w:highlight w:val="none"/>
                      <w14:textFill>
                        <w14:solidFill>
                          <w14:schemeClr w14:val="tx1"/>
                        </w14:solidFill>
                      </w14:textFill>
                    </w:rPr>
                    <w:t>云南海潮集团听牧肉牛产业股份有限公司50000只/年肉羊屠宰加工及配送系统技术改造项目</w:t>
                  </w:r>
                </w:p>
              </w:tc>
            </w:tr>
            <w:tr w14:paraId="26B5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Align w:val="center"/>
                </w:tcPr>
                <w:p w14:paraId="02589313">
                  <w:pPr>
                    <w:widowControl/>
                    <w:jc w:val="center"/>
                    <w:textAlignment w:val="center"/>
                    <w:rPr>
                      <w:rFonts w:cs="微软雅黑"/>
                      <w:color w:val="000000" w:themeColor="text1"/>
                      <w:szCs w:val="21"/>
                      <w:highlight w:val="none"/>
                      <w14:textFill>
                        <w14:solidFill>
                          <w14:schemeClr w14:val="tx1"/>
                        </w14:solidFill>
                      </w14:textFill>
                    </w:rPr>
                  </w:pPr>
                  <w:r>
                    <w:rPr>
                      <w:rFonts w:hint="eastAsia" w:cs="微软雅黑"/>
                      <w:color w:val="000000" w:themeColor="text1"/>
                      <w:kern w:val="0"/>
                      <w:szCs w:val="21"/>
                      <w:highlight w:val="none"/>
                      <w:lang w:bidi="ar"/>
                      <w14:textFill>
                        <w14:solidFill>
                          <w14:schemeClr w14:val="tx1"/>
                        </w14:solidFill>
                      </w14:textFill>
                    </w:rPr>
                    <w:t>建设地点</w:t>
                  </w:r>
                </w:p>
              </w:tc>
              <w:tc>
                <w:tcPr>
                  <w:tcW w:w="6517" w:type="dxa"/>
                  <w:vAlign w:val="center"/>
                </w:tcPr>
                <w:p w14:paraId="1B0EED63">
                  <w:pPr>
                    <w:widowControl/>
                    <w:jc w:val="center"/>
                    <w:textAlignment w:val="center"/>
                    <w:rPr>
                      <w:rFonts w:cs="微软雅黑"/>
                      <w:color w:val="000000" w:themeColor="text1"/>
                      <w:szCs w:val="21"/>
                      <w:highlight w:val="yellow"/>
                      <w14:textFill>
                        <w14:solidFill>
                          <w14:schemeClr w14:val="tx1"/>
                        </w14:solidFill>
                      </w14:textFill>
                    </w:rPr>
                  </w:pPr>
                  <w:r>
                    <w:rPr>
                      <w:rFonts w:hint="eastAsia" w:cs="微软雅黑"/>
                      <w:color w:val="000000" w:themeColor="text1"/>
                      <w:kern w:val="0"/>
                      <w:szCs w:val="21"/>
                      <w:highlight w:val="yellow"/>
                      <w:lang w:bidi="ar"/>
                      <w14:textFill>
                        <w14:solidFill>
                          <w14:schemeClr w14:val="tx1"/>
                        </w14:solidFill>
                      </w14:textFill>
                    </w:rPr>
                    <w:t>云南省昆明市寻甸县羊街镇龙池村</w:t>
                  </w:r>
                </w:p>
              </w:tc>
            </w:tr>
            <w:tr w14:paraId="1C42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Align w:val="center"/>
                </w:tcPr>
                <w:p w14:paraId="229E40C9">
                  <w:pPr>
                    <w:widowControl/>
                    <w:jc w:val="center"/>
                    <w:textAlignment w:val="center"/>
                    <w:rPr>
                      <w:rFonts w:cs="微软雅黑"/>
                      <w:color w:val="000000" w:themeColor="text1"/>
                      <w:szCs w:val="21"/>
                      <w:highlight w:val="none"/>
                      <w14:textFill>
                        <w14:solidFill>
                          <w14:schemeClr w14:val="tx1"/>
                        </w14:solidFill>
                      </w14:textFill>
                    </w:rPr>
                  </w:pPr>
                  <w:r>
                    <w:rPr>
                      <w:rFonts w:hint="eastAsia" w:cs="微软雅黑"/>
                      <w:color w:val="000000" w:themeColor="text1"/>
                      <w:kern w:val="0"/>
                      <w:szCs w:val="21"/>
                      <w:highlight w:val="none"/>
                      <w:lang w:bidi="ar"/>
                      <w14:textFill>
                        <w14:solidFill>
                          <w14:schemeClr w14:val="tx1"/>
                        </w14:solidFill>
                      </w14:textFill>
                    </w:rPr>
                    <w:t>地理坐标</w:t>
                  </w:r>
                </w:p>
              </w:tc>
              <w:tc>
                <w:tcPr>
                  <w:tcW w:w="6517" w:type="dxa"/>
                  <w:vAlign w:val="center"/>
                </w:tcPr>
                <w:p w14:paraId="2C282C92">
                  <w:pPr>
                    <w:jc w:val="center"/>
                    <w:rPr>
                      <w:rFonts w:cs="微软雅黑"/>
                      <w:color w:val="000000" w:themeColor="text1"/>
                      <w:szCs w:val="21"/>
                      <w:highlight w:val="yellow"/>
                      <w14:textFill>
                        <w14:solidFill>
                          <w14:schemeClr w14:val="tx1"/>
                        </w14:solidFill>
                      </w14:textFill>
                    </w:rPr>
                  </w:pPr>
                  <w:r>
                    <w:rPr>
                      <w:rFonts w:hint="eastAsia" w:cs="微软雅黑"/>
                      <w:color w:val="000000" w:themeColor="text1"/>
                      <w:szCs w:val="21"/>
                      <w:highlight w:val="yellow"/>
                      <w14:textFill>
                        <w14:solidFill>
                          <w14:schemeClr w14:val="tx1"/>
                        </w14:solidFill>
                      </w14:textFill>
                    </w:rPr>
                    <w:t>103度08分01.726秒，25度26分47.729秒</w:t>
                  </w:r>
                </w:p>
              </w:tc>
            </w:tr>
            <w:tr w14:paraId="4681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Align w:val="center"/>
                </w:tcPr>
                <w:p w14:paraId="466BC78A">
                  <w:pPr>
                    <w:widowControl/>
                    <w:jc w:val="center"/>
                    <w:textAlignment w:val="center"/>
                    <w:rPr>
                      <w:rFonts w:cs="微软雅黑"/>
                      <w:color w:val="000000" w:themeColor="text1"/>
                      <w:szCs w:val="21"/>
                      <w:highlight w:val="none"/>
                      <w14:textFill>
                        <w14:solidFill>
                          <w14:schemeClr w14:val="tx1"/>
                        </w14:solidFill>
                      </w14:textFill>
                    </w:rPr>
                  </w:pPr>
                  <w:r>
                    <w:rPr>
                      <w:rFonts w:hint="eastAsia" w:cs="微软雅黑"/>
                      <w:color w:val="000000" w:themeColor="text1"/>
                      <w:kern w:val="0"/>
                      <w:szCs w:val="21"/>
                      <w:highlight w:val="none"/>
                      <w:lang w:bidi="ar"/>
                      <w14:textFill>
                        <w14:solidFill>
                          <w14:schemeClr w14:val="tx1"/>
                        </w14:solidFill>
                      </w14:textFill>
                    </w:rPr>
                    <w:t>环境影响途径及危害后果（大气、地表水、地下水等）</w:t>
                  </w:r>
                </w:p>
              </w:tc>
              <w:tc>
                <w:tcPr>
                  <w:tcW w:w="6517" w:type="dxa"/>
                  <w:vAlign w:val="center"/>
                </w:tcPr>
                <w:p w14:paraId="2FD2D6A5">
                  <w:pPr>
                    <w:pStyle w:val="28"/>
                    <w:ind w:firstLine="420" w:firstLineChars="200"/>
                    <w:rPr>
                      <w:rFonts w:cs="微软雅黑"/>
                      <w:color w:val="000000" w:themeColor="text1"/>
                      <w:highlight w:val="none"/>
                      <w14:textFill>
                        <w14:solidFill>
                          <w14:schemeClr w14:val="tx1"/>
                        </w14:solidFill>
                      </w14:textFill>
                    </w:rPr>
                  </w:pPr>
                  <w:r>
                    <w:rPr>
                      <w:highlight w:val="none"/>
                    </w:rPr>
                    <w:t>本项目潜在风险为</w:t>
                  </w:r>
                  <w:r>
                    <w:rPr>
                      <w:rFonts w:hint="eastAsia"/>
                      <w:highlight w:val="none"/>
                    </w:rPr>
                    <w:t>泄漏</w:t>
                  </w:r>
                  <w:r>
                    <w:rPr>
                      <w:highlight w:val="none"/>
                    </w:rPr>
                    <w:t>、火灾爆炸事故。火灾事故会造成周围大气污染和财产损失；危险物质</w:t>
                  </w:r>
                  <w:r>
                    <w:rPr>
                      <w:rFonts w:hint="eastAsia"/>
                      <w:highlight w:val="none"/>
                    </w:rPr>
                    <w:t>泄漏</w:t>
                  </w:r>
                  <w:r>
                    <w:rPr>
                      <w:highlight w:val="none"/>
                    </w:rPr>
                    <w:t>会对地下水、地表水、土壤造成污染</w:t>
                  </w:r>
                  <w:r>
                    <w:rPr>
                      <w:rFonts w:hint="eastAsia"/>
                      <w:highlight w:val="none"/>
                    </w:rPr>
                    <w:t>；恶臭源不及时清运处置，造成废气超标排放。</w:t>
                  </w:r>
                </w:p>
              </w:tc>
            </w:tr>
            <w:tr w14:paraId="76BD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Merge w:val="restart"/>
                  <w:vAlign w:val="center"/>
                </w:tcPr>
                <w:p w14:paraId="685F4C05">
                  <w:pPr>
                    <w:widowControl/>
                    <w:jc w:val="center"/>
                    <w:textAlignment w:val="center"/>
                    <w:rPr>
                      <w:rFonts w:cs="微软雅黑"/>
                      <w:color w:val="000000" w:themeColor="text1"/>
                      <w:szCs w:val="21"/>
                      <w:highlight w:val="none"/>
                      <w14:textFill>
                        <w14:solidFill>
                          <w14:schemeClr w14:val="tx1"/>
                        </w14:solidFill>
                      </w14:textFill>
                    </w:rPr>
                  </w:pPr>
                  <w:r>
                    <w:rPr>
                      <w:rFonts w:hint="eastAsia" w:cs="微软雅黑"/>
                      <w:color w:val="000000" w:themeColor="text1"/>
                      <w:kern w:val="0"/>
                      <w:szCs w:val="21"/>
                      <w:highlight w:val="none"/>
                      <w:lang w:bidi="ar"/>
                      <w14:textFill>
                        <w14:solidFill>
                          <w14:schemeClr w14:val="tx1"/>
                        </w14:solidFill>
                      </w14:textFill>
                    </w:rPr>
                    <w:t>风险防范措施要求</w:t>
                  </w:r>
                </w:p>
              </w:tc>
              <w:tc>
                <w:tcPr>
                  <w:tcW w:w="6517" w:type="dxa"/>
                  <w:vMerge w:val="restart"/>
                  <w:vAlign w:val="center"/>
                </w:tcPr>
                <w:p w14:paraId="2AF43C67">
                  <w:pPr>
                    <w:pStyle w:val="28"/>
                    <w:ind w:firstLine="420" w:firstLineChars="200"/>
                    <w:rPr>
                      <w:rFonts w:cs="微软雅黑"/>
                      <w:color w:val="000000" w:themeColor="text1"/>
                      <w:highlight w:val="none"/>
                      <w:lang w:bidi="ar"/>
                      <w14:textFill>
                        <w14:solidFill>
                          <w14:schemeClr w14:val="tx1"/>
                        </w14:solidFill>
                      </w14:textFill>
                    </w:rPr>
                  </w:pPr>
                  <w:r>
                    <w:rPr>
                      <w:highlight w:val="none"/>
                    </w:rPr>
                    <w:t>针对火灾风险，应按规范设置灭火和消防装备，制定巡查制度、提高人员防火意识和加强火源管理，定期培训工作人员防火技能和知识；针对</w:t>
                  </w:r>
                  <w:r>
                    <w:rPr>
                      <w:rFonts w:hint="eastAsia"/>
                      <w:highlight w:val="none"/>
                    </w:rPr>
                    <w:t>泄漏</w:t>
                  </w:r>
                  <w:r>
                    <w:rPr>
                      <w:highlight w:val="none"/>
                    </w:rPr>
                    <w:t>，工厂应定期检查</w:t>
                  </w:r>
                  <w:r>
                    <w:rPr>
                      <w:rFonts w:hint="eastAsia"/>
                      <w:highlight w:val="none"/>
                      <w:lang w:val="en-US" w:eastAsia="zh-CN"/>
                    </w:rPr>
                    <w:t>废润滑油</w:t>
                  </w:r>
                  <w:r>
                    <w:rPr>
                      <w:highlight w:val="none"/>
                    </w:rPr>
                    <w:t>存储的安全状态，定期检查其包装有无破损</w:t>
                  </w:r>
                  <w:r>
                    <w:rPr>
                      <w:rFonts w:hint="eastAsia"/>
                      <w:highlight w:val="none"/>
                    </w:rPr>
                    <w:t>；针对废气事故排放应</w:t>
                  </w:r>
                  <w:r>
                    <w:rPr>
                      <w:highlight w:val="none"/>
                      <w:lang w:val="zh-CN"/>
                    </w:rPr>
                    <w:t>加强</w:t>
                  </w:r>
                  <w:r>
                    <w:rPr>
                      <w:rFonts w:hint="eastAsia"/>
                      <w:highlight w:val="none"/>
                    </w:rPr>
                    <w:t>清运处置</w:t>
                  </w:r>
                  <w:r>
                    <w:rPr>
                      <w:highlight w:val="none"/>
                      <w:lang w:val="zh-CN"/>
                    </w:rPr>
                    <w:t>，</w:t>
                  </w:r>
                  <w:r>
                    <w:rPr>
                      <w:rFonts w:hint="eastAsia"/>
                      <w:highlight w:val="none"/>
                    </w:rPr>
                    <w:t>减少</w:t>
                  </w:r>
                  <w:r>
                    <w:rPr>
                      <w:highlight w:val="none"/>
                      <w:lang w:val="zh-CN"/>
                    </w:rPr>
                    <w:t>废气</w:t>
                  </w:r>
                  <w:r>
                    <w:rPr>
                      <w:rFonts w:hint="eastAsia"/>
                      <w:highlight w:val="none"/>
                    </w:rPr>
                    <w:t>产生</w:t>
                  </w:r>
                  <w:r>
                    <w:rPr>
                      <w:highlight w:val="none"/>
                      <w:lang w:val="zh-CN"/>
                    </w:rPr>
                    <w:t>。</w:t>
                  </w:r>
                </w:p>
              </w:tc>
            </w:tr>
            <w:tr w14:paraId="10D9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Merge w:val="continue"/>
                  <w:vAlign w:val="center"/>
                </w:tcPr>
                <w:p w14:paraId="7048EFF0">
                  <w:pPr>
                    <w:jc w:val="center"/>
                    <w:rPr>
                      <w:rFonts w:cs="微软雅黑"/>
                      <w:color w:val="000000" w:themeColor="text1"/>
                      <w:szCs w:val="21"/>
                      <w:highlight w:val="none"/>
                      <w14:textFill>
                        <w14:solidFill>
                          <w14:schemeClr w14:val="tx1"/>
                        </w14:solidFill>
                      </w14:textFill>
                    </w:rPr>
                  </w:pPr>
                </w:p>
              </w:tc>
              <w:tc>
                <w:tcPr>
                  <w:tcW w:w="6517" w:type="dxa"/>
                  <w:vMerge w:val="continue"/>
                  <w:vAlign w:val="center"/>
                </w:tcPr>
                <w:p w14:paraId="3929BA35">
                  <w:pPr>
                    <w:jc w:val="center"/>
                    <w:rPr>
                      <w:rFonts w:cs="微软雅黑"/>
                      <w:color w:val="000000" w:themeColor="text1"/>
                      <w:szCs w:val="21"/>
                      <w:highlight w:val="none"/>
                      <w14:textFill>
                        <w14:solidFill>
                          <w14:schemeClr w14:val="tx1"/>
                        </w14:solidFill>
                      </w14:textFill>
                    </w:rPr>
                  </w:pPr>
                </w:p>
              </w:tc>
            </w:tr>
            <w:tr w14:paraId="65F7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Merge w:val="continue"/>
                  <w:vAlign w:val="center"/>
                </w:tcPr>
                <w:p w14:paraId="7B45D0E0">
                  <w:pPr>
                    <w:jc w:val="center"/>
                    <w:rPr>
                      <w:rFonts w:cs="微软雅黑"/>
                      <w:color w:val="000000" w:themeColor="text1"/>
                      <w:szCs w:val="21"/>
                      <w:highlight w:val="none"/>
                      <w14:textFill>
                        <w14:solidFill>
                          <w14:schemeClr w14:val="tx1"/>
                        </w14:solidFill>
                      </w14:textFill>
                    </w:rPr>
                  </w:pPr>
                </w:p>
              </w:tc>
              <w:tc>
                <w:tcPr>
                  <w:tcW w:w="6517" w:type="dxa"/>
                  <w:vMerge w:val="continue"/>
                  <w:vAlign w:val="center"/>
                </w:tcPr>
                <w:p w14:paraId="406B0DA6">
                  <w:pPr>
                    <w:jc w:val="center"/>
                    <w:rPr>
                      <w:rFonts w:cs="微软雅黑"/>
                      <w:color w:val="000000" w:themeColor="text1"/>
                      <w:szCs w:val="21"/>
                      <w:highlight w:val="none"/>
                      <w14:textFill>
                        <w14:solidFill>
                          <w14:schemeClr w14:val="tx1"/>
                        </w14:solidFill>
                      </w14:textFill>
                    </w:rPr>
                  </w:pPr>
                </w:p>
              </w:tc>
            </w:tr>
            <w:tr w14:paraId="4EF9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37" w:type="dxa"/>
                  <w:vMerge w:val="continue"/>
                  <w:vAlign w:val="center"/>
                </w:tcPr>
                <w:p w14:paraId="5E010708">
                  <w:pPr>
                    <w:jc w:val="center"/>
                    <w:rPr>
                      <w:rFonts w:cs="微软雅黑"/>
                      <w:color w:val="000000" w:themeColor="text1"/>
                      <w:szCs w:val="21"/>
                      <w:highlight w:val="none"/>
                      <w14:textFill>
                        <w14:solidFill>
                          <w14:schemeClr w14:val="tx1"/>
                        </w14:solidFill>
                      </w14:textFill>
                    </w:rPr>
                  </w:pPr>
                </w:p>
              </w:tc>
              <w:tc>
                <w:tcPr>
                  <w:tcW w:w="6517" w:type="dxa"/>
                  <w:vMerge w:val="continue"/>
                  <w:vAlign w:val="center"/>
                </w:tcPr>
                <w:p w14:paraId="68779772">
                  <w:pPr>
                    <w:jc w:val="center"/>
                    <w:rPr>
                      <w:rFonts w:cs="微软雅黑"/>
                      <w:color w:val="000000" w:themeColor="text1"/>
                      <w:szCs w:val="21"/>
                      <w:highlight w:val="none"/>
                      <w14:textFill>
                        <w14:solidFill>
                          <w14:schemeClr w14:val="tx1"/>
                        </w14:solidFill>
                      </w14:textFill>
                    </w:rPr>
                  </w:pPr>
                </w:p>
              </w:tc>
            </w:tr>
            <w:tr w14:paraId="2CE1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Merge w:val="continue"/>
                  <w:vAlign w:val="center"/>
                </w:tcPr>
                <w:p w14:paraId="602A0D46">
                  <w:pPr>
                    <w:jc w:val="center"/>
                    <w:rPr>
                      <w:rFonts w:cs="微软雅黑"/>
                      <w:color w:val="000000" w:themeColor="text1"/>
                      <w:szCs w:val="21"/>
                      <w:highlight w:val="none"/>
                      <w14:textFill>
                        <w14:solidFill>
                          <w14:schemeClr w14:val="tx1"/>
                        </w14:solidFill>
                      </w14:textFill>
                    </w:rPr>
                  </w:pPr>
                </w:p>
              </w:tc>
              <w:tc>
                <w:tcPr>
                  <w:tcW w:w="6517" w:type="dxa"/>
                  <w:vMerge w:val="continue"/>
                  <w:vAlign w:val="center"/>
                </w:tcPr>
                <w:p w14:paraId="484C2985">
                  <w:pPr>
                    <w:jc w:val="center"/>
                    <w:rPr>
                      <w:rFonts w:cs="微软雅黑"/>
                      <w:color w:val="000000" w:themeColor="text1"/>
                      <w:szCs w:val="21"/>
                      <w:highlight w:val="none"/>
                      <w14:textFill>
                        <w14:solidFill>
                          <w14:schemeClr w14:val="tx1"/>
                        </w14:solidFill>
                      </w14:textFill>
                    </w:rPr>
                  </w:pPr>
                </w:p>
              </w:tc>
            </w:tr>
            <w:tr w14:paraId="1DD4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Merge w:val="continue"/>
                  <w:vAlign w:val="center"/>
                </w:tcPr>
                <w:p w14:paraId="68BCA933">
                  <w:pPr>
                    <w:jc w:val="center"/>
                    <w:rPr>
                      <w:rFonts w:cs="微软雅黑"/>
                      <w:color w:val="000000" w:themeColor="text1"/>
                      <w:szCs w:val="21"/>
                      <w:highlight w:val="none"/>
                      <w14:textFill>
                        <w14:solidFill>
                          <w14:schemeClr w14:val="tx1"/>
                        </w14:solidFill>
                      </w14:textFill>
                    </w:rPr>
                  </w:pPr>
                </w:p>
              </w:tc>
              <w:tc>
                <w:tcPr>
                  <w:tcW w:w="6517" w:type="dxa"/>
                  <w:vMerge w:val="continue"/>
                  <w:vAlign w:val="center"/>
                </w:tcPr>
                <w:p w14:paraId="28B40948">
                  <w:pPr>
                    <w:jc w:val="center"/>
                    <w:rPr>
                      <w:rFonts w:cs="微软雅黑"/>
                      <w:color w:val="000000" w:themeColor="text1"/>
                      <w:szCs w:val="21"/>
                      <w:highlight w:val="none"/>
                      <w14:textFill>
                        <w14:solidFill>
                          <w14:schemeClr w14:val="tx1"/>
                        </w14:solidFill>
                      </w14:textFill>
                    </w:rPr>
                  </w:pPr>
                </w:p>
              </w:tc>
            </w:tr>
            <w:tr w14:paraId="4055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Merge w:val="continue"/>
                  <w:vAlign w:val="center"/>
                </w:tcPr>
                <w:p w14:paraId="0A3DC45C">
                  <w:pPr>
                    <w:jc w:val="center"/>
                    <w:rPr>
                      <w:rFonts w:cs="微软雅黑"/>
                      <w:color w:val="000000" w:themeColor="text1"/>
                      <w:szCs w:val="21"/>
                      <w:highlight w:val="none"/>
                      <w14:textFill>
                        <w14:solidFill>
                          <w14:schemeClr w14:val="tx1"/>
                        </w14:solidFill>
                      </w14:textFill>
                    </w:rPr>
                  </w:pPr>
                </w:p>
              </w:tc>
              <w:tc>
                <w:tcPr>
                  <w:tcW w:w="6517" w:type="dxa"/>
                  <w:vMerge w:val="continue"/>
                  <w:vAlign w:val="center"/>
                </w:tcPr>
                <w:p w14:paraId="7EA2A308">
                  <w:pPr>
                    <w:jc w:val="center"/>
                    <w:rPr>
                      <w:rFonts w:cs="微软雅黑"/>
                      <w:color w:val="000000" w:themeColor="text1"/>
                      <w:szCs w:val="21"/>
                      <w:highlight w:val="none"/>
                      <w14:textFill>
                        <w14:solidFill>
                          <w14:schemeClr w14:val="tx1"/>
                        </w14:solidFill>
                      </w14:textFill>
                    </w:rPr>
                  </w:pPr>
                </w:p>
              </w:tc>
            </w:tr>
            <w:tr w14:paraId="3C1E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7" w:type="dxa"/>
                  <w:vMerge w:val="continue"/>
                  <w:vAlign w:val="center"/>
                </w:tcPr>
                <w:p w14:paraId="28E2B9C4">
                  <w:pPr>
                    <w:jc w:val="center"/>
                    <w:rPr>
                      <w:rFonts w:cs="微软雅黑"/>
                      <w:color w:val="000000" w:themeColor="text1"/>
                      <w:szCs w:val="21"/>
                      <w:highlight w:val="none"/>
                      <w14:textFill>
                        <w14:solidFill>
                          <w14:schemeClr w14:val="tx1"/>
                        </w14:solidFill>
                      </w14:textFill>
                    </w:rPr>
                  </w:pPr>
                </w:p>
              </w:tc>
              <w:tc>
                <w:tcPr>
                  <w:tcW w:w="6517" w:type="dxa"/>
                  <w:vMerge w:val="continue"/>
                  <w:vAlign w:val="center"/>
                </w:tcPr>
                <w:p w14:paraId="1CFD4A74">
                  <w:pPr>
                    <w:jc w:val="center"/>
                    <w:rPr>
                      <w:rFonts w:cs="微软雅黑"/>
                      <w:color w:val="000000" w:themeColor="text1"/>
                      <w:szCs w:val="21"/>
                      <w:highlight w:val="none"/>
                      <w14:textFill>
                        <w14:solidFill>
                          <w14:schemeClr w14:val="tx1"/>
                        </w14:solidFill>
                      </w14:textFill>
                    </w:rPr>
                  </w:pPr>
                </w:p>
              </w:tc>
            </w:tr>
            <w:tr w14:paraId="44F1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54" w:type="dxa"/>
                  <w:gridSpan w:val="2"/>
                  <w:vAlign w:val="center"/>
                </w:tcPr>
                <w:p w14:paraId="679C9872">
                  <w:pPr>
                    <w:widowControl/>
                    <w:jc w:val="left"/>
                    <w:rPr>
                      <w:color w:val="000000" w:themeColor="text1"/>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填表说明：项目位于</w:t>
                  </w:r>
                  <w:r>
                    <w:rPr>
                      <w:rFonts w:hint="eastAsia" w:cs="微软雅黑"/>
                      <w:color w:val="000000" w:themeColor="text1"/>
                      <w:kern w:val="0"/>
                      <w:szCs w:val="21"/>
                      <w:highlight w:val="none"/>
                      <w:lang w:bidi="ar"/>
                      <w14:textFill>
                        <w14:solidFill>
                          <w14:schemeClr w14:val="tx1"/>
                        </w14:solidFill>
                      </w14:textFill>
                    </w:rPr>
                    <w:t>云南省昆明市寻甸县羊街镇龙池村</w:t>
                  </w:r>
                  <w:r>
                    <w:rPr>
                      <w:rFonts w:hint="eastAsia" w:cs="宋体"/>
                      <w:color w:val="000000" w:themeColor="text1"/>
                      <w:kern w:val="0"/>
                      <w:szCs w:val="21"/>
                      <w:highlight w:val="none"/>
                      <w:lang w:bidi="ar"/>
                      <w14:textFill>
                        <w14:solidFill>
                          <w14:schemeClr w14:val="tx1"/>
                        </w14:solidFill>
                      </w14:textFill>
                    </w:rPr>
                    <w:t>，在现有牛屠宰车间的基础上，将急宰间改建为肉羊屠宰线，项目总建筑面积为2314m</w:t>
                  </w:r>
                  <w:r>
                    <w:rPr>
                      <w:rFonts w:hint="eastAsia" w:cs="宋体"/>
                      <w:color w:val="000000" w:themeColor="text1"/>
                      <w:kern w:val="0"/>
                      <w:szCs w:val="21"/>
                      <w:highlight w:val="none"/>
                      <w:vertAlign w:val="superscript"/>
                      <w:lang w:bidi="ar"/>
                      <w14:textFill>
                        <w14:solidFill>
                          <w14:schemeClr w14:val="tx1"/>
                        </w14:solidFill>
                      </w14:textFill>
                    </w:rPr>
                    <w:t>2</w:t>
                  </w:r>
                  <w:r>
                    <w:rPr>
                      <w:rFonts w:hint="eastAsia" w:cs="宋体"/>
                      <w:color w:val="000000" w:themeColor="text1"/>
                      <w:kern w:val="0"/>
                      <w:szCs w:val="21"/>
                      <w:highlight w:val="none"/>
                      <w:lang w:bidi="ar"/>
                      <w14:textFill>
                        <w14:solidFill>
                          <w14:schemeClr w14:val="tx1"/>
                        </w14:solidFill>
                      </w14:textFill>
                    </w:rPr>
                    <w:t>。项目主要包括待宰圈舍、屠宰加工车间和仓储保鲜区；主要进行肉羊屠宰工作。</w:t>
                  </w:r>
                </w:p>
                <w:p w14:paraId="7D91297F">
                  <w:pPr>
                    <w:widowControl/>
                    <w:jc w:val="left"/>
                    <w:rPr>
                      <w:rFonts w:cs="微软雅黑"/>
                      <w:color w:val="000000" w:themeColor="text1"/>
                      <w:szCs w:val="21"/>
                      <w:highlight w:val="none"/>
                      <w14:textFill>
                        <w14:solidFill>
                          <w14:schemeClr w14:val="tx1"/>
                        </w14:solidFill>
                      </w14:textFill>
                    </w:rPr>
                  </w:pPr>
                  <w:r>
                    <w:rPr>
                      <w:rFonts w:hint="eastAsia" w:cs="宋体"/>
                      <w:color w:val="000000" w:themeColor="text1"/>
                      <w:kern w:val="0"/>
                      <w:szCs w:val="21"/>
                      <w:highlight w:val="none"/>
                      <w:lang w:bidi="ar"/>
                      <w14:textFill>
                        <w14:solidFill>
                          <w14:schemeClr w14:val="tx1"/>
                        </w14:solidFill>
                      </w14:textFill>
                    </w:rPr>
                    <w:t>本次环境风险分析按照《建设项目环境风险评价技术导则》（</w:t>
                  </w:r>
                  <w:r>
                    <w:rPr>
                      <w:color w:val="000000" w:themeColor="text1"/>
                      <w:kern w:val="0"/>
                      <w:szCs w:val="21"/>
                      <w:highlight w:val="none"/>
                      <w:lang w:bidi="ar"/>
                      <w14:textFill>
                        <w14:solidFill>
                          <w14:schemeClr w14:val="tx1"/>
                        </w14:solidFill>
                      </w14:textFill>
                    </w:rPr>
                    <w:t>HJ169-2018</w:t>
                  </w:r>
                  <w:r>
                    <w:rPr>
                      <w:rFonts w:hint="eastAsia" w:cs="宋体"/>
                      <w:color w:val="000000" w:themeColor="text1"/>
                      <w:kern w:val="0"/>
                      <w:szCs w:val="21"/>
                      <w:highlight w:val="none"/>
                      <w:lang w:bidi="ar"/>
                      <w14:textFill>
                        <w14:solidFill>
                          <w14:schemeClr w14:val="tx1"/>
                        </w14:solidFill>
                      </w14:textFill>
                    </w:rPr>
                    <w:t>）进行评价，项目</w:t>
                  </w:r>
                  <w:r>
                    <w:rPr>
                      <w:color w:val="000000" w:themeColor="text1"/>
                      <w:kern w:val="0"/>
                      <w:szCs w:val="21"/>
                      <w:highlight w:val="none"/>
                      <w:lang w:bidi="ar"/>
                      <w14:textFill>
                        <w14:solidFill>
                          <w14:schemeClr w14:val="tx1"/>
                        </w14:solidFill>
                      </w14:textFill>
                    </w:rPr>
                    <w:t>Q</w:t>
                  </w:r>
                  <w:r>
                    <w:rPr>
                      <w:rFonts w:hint="eastAsia" w:cs="宋体"/>
                      <w:color w:val="000000" w:themeColor="text1"/>
                      <w:kern w:val="0"/>
                      <w:szCs w:val="21"/>
                      <w:highlight w:val="none"/>
                      <w:lang w:bidi="ar"/>
                      <w14:textFill>
                        <w14:solidFill>
                          <w14:schemeClr w14:val="tx1"/>
                        </w14:solidFill>
                      </w14:textFill>
                    </w:rPr>
                    <w:t>值小于</w:t>
                  </w:r>
                  <w:r>
                    <w:rPr>
                      <w:color w:val="000000" w:themeColor="text1"/>
                      <w:kern w:val="0"/>
                      <w:szCs w:val="21"/>
                      <w:highlight w:val="none"/>
                      <w:lang w:bidi="ar"/>
                      <w14:textFill>
                        <w14:solidFill>
                          <w14:schemeClr w14:val="tx1"/>
                        </w14:solidFill>
                      </w14:textFill>
                    </w:rPr>
                    <w:t>1</w:t>
                  </w:r>
                  <w:r>
                    <w:rPr>
                      <w:rFonts w:hint="eastAsia" w:cs="宋体"/>
                      <w:color w:val="000000" w:themeColor="text1"/>
                      <w:kern w:val="0"/>
                      <w:szCs w:val="21"/>
                      <w:highlight w:val="none"/>
                      <w:lang w:bidi="ar"/>
                      <w14:textFill>
                        <w14:solidFill>
                          <w14:schemeClr w14:val="tx1"/>
                        </w14:solidFill>
                      </w14:textFill>
                    </w:rPr>
                    <w:t>，故环境风险潜势为</w:t>
                  </w:r>
                  <w:r>
                    <w:rPr>
                      <w:color w:val="000000" w:themeColor="text1"/>
                      <w:kern w:val="0"/>
                      <w:szCs w:val="21"/>
                      <w:highlight w:val="none"/>
                      <w:lang w:bidi="ar"/>
                      <w14:textFill>
                        <w14:solidFill>
                          <w14:schemeClr w14:val="tx1"/>
                        </w14:solidFill>
                      </w14:textFill>
                    </w:rPr>
                    <w:t>Ⅰ</w:t>
                  </w:r>
                  <w:r>
                    <w:rPr>
                      <w:rFonts w:hint="eastAsia" w:cs="宋体"/>
                      <w:color w:val="000000" w:themeColor="text1"/>
                      <w:kern w:val="0"/>
                      <w:szCs w:val="21"/>
                      <w:highlight w:val="none"/>
                      <w:lang w:bidi="ar"/>
                      <w14:textFill>
                        <w14:solidFill>
                          <w14:schemeClr w14:val="tx1"/>
                        </w14:solidFill>
                      </w14:textFill>
                    </w:rPr>
                    <w:t>，只进行简单分析。本项目在采取有效的风险防范措施后，项目环境风险水平可以接受。</w:t>
                  </w:r>
                </w:p>
              </w:tc>
            </w:tr>
          </w:tbl>
          <w:p w14:paraId="1186C4A2">
            <w:pPr>
              <w:pStyle w:val="34"/>
              <w:widowControl/>
              <w:jc w:val="left"/>
              <w:rPr>
                <w:color w:val="000000" w:themeColor="text1"/>
                <w:highlight w:val="none"/>
                <w:lang w:eastAsia="zh-CN"/>
                <w14:textFill>
                  <w14:solidFill>
                    <w14:schemeClr w14:val="tx1"/>
                  </w14:solidFill>
                </w14:textFill>
              </w:rPr>
            </w:pPr>
          </w:p>
        </w:tc>
      </w:tr>
    </w:tbl>
    <w:p w14:paraId="7219BED5">
      <w:pPr>
        <w:pStyle w:val="16"/>
        <w:jc w:val="center"/>
        <w:rPr>
          <w:rFonts w:ascii="Times New Roman" w:hAnsi="Times New Roman"/>
          <w:snapToGrid w:val="0"/>
          <w:color w:val="000000" w:themeColor="text1"/>
          <w:sz w:val="30"/>
          <w:szCs w:val="30"/>
          <w14:textFill>
            <w14:solidFill>
              <w14:schemeClr w14:val="tx1"/>
            </w14:solidFill>
          </w14:textFill>
        </w:rPr>
        <w:sectPr>
          <w:pgSz w:w="11906" w:h="16838"/>
          <w:pgMar w:top="1701" w:right="1531" w:bottom="1701" w:left="1531" w:header="851" w:footer="851" w:gutter="0"/>
          <w:cols w:space="720" w:num="1"/>
          <w:docGrid w:linePitch="312" w:charSpace="0"/>
        </w:sectPr>
      </w:pPr>
    </w:p>
    <w:p w14:paraId="60BADF72">
      <w:pPr>
        <w:pStyle w:val="16"/>
        <w:spacing w:before="0" w:beforeAutospacing="0" w:after="0" w:afterAutospacing="0"/>
        <w:jc w:val="center"/>
        <w:outlineLvl w:val="0"/>
        <w:rPr>
          <w:rFonts w:ascii="Times New Roman" w:hAnsi="Times New Roman"/>
          <w:snapToGrid w:val="0"/>
          <w:color w:val="000000" w:themeColor="text1"/>
          <w:sz w:val="36"/>
          <w:szCs w:val="36"/>
          <w14:textFill>
            <w14:solidFill>
              <w14:schemeClr w14:val="tx1"/>
            </w14:solidFill>
          </w14:textFill>
        </w:rPr>
      </w:pPr>
      <w:bookmarkStart w:id="9" w:name="_Toc9910"/>
      <w:r>
        <w:rPr>
          <w:rFonts w:hint="eastAsia" w:ascii="Times New Roman" w:hAnsi="Times New Roman"/>
          <w:snapToGrid w:val="0"/>
          <w:color w:val="000000" w:themeColor="text1"/>
          <w:sz w:val="36"/>
          <w:szCs w:val="36"/>
          <w14:textFill>
            <w14:solidFill>
              <w14:schemeClr w14:val="tx1"/>
            </w14:solidFill>
          </w14:textFill>
        </w:rPr>
        <w:t>五、</w:t>
      </w:r>
      <w:bookmarkStart w:id="10" w:name="_Hlk54167917"/>
      <w:r>
        <w:rPr>
          <w:rFonts w:hint="eastAsia" w:ascii="Times New Roman" w:hAnsi="Times New Roman"/>
          <w:snapToGrid w:val="0"/>
          <w:color w:val="000000" w:themeColor="text1"/>
          <w:sz w:val="36"/>
          <w:szCs w:val="36"/>
          <w14:textFill>
            <w14:solidFill>
              <w14:schemeClr w14:val="tx1"/>
            </w14:solidFill>
          </w14:textFill>
        </w:rPr>
        <w:t>环境保护措施监督检查清单</w:t>
      </w:r>
      <w:bookmarkEnd w:id="9"/>
      <w:bookmarkEnd w:id="10"/>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504"/>
        <w:gridCol w:w="1280"/>
        <w:gridCol w:w="3105"/>
        <w:gridCol w:w="1830"/>
      </w:tblGrid>
      <w:tr w14:paraId="27964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tcBorders>
              <w:tl2br w:val="single" w:color="auto" w:sz="4" w:space="0"/>
            </w:tcBorders>
            <w:vAlign w:val="center"/>
          </w:tcPr>
          <w:p w14:paraId="7C1B122B">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 xml:space="preserve">   内容</w:t>
            </w:r>
          </w:p>
          <w:p w14:paraId="35950231">
            <w:pPr>
              <w:adjustRightInd w:val="0"/>
              <w:snapToGrid w:val="0"/>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要素</w:t>
            </w:r>
          </w:p>
        </w:tc>
        <w:tc>
          <w:tcPr>
            <w:tcW w:w="1504" w:type="dxa"/>
            <w:vAlign w:val="center"/>
          </w:tcPr>
          <w:p w14:paraId="3081F455">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排放口（编号、名称）/污染源</w:t>
            </w:r>
          </w:p>
        </w:tc>
        <w:tc>
          <w:tcPr>
            <w:tcW w:w="1280" w:type="dxa"/>
            <w:vAlign w:val="center"/>
          </w:tcPr>
          <w:p w14:paraId="04873541">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污染物项目</w:t>
            </w:r>
          </w:p>
        </w:tc>
        <w:tc>
          <w:tcPr>
            <w:tcW w:w="3105" w:type="dxa"/>
            <w:vAlign w:val="center"/>
          </w:tcPr>
          <w:p w14:paraId="52129FF5">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环境保护措施</w:t>
            </w:r>
          </w:p>
        </w:tc>
        <w:tc>
          <w:tcPr>
            <w:tcW w:w="1830" w:type="dxa"/>
            <w:vAlign w:val="center"/>
          </w:tcPr>
          <w:p w14:paraId="2F8F4D53">
            <w:pPr>
              <w:adjustRightInd w:val="0"/>
              <w:snapToGrid w:val="0"/>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执行标准</w:t>
            </w:r>
          </w:p>
        </w:tc>
      </w:tr>
      <w:tr w14:paraId="7D3DF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Merge w:val="restart"/>
            <w:vAlign w:val="center"/>
          </w:tcPr>
          <w:p w14:paraId="4A7DDCFB">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大气环境</w:t>
            </w:r>
          </w:p>
        </w:tc>
        <w:tc>
          <w:tcPr>
            <w:tcW w:w="1504" w:type="dxa"/>
            <w:vAlign w:val="center"/>
          </w:tcPr>
          <w:p w14:paraId="59935D2D">
            <w:pPr>
              <w:adjustRightInd w:val="0"/>
              <w:snapToGrid w:val="0"/>
              <w:jc w:val="center"/>
              <w:rPr>
                <w:rFonts w:cs="宋体"/>
                <w:color w:val="000000" w:themeColor="text1"/>
                <w:szCs w:val="21"/>
                <w14:textFill>
                  <w14:solidFill>
                    <w14:schemeClr w14:val="tx1"/>
                  </w14:solidFill>
                </w14:textFill>
              </w:rPr>
            </w:pPr>
            <w:r>
              <w:rPr>
                <w:rFonts w:hint="eastAsia"/>
              </w:rPr>
              <w:t>粪便、血、红白内脏</w:t>
            </w:r>
          </w:p>
        </w:tc>
        <w:tc>
          <w:tcPr>
            <w:tcW w:w="1280" w:type="dxa"/>
            <w:vAlign w:val="center"/>
          </w:tcPr>
          <w:p w14:paraId="056A78F1">
            <w:pPr>
              <w:adjustRightInd w:val="0"/>
              <w:snapToGrid w:val="0"/>
              <w:jc w:val="center"/>
              <w:rPr>
                <w:rFonts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、H</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S</w:t>
            </w:r>
            <w:r>
              <w:rPr>
                <w:rFonts w:hint="eastAsia" w:cs="宋体"/>
                <w:color w:val="000000" w:themeColor="text1"/>
                <w:szCs w:val="21"/>
                <w14:textFill>
                  <w14:solidFill>
                    <w14:schemeClr w14:val="tx1"/>
                  </w14:solidFill>
                </w14:textFill>
              </w:rPr>
              <w:t>、臭气浓度</w:t>
            </w:r>
          </w:p>
        </w:tc>
        <w:tc>
          <w:tcPr>
            <w:tcW w:w="3105" w:type="dxa"/>
            <w:vAlign w:val="center"/>
          </w:tcPr>
          <w:p w14:paraId="60AE771D">
            <w:pPr>
              <w:widowControl/>
              <w:jc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车间密闭、定期冲洗增加通风次数，喷洒除臭剂</w:t>
            </w:r>
          </w:p>
        </w:tc>
        <w:tc>
          <w:tcPr>
            <w:tcW w:w="1830" w:type="dxa"/>
            <w:vAlign w:val="center"/>
          </w:tcPr>
          <w:p w14:paraId="201C6AE7">
            <w:pPr>
              <w:widowControl/>
              <w:jc w:val="center"/>
              <w:rPr>
                <w:rFonts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《恶臭污染物排放标准》（</w:t>
            </w:r>
            <w:r>
              <w:rPr>
                <w:color w:val="000000" w:themeColor="text1"/>
                <w14:textFill>
                  <w14:solidFill>
                    <w14:schemeClr w14:val="tx1"/>
                  </w14:solidFill>
                </w14:textFill>
              </w:rPr>
              <w:t>GB14554-93</w:t>
            </w:r>
            <w:r>
              <w:rPr>
                <w:rFonts w:hint="eastAsia"/>
                <w:color w:val="000000" w:themeColor="text1"/>
                <w14:textFill>
                  <w14:solidFill>
                    <w14:schemeClr w14:val="tx1"/>
                  </w14:solidFill>
                </w14:textFill>
              </w:rPr>
              <w:t>）二级标准</w:t>
            </w:r>
          </w:p>
        </w:tc>
      </w:tr>
      <w:tr w14:paraId="25007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Merge w:val="continue"/>
            <w:vAlign w:val="center"/>
          </w:tcPr>
          <w:p w14:paraId="4C72A6DB">
            <w:pPr>
              <w:adjustRightInd w:val="0"/>
              <w:snapToGrid w:val="0"/>
              <w:jc w:val="center"/>
              <w:rPr>
                <w:rFonts w:cs="宋体"/>
                <w:color w:val="000000" w:themeColor="text1"/>
                <w:szCs w:val="21"/>
                <w14:textFill>
                  <w14:solidFill>
                    <w14:schemeClr w14:val="tx1"/>
                  </w14:solidFill>
                </w14:textFill>
              </w:rPr>
            </w:pPr>
          </w:p>
        </w:tc>
        <w:tc>
          <w:tcPr>
            <w:tcW w:w="1504" w:type="dxa"/>
            <w:vAlign w:val="center"/>
          </w:tcPr>
          <w:p w14:paraId="657807C8">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汽车</w:t>
            </w:r>
          </w:p>
        </w:tc>
        <w:tc>
          <w:tcPr>
            <w:tcW w:w="1280" w:type="dxa"/>
            <w:vAlign w:val="center"/>
          </w:tcPr>
          <w:p w14:paraId="48CF76E5">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扬尘、尾气</w:t>
            </w:r>
          </w:p>
        </w:tc>
        <w:tc>
          <w:tcPr>
            <w:tcW w:w="3105" w:type="dxa"/>
            <w:vAlign w:val="center"/>
          </w:tcPr>
          <w:p w14:paraId="5A1116F7">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自然扩散</w:t>
            </w:r>
          </w:p>
        </w:tc>
        <w:tc>
          <w:tcPr>
            <w:tcW w:w="1830" w:type="dxa"/>
            <w:vAlign w:val="center"/>
          </w:tcPr>
          <w:p w14:paraId="5CAAF186">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《大气污染物综合排放标准》（GB16297-1996）二级标准</w:t>
            </w:r>
          </w:p>
        </w:tc>
      </w:tr>
      <w:tr w14:paraId="41A72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Merge w:val="restart"/>
            <w:vAlign w:val="center"/>
          </w:tcPr>
          <w:p w14:paraId="1E9AEE79">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地表水环境</w:t>
            </w:r>
          </w:p>
        </w:tc>
        <w:tc>
          <w:tcPr>
            <w:tcW w:w="1504" w:type="dxa"/>
            <w:vAlign w:val="center"/>
          </w:tcPr>
          <w:p w14:paraId="38BB60DD">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员工生活污水</w:t>
            </w:r>
          </w:p>
        </w:tc>
        <w:tc>
          <w:tcPr>
            <w:tcW w:w="1280" w:type="dxa"/>
            <w:vAlign w:val="center"/>
          </w:tcPr>
          <w:p w14:paraId="077FCE03">
            <w:pPr>
              <w:widowControl/>
              <w:jc w:val="center"/>
              <w:rPr>
                <w:rFonts w:cs="宋体"/>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COD</w:t>
            </w:r>
            <w:r>
              <w:rPr>
                <w:color w:val="000000" w:themeColor="text1"/>
                <w:kern w:val="0"/>
                <w:szCs w:val="21"/>
                <w:vertAlign w:val="subscript"/>
                <w:lang w:bidi="ar"/>
                <w14:textFill>
                  <w14:solidFill>
                    <w14:schemeClr w14:val="tx1"/>
                  </w14:solidFill>
                </w14:textFill>
              </w:rPr>
              <w:t>cr</w:t>
            </w:r>
            <w:r>
              <w:rPr>
                <w:rFonts w:hint="eastAsia" w:cs="宋体"/>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SS</w:t>
            </w:r>
            <w:r>
              <w:rPr>
                <w:rFonts w:hint="eastAsia" w:cs="宋体"/>
                <w:color w:val="000000" w:themeColor="text1"/>
                <w:kern w:val="0"/>
                <w:szCs w:val="21"/>
                <w:lang w:bidi="ar"/>
                <w14:textFill>
                  <w14:solidFill>
                    <w14:schemeClr w14:val="tx1"/>
                  </w14:solidFill>
                </w14:textFill>
              </w:rPr>
              <w:t>、氨氮、总磷</w:t>
            </w:r>
          </w:p>
        </w:tc>
        <w:tc>
          <w:tcPr>
            <w:tcW w:w="3105" w:type="dxa"/>
            <w:vAlign w:val="center"/>
          </w:tcPr>
          <w:p w14:paraId="4D0F06C1">
            <w:pPr>
              <w:widowControl/>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污水处理系统处理后</w:t>
            </w:r>
            <w:r>
              <w:rPr>
                <w:rFonts w:hint="eastAsia"/>
                <w:color w:val="000000" w:themeColor="text1"/>
                <w14:textFill>
                  <w14:solidFill>
                    <w14:schemeClr w14:val="tx1"/>
                  </w14:solidFill>
                </w14:textFill>
              </w:rPr>
              <w:t>回用于绿化浇灌，清洁卫生和喷洒扬尘等</w:t>
            </w:r>
          </w:p>
        </w:tc>
        <w:tc>
          <w:tcPr>
            <w:tcW w:w="1830" w:type="dxa"/>
            <w:vMerge w:val="restart"/>
            <w:vAlign w:val="center"/>
          </w:tcPr>
          <w:p w14:paraId="548306C2">
            <w:pPr>
              <w:widowControl/>
              <w:jc w:val="center"/>
              <w:rPr>
                <w:rFonts w:cs="宋体"/>
                <w:color w:val="000000" w:themeColor="text1"/>
                <w:szCs w:val="21"/>
                <w14:textFill>
                  <w14:solidFill>
                    <w14:schemeClr w14:val="tx1"/>
                  </w14:solidFill>
                </w14:textFill>
              </w:rPr>
            </w:pPr>
            <w:r>
              <w:rPr>
                <w:rFonts w:hint="eastAsia"/>
                <w:lang w:val="zh-CN"/>
              </w:rPr>
              <w:t>《城市污水再生利用城市杂用水水质》（GB/T18920-20</w:t>
            </w:r>
            <w:r>
              <w:rPr>
                <w:rFonts w:hint="eastAsia"/>
              </w:rPr>
              <w:t>20</w:t>
            </w:r>
            <w:r>
              <w:rPr>
                <w:rFonts w:hint="eastAsia"/>
                <w:lang w:val="zh-CN"/>
              </w:rPr>
              <w:t>）</w:t>
            </w:r>
          </w:p>
        </w:tc>
      </w:tr>
      <w:tr w14:paraId="58550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Merge w:val="continue"/>
            <w:vAlign w:val="center"/>
          </w:tcPr>
          <w:p w14:paraId="44D70E02">
            <w:pPr>
              <w:adjustRightInd w:val="0"/>
              <w:snapToGrid w:val="0"/>
              <w:jc w:val="center"/>
              <w:rPr>
                <w:rFonts w:cs="宋体"/>
                <w:color w:val="000000" w:themeColor="text1"/>
                <w:szCs w:val="21"/>
                <w14:textFill>
                  <w14:solidFill>
                    <w14:schemeClr w14:val="tx1"/>
                  </w14:solidFill>
                </w14:textFill>
              </w:rPr>
            </w:pPr>
          </w:p>
        </w:tc>
        <w:tc>
          <w:tcPr>
            <w:tcW w:w="1504" w:type="dxa"/>
            <w:vAlign w:val="center"/>
          </w:tcPr>
          <w:p w14:paraId="09414244">
            <w:pPr>
              <w:widowControl/>
              <w:jc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屠宰废水、地坪冲洗废水</w:t>
            </w:r>
          </w:p>
        </w:tc>
        <w:tc>
          <w:tcPr>
            <w:tcW w:w="1280" w:type="dxa"/>
            <w:vAlign w:val="center"/>
          </w:tcPr>
          <w:p w14:paraId="2797CE85">
            <w:pPr>
              <w:adjustRightInd w:val="0"/>
              <w:snapToGrid w:val="0"/>
              <w:jc w:val="center"/>
              <w:rPr>
                <w:rFonts w:cs="宋体"/>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COD</w:t>
            </w:r>
            <w:r>
              <w:rPr>
                <w:color w:val="000000" w:themeColor="text1"/>
                <w:kern w:val="0"/>
                <w:szCs w:val="21"/>
                <w:vertAlign w:val="subscript"/>
                <w:lang w:bidi="ar"/>
                <w14:textFill>
                  <w14:solidFill>
                    <w14:schemeClr w14:val="tx1"/>
                  </w14:solidFill>
                </w14:textFill>
              </w:rPr>
              <w:t>cr</w:t>
            </w:r>
            <w:r>
              <w:rPr>
                <w:rFonts w:hint="eastAsia" w:cs="宋体"/>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BOD</w:t>
            </w:r>
            <w:r>
              <w:rPr>
                <w:rFonts w:hint="eastAsia"/>
                <w:color w:val="000000" w:themeColor="text1"/>
                <w:kern w:val="0"/>
                <w:szCs w:val="21"/>
                <w:vertAlign w:val="subscript"/>
                <w:lang w:bidi="ar"/>
                <w14:textFill>
                  <w14:solidFill>
                    <w14:schemeClr w14:val="tx1"/>
                  </w14:solidFill>
                </w14:textFill>
              </w:rPr>
              <w:t>5</w:t>
            </w:r>
            <w:r>
              <w:rPr>
                <w:rFonts w:hint="eastAsia" w:cs="宋体"/>
                <w:color w:val="000000" w:themeColor="text1"/>
                <w:kern w:val="0"/>
                <w:szCs w:val="21"/>
                <w:lang w:bidi="ar"/>
                <w14:textFill>
                  <w14:solidFill>
                    <w14:schemeClr w14:val="tx1"/>
                  </w14:solidFill>
                </w14:textFill>
              </w:rPr>
              <w:t>、</w:t>
            </w:r>
            <w:r>
              <w:rPr>
                <w:color w:val="000000" w:themeColor="text1"/>
                <w:kern w:val="0"/>
                <w:szCs w:val="21"/>
                <w:lang w:bidi="ar"/>
                <w14:textFill>
                  <w14:solidFill>
                    <w14:schemeClr w14:val="tx1"/>
                  </w14:solidFill>
                </w14:textFill>
              </w:rPr>
              <w:t>SS</w:t>
            </w:r>
            <w:r>
              <w:rPr>
                <w:rFonts w:hint="eastAsia" w:cs="宋体"/>
                <w:color w:val="000000" w:themeColor="text1"/>
                <w:kern w:val="0"/>
                <w:szCs w:val="21"/>
                <w:lang w:bidi="ar"/>
                <w14:textFill>
                  <w14:solidFill>
                    <w14:schemeClr w14:val="tx1"/>
                  </w14:solidFill>
                </w14:textFill>
              </w:rPr>
              <w:t>、氨氮、动植物油</w:t>
            </w:r>
          </w:p>
        </w:tc>
        <w:tc>
          <w:tcPr>
            <w:tcW w:w="3105" w:type="dxa"/>
            <w:vAlign w:val="center"/>
          </w:tcPr>
          <w:p w14:paraId="05DA976A">
            <w:pPr>
              <w:adjustRightInd w:val="0"/>
              <w:snapToGrid w:val="0"/>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污水处理站处理后</w:t>
            </w:r>
            <w:r>
              <w:rPr>
                <w:rFonts w:hint="eastAsia"/>
                <w:color w:val="000000" w:themeColor="text1"/>
                <w14:textFill>
                  <w14:solidFill>
                    <w14:schemeClr w14:val="tx1"/>
                  </w14:solidFill>
                </w14:textFill>
              </w:rPr>
              <w:t>回用于绿化浇灌，清洁卫生和喷洒扬尘等</w:t>
            </w:r>
          </w:p>
        </w:tc>
        <w:tc>
          <w:tcPr>
            <w:tcW w:w="1830" w:type="dxa"/>
            <w:vMerge w:val="continue"/>
            <w:vAlign w:val="center"/>
          </w:tcPr>
          <w:p w14:paraId="2DEF81D8">
            <w:pPr>
              <w:adjustRightInd w:val="0"/>
              <w:snapToGrid w:val="0"/>
              <w:jc w:val="center"/>
              <w:rPr>
                <w:rFonts w:cs="宋体"/>
                <w:color w:val="000000" w:themeColor="text1"/>
                <w:szCs w:val="21"/>
                <w14:textFill>
                  <w14:solidFill>
                    <w14:schemeClr w14:val="tx1"/>
                  </w14:solidFill>
                </w14:textFill>
              </w:rPr>
            </w:pPr>
          </w:p>
        </w:tc>
      </w:tr>
      <w:tr w14:paraId="55393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Merge w:val="restart"/>
            <w:vAlign w:val="center"/>
          </w:tcPr>
          <w:p w14:paraId="51256022">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声环境</w:t>
            </w:r>
          </w:p>
        </w:tc>
        <w:tc>
          <w:tcPr>
            <w:tcW w:w="1504" w:type="dxa"/>
            <w:vAlign w:val="center"/>
          </w:tcPr>
          <w:p w14:paraId="21E5CE26">
            <w:pPr>
              <w:widowControl/>
              <w:jc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脱毛机</w:t>
            </w:r>
          </w:p>
        </w:tc>
        <w:tc>
          <w:tcPr>
            <w:tcW w:w="1280" w:type="dxa"/>
            <w:vAlign w:val="center"/>
          </w:tcPr>
          <w:p w14:paraId="08223A76">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Leq（A）</w:t>
            </w:r>
          </w:p>
        </w:tc>
        <w:tc>
          <w:tcPr>
            <w:tcW w:w="3105" w:type="dxa"/>
            <w:vAlign w:val="center"/>
          </w:tcPr>
          <w:p w14:paraId="24296C41">
            <w:pPr>
              <w:widowControl/>
              <w:jc w:val="center"/>
              <w:rPr>
                <w:rFonts w:cs="宋体"/>
                <w:color w:val="000000" w:themeColor="text1"/>
                <w:szCs w:val="21"/>
                <w14:textFill>
                  <w14:solidFill>
                    <w14:schemeClr w14:val="tx1"/>
                  </w14:solidFill>
                </w14:textFill>
              </w:rPr>
            </w:pPr>
            <w:r>
              <w:t>采取隔声减振措施</w:t>
            </w:r>
            <w:r>
              <w:rPr>
                <w:rFonts w:hint="eastAsia"/>
              </w:rPr>
              <w:t>，</w:t>
            </w:r>
            <w:r>
              <w:rPr>
                <w:rFonts w:hint="eastAsia" w:cs="宋体"/>
                <w:color w:val="000000" w:themeColor="text1"/>
                <w:kern w:val="0"/>
                <w:szCs w:val="21"/>
                <w:lang w:bidi="ar"/>
                <w14:textFill>
                  <w14:solidFill>
                    <w14:schemeClr w14:val="tx1"/>
                  </w14:solidFill>
                </w14:textFill>
              </w:rPr>
              <w:t>距离衰减</w:t>
            </w:r>
          </w:p>
        </w:tc>
        <w:tc>
          <w:tcPr>
            <w:tcW w:w="1830" w:type="dxa"/>
            <w:vMerge w:val="restart"/>
            <w:vAlign w:val="center"/>
          </w:tcPr>
          <w:p w14:paraId="642AB39B">
            <w:pPr>
              <w:widowControl/>
              <w:jc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厂界噪声能达到《工业企业厂界环境噪声排放标准》（GB）（</w:t>
            </w:r>
            <w:r>
              <w:rPr>
                <w:color w:val="000000" w:themeColor="text1"/>
                <w:kern w:val="0"/>
                <w:szCs w:val="21"/>
                <w:lang w:bidi="ar"/>
                <w14:textFill>
                  <w14:solidFill>
                    <w14:schemeClr w14:val="tx1"/>
                  </w14:solidFill>
                </w14:textFill>
              </w:rPr>
              <w:t>GB</w:t>
            </w:r>
            <w:r>
              <w:rPr>
                <w:rFonts w:hint="eastAsia"/>
                <w:color w:val="000000" w:themeColor="text1"/>
                <w:kern w:val="0"/>
                <w:szCs w:val="21"/>
                <w:lang w:bidi="ar"/>
                <w14:textFill>
                  <w14:solidFill>
                    <w14:schemeClr w14:val="tx1"/>
                  </w14:solidFill>
                </w14:textFill>
              </w:rPr>
              <w:t>12348-2008)</w:t>
            </w:r>
            <w:r>
              <w:rPr>
                <w:rFonts w:hint="eastAsia" w:cs="宋体"/>
                <w:color w:val="000000" w:themeColor="text1"/>
                <w:kern w:val="0"/>
                <w:szCs w:val="21"/>
                <w:lang w:bidi="ar"/>
                <w14:textFill>
                  <w14:solidFill>
                    <w14:schemeClr w14:val="tx1"/>
                  </w14:solidFill>
                </w14:textFill>
              </w:rPr>
              <w:t>中</w:t>
            </w:r>
            <w:r>
              <w:rPr>
                <w:color w:val="000000" w:themeColor="text1"/>
                <w:kern w:val="0"/>
                <w:szCs w:val="21"/>
                <w:lang w:bidi="ar"/>
                <w14:textFill>
                  <w14:solidFill>
                    <w14:schemeClr w14:val="tx1"/>
                  </w14:solidFill>
                </w14:textFill>
              </w:rPr>
              <w:t>2</w:t>
            </w:r>
            <w:r>
              <w:rPr>
                <w:rFonts w:hint="eastAsia" w:cs="宋体"/>
                <w:color w:val="000000" w:themeColor="text1"/>
                <w:kern w:val="0"/>
                <w:szCs w:val="21"/>
                <w:lang w:bidi="ar"/>
                <w14:textFill>
                  <w14:solidFill>
                    <w14:schemeClr w14:val="tx1"/>
                  </w14:solidFill>
                </w14:textFill>
              </w:rPr>
              <w:t>类标准</w:t>
            </w:r>
          </w:p>
        </w:tc>
      </w:tr>
      <w:tr w14:paraId="563B1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Merge w:val="continue"/>
            <w:vAlign w:val="center"/>
          </w:tcPr>
          <w:p w14:paraId="0E376B6C">
            <w:pPr>
              <w:widowControl/>
              <w:jc w:val="center"/>
            </w:pPr>
          </w:p>
        </w:tc>
        <w:tc>
          <w:tcPr>
            <w:tcW w:w="1504" w:type="dxa"/>
            <w:vAlign w:val="center"/>
          </w:tcPr>
          <w:p w14:paraId="7F20D6B0">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屠宰区、待宰圈舍羊叫</w:t>
            </w:r>
          </w:p>
        </w:tc>
        <w:tc>
          <w:tcPr>
            <w:tcW w:w="1280" w:type="dxa"/>
            <w:vAlign w:val="center"/>
          </w:tcPr>
          <w:p w14:paraId="29D91094">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szCs w:val="21"/>
                <w14:textFill>
                  <w14:solidFill>
                    <w14:schemeClr w14:val="tx1"/>
                  </w14:solidFill>
                </w14:textFill>
              </w:rPr>
              <w:t>Leq（A）</w:t>
            </w:r>
          </w:p>
        </w:tc>
        <w:tc>
          <w:tcPr>
            <w:tcW w:w="3105" w:type="dxa"/>
            <w:vAlign w:val="center"/>
          </w:tcPr>
          <w:p w14:paraId="075DD450">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间断、偶发，在产生时尽量及时制止</w:t>
            </w:r>
          </w:p>
        </w:tc>
        <w:tc>
          <w:tcPr>
            <w:tcW w:w="1830" w:type="dxa"/>
            <w:vMerge w:val="continue"/>
            <w:vAlign w:val="center"/>
          </w:tcPr>
          <w:p w14:paraId="35A6ACAC">
            <w:pPr>
              <w:widowControl/>
              <w:jc w:val="center"/>
              <w:rPr>
                <w:rFonts w:cs="宋体"/>
                <w:color w:val="000000" w:themeColor="text1"/>
                <w:kern w:val="0"/>
                <w:szCs w:val="21"/>
                <w:lang w:bidi="ar"/>
                <w14:textFill>
                  <w14:solidFill>
                    <w14:schemeClr w14:val="tx1"/>
                  </w14:solidFill>
                </w14:textFill>
              </w:rPr>
            </w:pPr>
          </w:p>
        </w:tc>
      </w:tr>
      <w:tr w14:paraId="47E5A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Align w:val="center"/>
          </w:tcPr>
          <w:p w14:paraId="3316C0B5">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电磁辐射</w:t>
            </w:r>
          </w:p>
        </w:tc>
        <w:tc>
          <w:tcPr>
            <w:tcW w:w="1504" w:type="dxa"/>
            <w:vAlign w:val="center"/>
          </w:tcPr>
          <w:p w14:paraId="0AEBAD02">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1280" w:type="dxa"/>
            <w:vAlign w:val="center"/>
          </w:tcPr>
          <w:p w14:paraId="0E58E39F">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3105" w:type="dxa"/>
            <w:vAlign w:val="center"/>
          </w:tcPr>
          <w:p w14:paraId="0320FF97">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1830" w:type="dxa"/>
            <w:vAlign w:val="center"/>
          </w:tcPr>
          <w:p w14:paraId="23F9F982">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r>
      <w:tr w14:paraId="0BAD8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Merge w:val="restart"/>
            <w:vAlign w:val="center"/>
          </w:tcPr>
          <w:p w14:paraId="50169572">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固体废物</w:t>
            </w:r>
          </w:p>
        </w:tc>
        <w:tc>
          <w:tcPr>
            <w:tcW w:w="1504" w:type="dxa"/>
            <w:shd w:val="clear" w:color="auto" w:fill="auto"/>
            <w:vAlign w:val="center"/>
          </w:tcPr>
          <w:p w14:paraId="0D700671">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机械润滑</w:t>
            </w:r>
          </w:p>
        </w:tc>
        <w:tc>
          <w:tcPr>
            <w:tcW w:w="1280" w:type="dxa"/>
            <w:shd w:val="clear" w:color="auto" w:fill="auto"/>
            <w:vAlign w:val="center"/>
          </w:tcPr>
          <w:p w14:paraId="1DB3D03B">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szCs w:val="21"/>
                <w:highlight w:val="none"/>
                <w14:textFill>
                  <w14:solidFill>
                    <w14:schemeClr w14:val="tx1"/>
                  </w14:solidFill>
                </w14:textFill>
              </w:rPr>
              <w:t>废</w:t>
            </w:r>
            <w:r>
              <w:rPr>
                <w:rFonts w:hint="eastAsia" w:cs="宋体"/>
                <w:color w:val="000000" w:themeColor="text1"/>
                <w:szCs w:val="21"/>
                <w:highlight w:val="none"/>
                <w:lang w:val="en-US" w:eastAsia="zh-CN"/>
                <w14:textFill>
                  <w14:solidFill>
                    <w14:schemeClr w14:val="tx1"/>
                  </w14:solidFill>
                </w14:textFill>
              </w:rPr>
              <w:t>润滑油</w:t>
            </w:r>
            <w:r>
              <w:rPr>
                <w:rFonts w:hint="eastAsia" w:cs="宋体"/>
                <w:color w:val="000000" w:themeColor="text1"/>
                <w:kern w:val="0"/>
                <w:szCs w:val="21"/>
                <w:lang w:bidi="ar"/>
                <w14:textFill>
                  <w14:solidFill>
                    <w14:schemeClr w14:val="tx1"/>
                  </w14:solidFill>
                </w14:textFill>
              </w:rPr>
              <w:t>（HW08）</w:t>
            </w:r>
          </w:p>
        </w:tc>
        <w:tc>
          <w:tcPr>
            <w:tcW w:w="3105" w:type="dxa"/>
            <w:shd w:val="clear" w:color="auto" w:fill="auto"/>
            <w:vAlign w:val="center"/>
          </w:tcPr>
          <w:p w14:paraId="16481D3C">
            <w:pPr>
              <w:widowControl/>
              <w:jc w:val="center"/>
              <w:rPr>
                <w:color w:val="000000" w:themeColor="text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收集存放于危废暂存间内，并与云南达济再生资源回收利用有限公司签订危废处置协议，定期进行危险废物转运与处置。</w:t>
            </w:r>
          </w:p>
        </w:tc>
        <w:tc>
          <w:tcPr>
            <w:tcW w:w="1830" w:type="dxa"/>
            <w:shd w:val="clear" w:color="auto" w:fill="auto"/>
            <w:vAlign w:val="center"/>
          </w:tcPr>
          <w:p w14:paraId="67964A4E">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《危险废物贮存污染控制标准》（</w:t>
            </w:r>
            <w:r>
              <w:rPr>
                <w:color w:val="000000" w:themeColor="text1"/>
                <w:kern w:val="0"/>
                <w:szCs w:val="21"/>
                <w:lang w:bidi="ar"/>
                <w14:textFill>
                  <w14:solidFill>
                    <w14:schemeClr w14:val="tx1"/>
                  </w14:solidFill>
                </w14:textFill>
              </w:rPr>
              <w:t>GB18597-2023</w:t>
            </w:r>
            <w:r>
              <w:rPr>
                <w:rFonts w:hint="eastAsia" w:cs="宋体"/>
                <w:color w:val="000000" w:themeColor="text1"/>
                <w:kern w:val="0"/>
                <w:szCs w:val="21"/>
                <w:lang w:bidi="ar"/>
                <w14:textFill>
                  <w14:solidFill>
                    <w14:schemeClr w14:val="tx1"/>
                  </w14:solidFill>
                </w14:textFill>
              </w:rPr>
              <w:t>）</w:t>
            </w:r>
          </w:p>
        </w:tc>
      </w:tr>
      <w:tr w14:paraId="4A8E3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Merge w:val="continue"/>
            <w:vAlign w:val="center"/>
          </w:tcPr>
          <w:p w14:paraId="1AE48070">
            <w:pPr>
              <w:widowControl/>
              <w:jc w:val="center"/>
            </w:pPr>
          </w:p>
        </w:tc>
        <w:tc>
          <w:tcPr>
            <w:tcW w:w="1504" w:type="dxa"/>
            <w:vMerge w:val="restart"/>
            <w:vAlign w:val="center"/>
          </w:tcPr>
          <w:p w14:paraId="4B201A5C">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待宰间</w:t>
            </w:r>
          </w:p>
        </w:tc>
        <w:tc>
          <w:tcPr>
            <w:tcW w:w="1280" w:type="dxa"/>
            <w:vAlign w:val="center"/>
          </w:tcPr>
          <w:p w14:paraId="29A014D0">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病死羊</w:t>
            </w:r>
          </w:p>
        </w:tc>
        <w:tc>
          <w:tcPr>
            <w:tcW w:w="4935" w:type="dxa"/>
            <w:gridSpan w:val="2"/>
            <w:vAlign w:val="center"/>
          </w:tcPr>
          <w:p w14:paraId="7D4B3DC9">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与石林县题桥环保科技有限公司签订无害化处理委托协议。</w:t>
            </w:r>
          </w:p>
        </w:tc>
      </w:tr>
      <w:tr w14:paraId="4B674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3" w:type="dxa"/>
            <w:vMerge w:val="continue"/>
            <w:vAlign w:val="center"/>
          </w:tcPr>
          <w:p w14:paraId="4D591CC4">
            <w:pPr>
              <w:widowControl/>
              <w:jc w:val="center"/>
            </w:pPr>
          </w:p>
        </w:tc>
        <w:tc>
          <w:tcPr>
            <w:tcW w:w="1504" w:type="dxa"/>
            <w:vMerge w:val="continue"/>
            <w:vAlign w:val="center"/>
          </w:tcPr>
          <w:p w14:paraId="6EB1730D">
            <w:pPr>
              <w:widowControl/>
              <w:jc w:val="center"/>
              <w:rPr>
                <w:rFonts w:cs="宋体"/>
                <w:color w:val="000000" w:themeColor="text1"/>
                <w:kern w:val="0"/>
                <w:szCs w:val="21"/>
                <w:lang w:bidi="ar"/>
                <w14:textFill>
                  <w14:solidFill>
                    <w14:schemeClr w14:val="tx1"/>
                  </w14:solidFill>
                </w14:textFill>
              </w:rPr>
            </w:pPr>
          </w:p>
        </w:tc>
        <w:tc>
          <w:tcPr>
            <w:tcW w:w="1280" w:type="dxa"/>
            <w:vAlign w:val="center"/>
          </w:tcPr>
          <w:p w14:paraId="2897B07C">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羊粪便及肠胃内容物</w:t>
            </w:r>
          </w:p>
        </w:tc>
        <w:tc>
          <w:tcPr>
            <w:tcW w:w="4935" w:type="dxa"/>
            <w:gridSpan w:val="2"/>
            <w:vAlign w:val="center"/>
          </w:tcPr>
          <w:p w14:paraId="5E5A5B23">
            <w:pPr>
              <w:widowControl/>
              <w:jc w:val="center"/>
              <w:rPr>
                <w:rFonts w:cs="宋体"/>
                <w:color w:val="000000" w:themeColor="text1"/>
                <w:kern w:val="0"/>
                <w:szCs w:val="21"/>
                <w:lang w:bidi="ar"/>
                <w14:textFill>
                  <w14:solidFill>
                    <w14:schemeClr w14:val="tx1"/>
                  </w14:solidFill>
                </w14:textFill>
              </w:rPr>
            </w:pPr>
            <w:r>
              <w:rPr>
                <w:rFonts w:hint="eastAsia"/>
                <w:color w:val="000000" w:themeColor="text1"/>
                <w14:textFill>
                  <w14:solidFill>
                    <w14:schemeClr w14:val="tx1"/>
                  </w14:solidFill>
                </w14:textFill>
              </w:rPr>
              <w:t>产生的羊粪便及肠胃内容物统一收集在粪污堆积场堆积之后，根据销售合同出售给张六个人。</w:t>
            </w:r>
          </w:p>
        </w:tc>
      </w:tr>
      <w:tr w14:paraId="75A31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Merge w:val="continue"/>
            <w:vAlign w:val="center"/>
          </w:tcPr>
          <w:p w14:paraId="5372F592">
            <w:pPr>
              <w:widowControl/>
              <w:jc w:val="center"/>
            </w:pPr>
          </w:p>
        </w:tc>
        <w:tc>
          <w:tcPr>
            <w:tcW w:w="1504" w:type="dxa"/>
            <w:shd w:val="clear" w:color="auto" w:fill="auto"/>
            <w:vAlign w:val="center"/>
          </w:tcPr>
          <w:p w14:paraId="7C43C3E4">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屠宰区、家畜交易区、污水处理系统</w:t>
            </w:r>
          </w:p>
        </w:tc>
        <w:tc>
          <w:tcPr>
            <w:tcW w:w="1280" w:type="dxa"/>
            <w:shd w:val="clear" w:color="auto" w:fill="auto"/>
            <w:vAlign w:val="center"/>
          </w:tcPr>
          <w:p w14:paraId="4EBF0A92">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污泥</w:t>
            </w:r>
          </w:p>
        </w:tc>
        <w:tc>
          <w:tcPr>
            <w:tcW w:w="4935" w:type="dxa"/>
            <w:gridSpan w:val="2"/>
            <w:shd w:val="clear" w:color="auto" w:fill="auto"/>
            <w:vAlign w:val="center"/>
          </w:tcPr>
          <w:p w14:paraId="12056FEA">
            <w:pPr>
              <w:widowControl/>
              <w:jc w:val="center"/>
              <w:rPr>
                <w:rFonts w:cs="宋体"/>
                <w:color w:val="000000" w:themeColor="text1"/>
                <w:kern w:val="0"/>
                <w:szCs w:val="21"/>
                <w:lang w:bidi="ar"/>
                <w14:textFill>
                  <w14:solidFill>
                    <w14:schemeClr w14:val="tx1"/>
                  </w14:solidFill>
                </w14:textFill>
              </w:rPr>
            </w:pPr>
            <w:r>
              <w:rPr>
                <w:rFonts w:hint="eastAsia"/>
                <w:color w:val="000000" w:themeColor="text1"/>
                <w14:textFill>
                  <w14:solidFill>
                    <w14:schemeClr w14:val="tx1"/>
                  </w14:solidFill>
                </w14:textFill>
              </w:rPr>
              <w:t>统一收集在粪污堆积场堆积之后，根据销售合同出售给张六个人。</w:t>
            </w:r>
          </w:p>
        </w:tc>
      </w:tr>
      <w:tr w14:paraId="374C3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Align w:val="center"/>
          </w:tcPr>
          <w:p w14:paraId="0C58A6C4">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土壤及地下水污染防治措施</w:t>
            </w:r>
          </w:p>
        </w:tc>
        <w:tc>
          <w:tcPr>
            <w:tcW w:w="7719" w:type="dxa"/>
            <w:gridSpan w:val="4"/>
            <w:vAlign w:val="center"/>
          </w:tcPr>
          <w:p w14:paraId="40026793">
            <w:pPr>
              <w:widowControl/>
              <w:jc w:val="center"/>
              <w:rPr>
                <w:rFonts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项目依托的污水处理设施已进行过防渗处理，场地已全部硬化，可避免废水下渗污染地下水；同时应加强管理，定期对排水管道进行检修和维护，避免废水跑冒滴漏现象的发生，可以有效避免本项目废水的下渗及跑冒滴漏污染地下水及土壤。</w:t>
            </w:r>
          </w:p>
        </w:tc>
      </w:tr>
      <w:tr w14:paraId="75B8A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Align w:val="center"/>
          </w:tcPr>
          <w:p w14:paraId="0232F970">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生态保护措施</w:t>
            </w:r>
          </w:p>
        </w:tc>
        <w:tc>
          <w:tcPr>
            <w:tcW w:w="7719" w:type="dxa"/>
            <w:gridSpan w:val="4"/>
            <w:vAlign w:val="center"/>
          </w:tcPr>
          <w:p w14:paraId="7897E1A6">
            <w:pPr>
              <w:adjustRightInd w:val="0"/>
              <w:snapToGrid w:val="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r>
      <w:tr w14:paraId="5C52B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Align w:val="center"/>
          </w:tcPr>
          <w:p w14:paraId="4793607C">
            <w:pPr>
              <w:adjustRightInd w:val="0"/>
              <w:snapToGrid w:val="0"/>
              <w:jc w:val="center"/>
              <w:rPr>
                <w:rFonts w:cs="宋体"/>
                <w:color w:val="000000" w:themeColor="text1"/>
                <w:spacing w:val="-8"/>
                <w:szCs w:val="21"/>
                <w14:textFill>
                  <w14:solidFill>
                    <w14:schemeClr w14:val="tx1"/>
                  </w14:solidFill>
                </w14:textFill>
              </w:rPr>
            </w:pPr>
            <w:r>
              <w:rPr>
                <w:rFonts w:hint="eastAsia" w:cs="宋体"/>
                <w:color w:val="000000" w:themeColor="text1"/>
                <w:spacing w:val="-8"/>
                <w:szCs w:val="21"/>
                <w:highlight w:val="none"/>
                <w14:textFill>
                  <w14:solidFill>
                    <w14:schemeClr w14:val="tx1"/>
                  </w14:solidFill>
                </w14:textFill>
              </w:rPr>
              <w:t>环境风险防范措施</w:t>
            </w:r>
          </w:p>
        </w:tc>
        <w:tc>
          <w:tcPr>
            <w:tcW w:w="7719" w:type="dxa"/>
            <w:gridSpan w:val="4"/>
            <w:vAlign w:val="center"/>
          </w:tcPr>
          <w:p w14:paraId="19170B07">
            <w:pPr>
              <w:widowControl/>
              <w:jc w:val="left"/>
              <w:rPr>
                <w:rFonts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①</w:t>
            </w:r>
            <w:r>
              <w:rPr>
                <w:rFonts w:hint="eastAsia" w:cs="宋体"/>
                <w:color w:val="000000" w:themeColor="text1"/>
                <w:szCs w:val="21"/>
                <w:lang w:val="en-US" w:eastAsia="zh-CN"/>
                <w14:textFill>
                  <w14:solidFill>
                    <w14:schemeClr w14:val="tx1"/>
                  </w14:solidFill>
                </w14:textFill>
              </w:rPr>
              <w:t>危险物质泄漏防范措施</w:t>
            </w:r>
          </w:p>
          <w:p w14:paraId="757A7B21">
            <w:pPr>
              <w:widowControl/>
              <w:jc w:val="left"/>
              <w:rPr>
                <w:rFonts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A.</w:t>
            </w:r>
            <w:r>
              <w:rPr>
                <w:rFonts w:hint="eastAsia" w:cs="宋体"/>
                <w:color w:val="000000" w:themeColor="text1"/>
                <w:szCs w:val="21"/>
                <w:lang w:val="en-US" w:eastAsia="zh-CN"/>
                <w14:textFill>
                  <w14:solidFill>
                    <w14:schemeClr w14:val="tx1"/>
                  </w14:solidFill>
                </w14:textFill>
              </w:rPr>
              <w:t>在生产过程中严格执行《安全生产法》和《工业企业安全规程》等相关法规中的规定，严格遵守和落实劳动安全、卫生、消防、环保措施及正确的操作规程，预防因为生产操作和火灾、爆炸衍生的突发环境事件；</w:t>
            </w:r>
          </w:p>
          <w:p w14:paraId="3262A044">
            <w:pPr>
              <w:widowControl/>
              <w:jc w:val="left"/>
              <w:rPr>
                <w:rFonts w:hint="default" w:cs="宋体"/>
                <w:color w:val="000000" w:themeColor="text1"/>
                <w:szCs w:val="21"/>
                <w:lang w:val="en-US" w:eastAsia="zh-CN"/>
                <w14:textFill>
                  <w14:solidFill>
                    <w14:schemeClr w14:val="tx1"/>
                  </w14:solidFill>
                </w14:textFill>
              </w:rPr>
            </w:pPr>
            <w:r>
              <w:rPr>
                <w:rFonts w:cs="宋体"/>
                <w:color w:val="000000" w:themeColor="text1"/>
                <w:szCs w:val="21"/>
                <w:lang w:eastAsia="zh-CN"/>
                <w14:textFill>
                  <w14:solidFill>
                    <w14:schemeClr w14:val="tx1"/>
                  </w14:solidFill>
                </w14:textFill>
              </w:rPr>
              <w:t>B.</w:t>
            </w:r>
            <w:r>
              <w:rPr>
                <w:rFonts w:hint="default" w:cs="宋体"/>
                <w:color w:val="000000" w:themeColor="text1"/>
                <w:szCs w:val="21"/>
                <w:lang w:val="en-US" w:eastAsia="zh-CN"/>
                <w14:textFill>
                  <w14:solidFill>
                    <w14:schemeClr w14:val="tx1"/>
                  </w14:solidFill>
                </w14:textFill>
              </w:rPr>
              <w:t>对危废暂存间管理人员进行培训，设置相关的危险废物标识标牌</w:t>
            </w:r>
            <w:r>
              <w:rPr>
                <w:rFonts w:hint="eastAsia" w:cs="宋体"/>
                <w:color w:val="000000" w:themeColor="text1"/>
                <w:szCs w:val="21"/>
                <w:lang w:val="en-US" w:eastAsia="zh-CN"/>
                <w14:textFill>
                  <w14:solidFill>
                    <w14:schemeClr w14:val="tx1"/>
                  </w14:solidFill>
                </w14:textFill>
              </w:rPr>
              <w:t>，</w:t>
            </w:r>
            <w:r>
              <w:rPr>
                <w:rFonts w:hint="default" w:cs="宋体"/>
                <w:color w:val="000000" w:themeColor="text1"/>
                <w:szCs w:val="21"/>
                <w:lang w:val="en-US" w:eastAsia="zh-CN"/>
                <w14:textFill>
                  <w14:solidFill>
                    <w14:schemeClr w14:val="tx1"/>
                  </w14:solidFill>
                </w14:textFill>
              </w:rPr>
              <w:t>尽量避免因操作管理不当造成的环境突发事件；</w:t>
            </w:r>
          </w:p>
          <w:p w14:paraId="5AB9EA14">
            <w:pPr>
              <w:widowControl/>
              <w:jc w:val="left"/>
              <w:rPr>
                <w:rFonts w:cs="宋体"/>
                <w:color w:val="000000" w:themeColor="text1"/>
                <w:szCs w:val="21"/>
                <w:lang w:eastAsia="zh-CN"/>
                <w14:textFill>
                  <w14:solidFill>
                    <w14:schemeClr w14:val="tx1"/>
                  </w14:solidFill>
                </w14:textFill>
              </w:rPr>
            </w:pPr>
            <w:r>
              <w:rPr>
                <w:rFonts w:cs="宋体"/>
                <w:color w:val="000000" w:themeColor="text1"/>
                <w:szCs w:val="21"/>
                <w:lang w:eastAsia="zh-CN"/>
                <w14:textFill>
                  <w14:solidFill>
                    <w14:schemeClr w14:val="tx1"/>
                  </w14:solidFill>
                </w14:textFill>
              </w:rPr>
              <w:t>C.</w:t>
            </w:r>
            <w:r>
              <w:rPr>
                <w:rFonts w:hint="eastAsia" w:cs="宋体"/>
                <w:color w:val="000000" w:themeColor="text1"/>
                <w:szCs w:val="21"/>
                <w:lang w:eastAsia="zh-CN"/>
                <w14:textFill>
                  <w14:solidFill>
                    <w14:schemeClr w14:val="tx1"/>
                  </w14:solidFill>
                </w14:textFill>
              </w:rPr>
              <w:t>储存场所保持阴凉、干燥、通风，远离火种、热源，防止阳光直射；</w:t>
            </w:r>
          </w:p>
          <w:p w14:paraId="20F103FA">
            <w:pPr>
              <w:widowControl/>
              <w:jc w:val="left"/>
              <w:rPr>
                <w:rFonts w:cs="宋体"/>
                <w:color w:val="000000" w:themeColor="text1"/>
                <w:szCs w:val="21"/>
                <w:lang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D</w:t>
            </w:r>
            <w:r>
              <w:rPr>
                <w:rFonts w:cs="宋体"/>
                <w:color w:val="000000" w:themeColor="text1"/>
                <w:szCs w:val="21"/>
                <w:lang w:eastAsia="zh-CN"/>
                <w14:textFill>
                  <w14:solidFill>
                    <w14:schemeClr w14:val="tx1"/>
                  </w14:solidFill>
                </w14:textFill>
              </w:rPr>
              <w:t>.</w:t>
            </w:r>
            <w:r>
              <w:rPr>
                <w:rFonts w:hint="eastAsia" w:cs="宋体"/>
                <w:color w:val="000000" w:themeColor="text1"/>
                <w:szCs w:val="21"/>
                <w:lang w:eastAsia="zh-CN"/>
                <w14:textFill>
                  <w14:solidFill>
                    <w14:schemeClr w14:val="tx1"/>
                  </w14:solidFill>
                </w14:textFill>
              </w:rPr>
              <w:t>定期开展应急消防演练，提高应变能力。</w:t>
            </w:r>
          </w:p>
          <w:p w14:paraId="784EC629">
            <w:pPr>
              <w:widowControl/>
              <w:jc w:val="left"/>
              <w:rPr>
                <w:rFonts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②火灾、爆炸事故风险防范措施</w:t>
            </w:r>
          </w:p>
          <w:p w14:paraId="522B87B5">
            <w:pPr>
              <w:widowControl/>
              <w:jc w:val="left"/>
              <w:rPr>
                <w:rFonts w:cs="宋体"/>
                <w:color w:val="000000" w:themeColor="text1"/>
                <w:szCs w:val="21"/>
                <w:lang w:eastAsia="zh-CN"/>
                <w14:textFill>
                  <w14:solidFill>
                    <w14:schemeClr w14:val="tx1"/>
                  </w14:solidFill>
                </w14:textFill>
              </w:rPr>
            </w:pPr>
            <w:r>
              <w:rPr>
                <w:rFonts w:cs="宋体"/>
                <w:color w:val="000000" w:themeColor="text1"/>
                <w:szCs w:val="21"/>
                <w:lang w:eastAsia="zh-CN"/>
                <w14:textFill>
                  <w14:solidFill>
                    <w14:schemeClr w14:val="tx1"/>
                  </w14:solidFill>
                </w14:textFill>
              </w:rPr>
              <w:t>A.</w:t>
            </w:r>
            <w:r>
              <w:rPr>
                <w:rFonts w:hint="eastAsia" w:cs="宋体"/>
                <w:color w:val="000000" w:themeColor="text1"/>
                <w:szCs w:val="21"/>
                <w:lang w:val="en-US" w:eastAsia="zh-CN"/>
                <w14:textFill>
                  <w14:solidFill>
                    <w14:schemeClr w14:val="tx1"/>
                  </w14:solidFill>
                </w14:textFill>
              </w:rPr>
              <w:t>车间易燃易爆区域</w:t>
            </w:r>
            <w:r>
              <w:rPr>
                <w:rFonts w:hint="default" w:cs="宋体"/>
                <w:color w:val="000000" w:themeColor="text1"/>
                <w:szCs w:val="21"/>
                <w:lang w:val="en-US" w:eastAsia="zh-CN"/>
                <w14:textFill>
                  <w14:solidFill>
                    <w14:schemeClr w14:val="tx1"/>
                  </w14:solidFill>
                </w14:textFill>
              </w:rPr>
              <w:t>不得使用明火</w:t>
            </w:r>
            <w:r>
              <w:rPr>
                <w:rFonts w:hint="eastAsia" w:cs="宋体"/>
                <w:color w:val="000000" w:themeColor="text1"/>
                <w:szCs w:val="21"/>
                <w:lang w:val="en-US" w:eastAsia="zh-CN"/>
                <w14:textFill>
                  <w14:solidFill>
                    <w14:schemeClr w14:val="tx1"/>
                  </w14:solidFill>
                </w14:textFill>
              </w:rPr>
              <w:t>，禁止</w:t>
            </w:r>
            <w:r>
              <w:rPr>
                <w:rFonts w:hint="default" w:cs="宋体"/>
                <w:color w:val="000000" w:themeColor="text1"/>
                <w:szCs w:val="21"/>
                <w:lang w:val="en-US" w:eastAsia="zh-CN"/>
                <w14:textFill>
                  <w14:solidFill>
                    <w14:schemeClr w14:val="tx1"/>
                  </w14:solidFill>
                </w14:textFill>
              </w:rPr>
              <w:t>吸烟</w:t>
            </w:r>
            <w:r>
              <w:rPr>
                <w:rFonts w:hint="eastAsia" w:cs="宋体"/>
                <w:color w:val="000000" w:themeColor="text1"/>
                <w:szCs w:val="21"/>
                <w:lang w:val="en-US" w:eastAsia="zh-CN"/>
                <w14:textFill>
                  <w14:solidFill>
                    <w14:schemeClr w14:val="tx1"/>
                  </w14:solidFill>
                </w14:textFill>
              </w:rPr>
              <w:t>，划定禁火区，在明显地点设置警示标志，输配电线、灯具、火灾事故照明和疏散指示标识要符合安全生产要求；</w:t>
            </w:r>
          </w:p>
          <w:p w14:paraId="73F19305">
            <w:pPr>
              <w:widowControl/>
              <w:jc w:val="left"/>
              <w:rPr>
                <w:rFonts w:cs="宋体"/>
                <w:color w:val="000000" w:themeColor="text1"/>
                <w:szCs w:val="21"/>
                <w:lang w:eastAsia="zh-CN"/>
                <w14:textFill>
                  <w14:solidFill>
                    <w14:schemeClr w14:val="tx1"/>
                  </w14:solidFill>
                </w14:textFill>
              </w:rPr>
            </w:pPr>
            <w:r>
              <w:rPr>
                <w:rFonts w:cs="宋体"/>
                <w:color w:val="000000" w:themeColor="text1"/>
                <w:szCs w:val="21"/>
                <w:lang w:eastAsia="zh-CN"/>
                <w14:textFill>
                  <w14:solidFill>
                    <w14:schemeClr w14:val="tx1"/>
                  </w14:solidFill>
                </w14:textFill>
              </w:rPr>
              <w:t>B.</w:t>
            </w:r>
            <w:r>
              <w:rPr>
                <w:rFonts w:hint="eastAsia" w:cs="宋体"/>
                <w:color w:val="000000" w:themeColor="text1"/>
                <w:szCs w:val="21"/>
                <w:lang w:val="zh-CN" w:eastAsia="zh-CN"/>
                <w14:textFill>
                  <w14:solidFill>
                    <w14:schemeClr w14:val="tx1"/>
                  </w14:solidFill>
                </w14:textFill>
              </w:rPr>
              <w:t>加强对原油库和危废暂存间的监控管理，禁止吸烟、使用明火，设置警示标识标牌，配备消防灭火设备。</w:t>
            </w:r>
          </w:p>
          <w:p w14:paraId="77BE1230">
            <w:pPr>
              <w:widowControl/>
              <w:jc w:val="left"/>
              <w:rPr>
                <w:rFonts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③</w:t>
            </w:r>
            <w:r>
              <w:rPr>
                <w:rFonts w:hint="eastAsia" w:cs="宋体"/>
                <w:color w:val="000000" w:themeColor="text1"/>
                <w:szCs w:val="21"/>
                <w:lang w:val="en-US" w:eastAsia="zh-CN"/>
                <w14:textFill>
                  <w14:solidFill>
                    <w14:schemeClr w14:val="tx1"/>
                  </w14:solidFill>
                </w14:textFill>
              </w:rPr>
              <w:t>污水处理站</w:t>
            </w:r>
            <w:r>
              <w:rPr>
                <w:rFonts w:hint="eastAsia" w:cs="宋体"/>
                <w:color w:val="000000" w:themeColor="text1"/>
                <w:szCs w:val="21"/>
                <w:lang w:eastAsia="zh-CN"/>
                <w14:textFill>
                  <w14:solidFill>
                    <w14:schemeClr w14:val="tx1"/>
                  </w14:solidFill>
                </w14:textFill>
              </w:rPr>
              <w:t>风险防范措施</w:t>
            </w:r>
          </w:p>
          <w:p w14:paraId="6A8C722F">
            <w:pPr>
              <w:widowControl/>
              <w:jc w:val="left"/>
              <w:rPr>
                <w:rFonts w:hint="default" w:cs="宋体"/>
                <w:color w:val="000000" w:themeColor="text1"/>
                <w:szCs w:val="21"/>
                <w:lang w:val="en-US" w:eastAsia="zh-CN"/>
                <w14:textFill>
                  <w14:solidFill>
                    <w14:schemeClr w14:val="tx1"/>
                  </w14:solidFill>
                </w14:textFill>
              </w:rPr>
            </w:pPr>
            <w:r>
              <w:rPr>
                <w:rFonts w:hint="default" w:cs="宋体"/>
                <w:color w:val="000000" w:themeColor="text1"/>
                <w:szCs w:val="21"/>
                <w:lang w:val="en-US" w:eastAsia="zh-CN"/>
                <w14:textFill>
                  <w14:solidFill>
                    <w14:schemeClr w14:val="tx1"/>
                  </w14:solidFill>
                </w14:textFill>
              </w:rPr>
              <w:t>A.加强对污水管网及处理设施的监察与管理，确保污水收集率与处理达标率；</w:t>
            </w:r>
          </w:p>
          <w:p w14:paraId="235AE539">
            <w:pPr>
              <w:widowControl/>
              <w:jc w:val="left"/>
              <w:rPr>
                <w:rFonts w:hint="default" w:cs="宋体"/>
                <w:color w:val="000000" w:themeColor="text1"/>
                <w:szCs w:val="21"/>
                <w:lang w:val="en-US" w:eastAsia="zh-CN"/>
                <w14:textFill>
                  <w14:solidFill>
                    <w14:schemeClr w14:val="tx1"/>
                  </w14:solidFill>
                </w14:textFill>
              </w:rPr>
            </w:pPr>
            <w:r>
              <w:rPr>
                <w:rFonts w:hint="default" w:cs="宋体"/>
                <w:color w:val="000000" w:themeColor="text1"/>
                <w:szCs w:val="21"/>
                <w:lang w:val="en-US" w:eastAsia="zh-CN"/>
                <w14:textFill>
                  <w14:solidFill>
                    <w14:schemeClr w14:val="tx1"/>
                  </w14:solidFill>
                </w14:textFill>
              </w:rPr>
              <w:t>B.关键污水处理设备、易损配件应有备用，在出现故障时应及时更换；</w:t>
            </w:r>
          </w:p>
          <w:p w14:paraId="2E8ED737">
            <w:pPr>
              <w:widowControl/>
              <w:jc w:val="left"/>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C</w:t>
            </w:r>
            <w:r>
              <w:rPr>
                <w:rFonts w:cs="宋体"/>
                <w:color w:val="000000" w:themeColor="text1"/>
                <w:szCs w:val="21"/>
                <w:lang w:eastAsia="zh-CN"/>
                <w14:textFill>
                  <w14:solidFill>
                    <w14:schemeClr w14:val="tx1"/>
                  </w14:solidFill>
                </w14:textFill>
              </w:rPr>
              <w:t>.</w:t>
            </w:r>
            <w:r>
              <w:rPr>
                <w:rFonts w:hint="default" w:cs="宋体"/>
                <w:color w:val="000000" w:themeColor="text1"/>
                <w:szCs w:val="21"/>
                <w:lang w:val="en-US" w:eastAsia="zh-CN"/>
                <w14:textFill>
                  <w14:solidFill>
                    <w14:schemeClr w14:val="tx1"/>
                  </w14:solidFill>
                </w14:textFill>
              </w:rPr>
              <w:t>加强事故苗头监控定期巡查、调节、保养、维修，及时发现有可能引起的事故异常运行苗头。</w:t>
            </w:r>
          </w:p>
          <w:p w14:paraId="2CEAC280">
            <w:pPr>
              <w:widowControl/>
              <w:jc w:val="left"/>
              <w:rPr>
                <w:rFonts w:hint="eastAsia"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④恶臭防范措施</w:t>
            </w:r>
          </w:p>
          <w:p w14:paraId="5ABF504A">
            <w:pPr>
              <w:widowControl/>
              <w:jc w:val="left"/>
              <w:rPr>
                <w:rFonts w:cs="宋体"/>
                <w:color w:val="000000" w:themeColor="text1"/>
                <w:szCs w:val="21"/>
                <w14:textFill>
                  <w14:solidFill>
                    <w14:schemeClr w14:val="tx1"/>
                  </w14:solidFill>
                </w14:textFill>
              </w:rPr>
            </w:pPr>
            <w:r>
              <w:rPr>
                <w:rFonts w:hint="default" w:cs="宋体"/>
                <w:color w:val="000000" w:themeColor="text1"/>
                <w:szCs w:val="21"/>
                <w:lang w:val="en-US" w:eastAsia="zh-CN"/>
                <w14:textFill>
                  <w14:solidFill>
                    <w14:schemeClr w14:val="tx1"/>
                  </w14:solidFill>
                </w14:textFill>
              </w:rPr>
              <w:t>及时安排相关工作人员清理处置牲畜粪便，污水处理站产生的污泥及时处置外运，定期对地面进行清洗。</w:t>
            </w:r>
          </w:p>
        </w:tc>
      </w:tr>
      <w:tr w14:paraId="2CD49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3" w:type="dxa"/>
            <w:vAlign w:val="center"/>
          </w:tcPr>
          <w:p w14:paraId="6B902CEF">
            <w:pPr>
              <w:adjustRightInd w:val="0"/>
              <w:snapToGrid w:val="0"/>
              <w:jc w:val="center"/>
              <w:rPr>
                <w:rFonts w:cs="宋体"/>
                <w:color w:val="000000" w:themeColor="text1"/>
                <w:spacing w:val="-8"/>
                <w:szCs w:val="21"/>
                <w14:textFill>
                  <w14:solidFill>
                    <w14:schemeClr w14:val="tx1"/>
                  </w14:solidFill>
                </w14:textFill>
              </w:rPr>
            </w:pPr>
            <w:r>
              <w:rPr>
                <w:rFonts w:hint="eastAsia" w:cs="宋体"/>
                <w:color w:val="000000" w:themeColor="text1"/>
                <w:spacing w:val="-8"/>
                <w:szCs w:val="21"/>
                <w14:textFill>
                  <w14:solidFill>
                    <w14:schemeClr w14:val="tx1"/>
                  </w14:solidFill>
                </w14:textFill>
              </w:rPr>
              <w:t>其他环境管理要求</w:t>
            </w:r>
          </w:p>
        </w:tc>
        <w:tc>
          <w:tcPr>
            <w:tcW w:w="7719" w:type="dxa"/>
            <w:gridSpan w:val="4"/>
            <w:vAlign w:val="center"/>
          </w:tcPr>
          <w:p w14:paraId="1518C6A9">
            <w:pPr>
              <w:widowControl/>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（1）根据《固定污染源排污许可分类管理名录（2019版）》中要求，本项目需实行排污许可简化管理，项目建成后，应根据《排污许可管理条例》《排污许可管理办法》进行排污许可证重新申请或变更工作。</w:t>
            </w:r>
          </w:p>
          <w:p w14:paraId="728A025B">
            <w:pPr>
              <w:widowControl/>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（2）根据《建设项目竣工环境保护验收暂行办法》的规定，项目竣工后，应依法进行竣工环境保护验收。</w:t>
            </w:r>
          </w:p>
          <w:p w14:paraId="33894968">
            <w:pPr>
              <w:widowControl/>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（3）加强对职工的环境保护意识培训，制定严格的环保规章制度，并认真贯彻落实。</w:t>
            </w:r>
          </w:p>
          <w:p w14:paraId="34D1E76F">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（4）“三同时”环保竣工验收内容</w:t>
            </w:r>
          </w:p>
          <w:p w14:paraId="73A86031">
            <w:pPr>
              <w:pStyle w:val="30"/>
              <w:rPr>
                <w:rFonts w:hint="default"/>
              </w:rPr>
            </w:pPr>
            <w:r>
              <w:t>表5-1项目“三同时”环保验收一览表</w:t>
            </w:r>
          </w:p>
          <w:tbl>
            <w:tblPr>
              <w:tblStyle w:val="21"/>
              <w:tblW w:w="7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58"/>
              <w:gridCol w:w="1290"/>
              <w:gridCol w:w="1710"/>
              <w:gridCol w:w="1815"/>
              <w:gridCol w:w="1115"/>
            </w:tblGrid>
            <w:tr w14:paraId="0F91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5" w:type="dxa"/>
                  <w:vAlign w:val="center"/>
                </w:tcPr>
                <w:p w14:paraId="1D7F33F6">
                  <w:pPr>
                    <w:jc w:val="center"/>
                    <w:textAlignment w:val="center"/>
                    <w:rPr>
                      <w:rFonts w:cs="微软雅黑"/>
                      <w:b/>
                      <w:bCs/>
                      <w:color w:val="000000" w:themeColor="text1"/>
                      <w:kern w:val="0"/>
                      <w:szCs w:val="21"/>
                      <w:lang w:bidi="ar"/>
                      <w14:textFill>
                        <w14:solidFill>
                          <w14:schemeClr w14:val="tx1"/>
                        </w14:solidFill>
                      </w14:textFill>
                    </w:rPr>
                  </w:pPr>
                  <w:r>
                    <w:rPr>
                      <w:rFonts w:hint="eastAsia" w:cs="微软雅黑"/>
                      <w:b/>
                      <w:bCs/>
                      <w:color w:val="000000" w:themeColor="text1"/>
                      <w:kern w:val="0"/>
                      <w:szCs w:val="21"/>
                      <w:lang w:bidi="ar"/>
                      <w14:textFill>
                        <w14:solidFill>
                          <w14:schemeClr w14:val="tx1"/>
                        </w14:solidFill>
                      </w14:textFill>
                    </w:rPr>
                    <w:t>序号</w:t>
                  </w:r>
                </w:p>
              </w:tc>
              <w:tc>
                <w:tcPr>
                  <w:tcW w:w="958" w:type="dxa"/>
                  <w:vAlign w:val="center"/>
                </w:tcPr>
                <w:p w14:paraId="33F91718">
                  <w:pPr>
                    <w:jc w:val="center"/>
                    <w:textAlignment w:val="center"/>
                    <w:rPr>
                      <w:rFonts w:cs="微软雅黑"/>
                      <w:b/>
                      <w:bCs/>
                      <w:color w:val="000000" w:themeColor="text1"/>
                      <w:kern w:val="0"/>
                      <w:szCs w:val="21"/>
                      <w:lang w:bidi="ar"/>
                      <w14:textFill>
                        <w14:solidFill>
                          <w14:schemeClr w14:val="tx1"/>
                        </w14:solidFill>
                      </w14:textFill>
                    </w:rPr>
                  </w:pPr>
                  <w:r>
                    <w:rPr>
                      <w:rFonts w:hint="eastAsia" w:cs="微软雅黑"/>
                      <w:b/>
                      <w:bCs/>
                      <w:color w:val="000000" w:themeColor="text1"/>
                      <w:kern w:val="0"/>
                      <w:szCs w:val="21"/>
                      <w:lang w:bidi="ar"/>
                      <w14:textFill>
                        <w14:solidFill>
                          <w14:schemeClr w14:val="tx1"/>
                        </w14:solidFill>
                      </w14:textFill>
                    </w:rPr>
                    <w:t>类别</w:t>
                  </w:r>
                </w:p>
              </w:tc>
              <w:tc>
                <w:tcPr>
                  <w:tcW w:w="1290" w:type="dxa"/>
                  <w:vAlign w:val="center"/>
                </w:tcPr>
                <w:p w14:paraId="75F7CC6E">
                  <w:pPr>
                    <w:jc w:val="center"/>
                    <w:textAlignment w:val="center"/>
                    <w:rPr>
                      <w:rFonts w:cs="微软雅黑"/>
                      <w:b/>
                      <w:bCs/>
                      <w:color w:val="000000" w:themeColor="text1"/>
                      <w:kern w:val="0"/>
                      <w:szCs w:val="21"/>
                      <w:lang w:bidi="ar"/>
                      <w14:textFill>
                        <w14:solidFill>
                          <w14:schemeClr w14:val="tx1"/>
                        </w14:solidFill>
                      </w14:textFill>
                    </w:rPr>
                  </w:pPr>
                  <w:r>
                    <w:rPr>
                      <w:rFonts w:hint="eastAsia" w:cs="微软雅黑"/>
                      <w:b/>
                      <w:bCs/>
                      <w:color w:val="000000" w:themeColor="text1"/>
                      <w:kern w:val="0"/>
                      <w:szCs w:val="21"/>
                      <w:lang w:bidi="ar"/>
                      <w14:textFill>
                        <w14:solidFill>
                          <w14:schemeClr w14:val="tx1"/>
                        </w14:solidFill>
                      </w14:textFill>
                    </w:rPr>
                    <w:t>项目</w:t>
                  </w:r>
                </w:p>
              </w:tc>
              <w:tc>
                <w:tcPr>
                  <w:tcW w:w="1710" w:type="dxa"/>
                  <w:vAlign w:val="center"/>
                </w:tcPr>
                <w:p w14:paraId="3E6A9A90">
                  <w:pPr>
                    <w:jc w:val="center"/>
                    <w:textAlignment w:val="center"/>
                    <w:rPr>
                      <w:rFonts w:cs="微软雅黑"/>
                      <w:b/>
                      <w:bCs/>
                      <w:color w:val="000000" w:themeColor="text1"/>
                      <w:kern w:val="0"/>
                      <w:szCs w:val="21"/>
                      <w:lang w:bidi="ar"/>
                      <w14:textFill>
                        <w14:solidFill>
                          <w14:schemeClr w14:val="tx1"/>
                        </w14:solidFill>
                      </w14:textFill>
                    </w:rPr>
                  </w:pPr>
                  <w:r>
                    <w:rPr>
                      <w:rFonts w:hint="eastAsia" w:cs="微软雅黑"/>
                      <w:b/>
                      <w:bCs/>
                      <w:color w:val="000000" w:themeColor="text1"/>
                      <w:kern w:val="0"/>
                      <w:szCs w:val="21"/>
                      <w:lang w:bidi="ar"/>
                      <w14:textFill>
                        <w14:solidFill>
                          <w14:schemeClr w14:val="tx1"/>
                        </w14:solidFill>
                      </w14:textFill>
                    </w:rPr>
                    <w:t>环保措施</w:t>
                  </w:r>
                </w:p>
              </w:tc>
              <w:tc>
                <w:tcPr>
                  <w:tcW w:w="1815" w:type="dxa"/>
                  <w:vAlign w:val="center"/>
                </w:tcPr>
                <w:p w14:paraId="1AB850DE">
                  <w:pPr>
                    <w:jc w:val="center"/>
                    <w:textAlignment w:val="center"/>
                    <w:rPr>
                      <w:rFonts w:cs="微软雅黑"/>
                      <w:b/>
                      <w:bCs/>
                      <w:color w:val="000000" w:themeColor="text1"/>
                      <w:kern w:val="0"/>
                      <w:szCs w:val="21"/>
                      <w:lang w:bidi="ar"/>
                      <w14:textFill>
                        <w14:solidFill>
                          <w14:schemeClr w14:val="tx1"/>
                        </w14:solidFill>
                      </w14:textFill>
                    </w:rPr>
                  </w:pPr>
                  <w:r>
                    <w:rPr>
                      <w:rFonts w:hint="eastAsia" w:cs="微软雅黑"/>
                      <w:b/>
                      <w:bCs/>
                      <w:color w:val="000000" w:themeColor="text1"/>
                      <w:kern w:val="0"/>
                      <w:szCs w:val="21"/>
                      <w:lang w:bidi="ar"/>
                      <w14:textFill>
                        <w14:solidFill>
                          <w14:schemeClr w14:val="tx1"/>
                        </w14:solidFill>
                      </w14:textFill>
                    </w:rPr>
                    <w:t>执行标准</w:t>
                  </w:r>
                </w:p>
              </w:tc>
              <w:tc>
                <w:tcPr>
                  <w:tcW w:w="1115" w:type="dxa"/>
                  <w:vAlign w:val="center"/>
                </w:tcPr>
                <w:p w14:paraId="2C032439">
                  <w:pPr>
                    <w:jc w:val="center"/>
                    <w:textAlignment w:val="center"/>
                    <w:rPr>
                      <w:rFonts w:cs="微软雅黑"/>
                      <w:b/>
                      <w:bCs/>
                      <w:color w:val="000000" w:themeColor="text1"/>
                      <w:kern w:val="0"/>
                      <w:szCs w:val="21"/>
                      <w:lang w:bidi="ar"/>
                      <w14:textFill>
                        <w14:solidFill>
                          <w14:schemeClr w14:val="tx1"/>
                        </w14:solidFill>
                      </w14:textFill>
                    </w:rPr>
                  </w:pPr>
                  <w:r>
                    <w:rPr>
                      <w:rFonts w:hint="eastAsia" w:cs="微软雅黑"/>
                      <w:b/>
                      <w:bCs/>
                      <w:color w:val="000000" w:themeColor="text1"/>
                      <w:kern w:val="0"/>
                      <w:szCs w:val="21"/>
                      <w:lang w:bidi="ar"/>
                      <w14:textFill>
                        <w14:solidFill>
                          <w14:schemeClr w14:val="tx1"/>
                        </w14:solidFill>
                      </w14:textFill>
                    </w:rPr>
                    <w:t>验收内容</w:t>
                  </w:r>
                </w:p>
              </w:tc>
            </w:tr>
            <w:tr w14:paraId="10C7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615" w:type="dxa"/>
                  <w:vAlign w:val="center"/>
                </w:tcPr>
                <w:p w14:paraId="5A3AAAFF">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1</w:t>
                  </w:r>
                </w:p>
              </w:tc>
              <w:tc>
                <w:tcPr>
                  <w:tcW w:w="958" w:type="dxa"/>
                  <w:vAlign w:val="center"/>
                </w:tcPr>
                <w:p w14:paraId="17BEE044">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废气</w:t>
                  </w:r>
                </w:p>
              </w:tc>
              <w:tc>
                <w:tcPr>
                  <w:tcW w:w="1290" w:type="dxa"/>
                  <w:vAlign w:val="center"/>
                </w:tcPr>
                <w:p w14:paraId="10AE4C33">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厂界无组织废气</w:t>
                  </w:r>
                </w:p>
              </w:tc>
              <w:tc>
                <w:tcPr>
                  <w:tcW w:w="1710" w:type="dxa"/>
                  <w:vAlign w:val="center"/>
                </w:tcPr>
                <w:p w14:paraId="09ADFC8C">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1.对地面进行大规模清扫和冲洗，保持干净整洁，不留死角。</w:t>
                  </w:r>
                </w:p>
                <w:p w14:paraId="72BE4D4A">
                  <w:pPr>
                    <w:jc w:val="center"/>
                    <w:textAlignment w:val="center"/>
                    <w:rPr>
                      <w:rFonts w:cs="微软雅黑"/>
                      <w:color w:val="000000" w:themeColor="text1"/>
                      <w:kern w:val="0"/>
                      <w:szCs w:val="21"/>
                      <w:highlight w:val="yellow"/>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2.屠宰区能保持空气的缓慢流通，保持空气清洁</w:t>
                  </w:r>
                </w:p>
              </w:tc>
              <w:tc>
                <w:tcPr>
                  <w:tcW w:w="1815" w:type="dxa"/>
                  <w:vAlign w:val="center"/>
                </w:tcPr>
                <w:p w14:paraId="09A80633">
                  <w:pPr>
                    <w:jc w:val="center"/>
                    <w:textAlignment w:val="center"/>
                    <w:rPr>
                      <w:rFonts w:cs="微软雅黑"/>
                      <w:color w:val="000000" w:themeColor="text1"/>
                      <w:kern w:val="0"/>
                      <w:szCs w:val="21"/>
                      <w:highlight w:val="yellow"/>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《恶臭污染物排放标准》（GB14554-93）表1中标准排放限值</w:t>
                  </w:r>
                </w:p>
              </w:tc>
              <w:tc>
                <w:tcPr>
                  <w:tcW w:w="1115" w:type="dxa"/>
                  <w:vAlign w:val="center"/>
                </w:tcPr>
                <w:p w14:paraId="0E027ED0">
                  <w:pPr>
                    <w:jc w:val="center"/>
                    <w:textAlignment w:val="center"/>
                    <w:rPr>
                      <w:rFonts w:cs="微软雅黑"/>
                      <w:color w:val="000000" w:themeColor="text1"/>
                      <w:kern w:val="0"/>
                      <w:szCs w:val="21"/>
                      <w:highlight w:val="yellow"/>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NH</w:t>
                  </w:r>
                  <w:r>
                    <w:rPr>
                      <w:rFonts w:hint="eastAsia" w:cs="微软雅黑"/>
                      <w:color w:val="000000" w:themeColor="text1"/>
                      <w:kern w:val="0"/>
                      <w:szCs w:val="21"/>
                      <w:vertAlign w:val="subscript"/>
                      <w:lang w:bidi="ar"/>
                      <w14:textFill>
                        <w14:solidFill>
                          <w14:schemeClr w14:val="tx1"/>
                        </w14:solidFill>
                      </w14:textFill>
                    </w:rPr>
                    <w:t>3</w:t>
                  </w:r>
                  <w:r>
                    <w:rPr>
                      <w:rFonts w:hint="eastAsia" w:cs="微软雅黑"/>
                      <w:color w:val="000000" w:themeColor="text1"/>
                      <w:kern w:val="0"/>
                      <w:szCs w:val="21"/>
                      <w:lang w:bidi="ar"/>
                      <w14:textFill>
                        <w14:solidFill>
                          <w14:schemeClr w14:val="tx1"/>
                        </w14:solidFill>
                      </w14:textFill>
                    </w:rPr>
                    <w:t>、H</w:t>
                  </w:r>
                  <w:r>
                    <w:rPr>
                      <w:rFonts w:hint="eastAsia" w:cs="微软雅黑"/>
                      <w:color w:val="000000" w:themeColor="text1"/>
                      <w:kern w:val="0"/>
                      <w:szCs w:val="21"/>
                      <w:vertAlign w:val="subscript"/>
                      <w:lang w:bidi="ar"/>
                      <w14:textFill>
                        <w14:solidFill>
                          <w14:schemeClr w14:val="tx1"/>
                        </w14:solidFill>
                      </w14:textFill>
                    </w:rPr>
                    <w:t>2</w:t>
                  </w:r>
                  <w:r>
                    <w:rPr>
                      <w:rFonts w:hint="eastAsia" w:cs="微软雅黑"/>
                      <w:color w:val="000000" w:themeColor="text1"/>
                      <w:kern w:val="0"/>
                      <w:szCs w:val="21"/>
                      <w:lang w:bidi="ar"/>
                      <w14:textFill>
                        <w14:solidFill>
                          <w14:schemeClr w14:val="tx1"/>
                        </w14:solidFill>
                      </w14:textFill>
                    </w:rPr>
                    <w:t>S、臭气浓度</w:t>
                  </w:r>
                </w:p>
              </w:tc>
            </w:tr>
            <w:tr w14:paraId="4DC1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5" w:type="dxa"/>
                  <w:vAlign w:val="center"/>
                </w:tcPr>
                <w:p w14:paraId="5815CB27">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2</w:t>
                  </w:r>
                </w:p>
              </w:tc>
              <w:tc>
                <w:tcPr>
                  <w:tcW w:w="958" w:type="dxa"/>
                  <w:vAlign w:val="center"/>
                </w:tcPr>
                <w:p w14:paraId="571F8E27">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废水</w:t>
                  </w:r>
                </w:p>
              </w:tc>
              <w:tc>
                <w:tcPr>
                  <w:tcW w:w="1290" w:type="dxa"/>
                  <w:vAlign w:val="center"/>
                </w:tcPr>
                <w:p w14:paraId="709D5917">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w:t>
                  </w:r>
                </w:p>
              </w:tc>
              <w:tc>
                <w:tcPr>
                  <w:tcW w:w="1710" w:type="dxa"/>
                  <w:vAlign w:val="center"/>
                </w:tcPr>
                <w:p w14:paraId="5F6FA8E9">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w:t>
                  </w:r>
                </w:p>
              </w:tc>
              <w:tc>
                <w:tcPr>
                  <w:tcW w:w="1815" w:type="dxa"/>
                  <w:vAlign w:val="center"/>
                </w:tcPr>
                <w:p w14:paraId="59AFDFAA">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w:t>
                  </w:r>
                </w:p>
              </w:tc>
              <w:tc>
                <w:tcPr>
                  <w:tcW w:w="1115" w:type="dxa"/>
                  <w:vAlign w:val="center"/>
                </w:tcPr>
                <w:p w14:paraId="4B24619C">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w:t>
                  </w:r>
                </w:p>
              </w:tc>
            </w:tr>
            <w:tr w14:paraId="45D0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5" w:type="dxa"/>
                  <w:vAlign w:val="center"/>
                </w:tcPr>
                <w:p w14:paraId="14E14DEF">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3</w:t>
                  </w:r>
                </w:p>
              </w:tc>
              <w:tc>
                <w:tcPr>
                  <w:tcW w:w="958" w:type="dxa"/>
                  <w:vAlign w:val="center"/>
                </w:tcPr>
                <w:p w14:paraId="22778266">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噪声</w:t>
                  </w:r>
                </w:p>
              </w:tc>
              <w:tc>
                <w:tcPr>
                  <w:tcW w:w="1290" w:type="dxa"/>
                  <w:vAlign w:val="center"/>
                </w:tcPr>
                <w:p w14:paraId="5DD23BD9">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脱毛机、屠宰区、待宰圈舍羊叫</w:t>
                  </w:r>
                </w:p>
              </w:tc>
              <w:tc>
                <w:tcPr>
                  <w:tcW w:w="1710" w:type="dxa"/>
                  <w:vAlign w:val="center"/>
                </w:tcPr>
                <w:p w14:paraId="1F2323E5">
                  <w:pPr>
                    <w:widowControl/>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采取隔声减振措施，距离衰减</w:t>
                  </w:r>
                </w:p>
              </w:tc>
              <w:tc>
                <w:tcPr>
                  <w:tcW w:w="1815" w:type="dxa"/>
                  <w:vAlign w:val="center"/>
                </w:tcPr>
                <w:p w14:paraId="2224CAA8">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《工业企业厂界环境噪声排放标准》（GB）（GB12348-2008)中2类标准</w:t>
                  </w:r>
                </w:p>
              </w:tc>
              <w:tc>
                <w:tcPr>
                  <w:tcW w:w="1115" w:type="dxa"/>
                  <w:vAlign w:val="center"/>
                </w:tcPr>
                <w:p w14:paraId="787F46ED">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Leq（A）</w:t>
                  </w:r>
                </w:p>
              </w:tc>
            </w:tr>
            <w:tr w14:paraId="0BE0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5" w:type="dxa"/>
                  <w:vAlign w:val="center"/>
                </w:tcPr>
                <w:p w14:paraId="79122691">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4</w:t>
                  </w:r>
                </w:p>
              </w:tc>
              <w:tc>
                <w:tcPr>
                  <w:tcW w:w="958" w:type="dxa"/>
                  <w:vAlign w:val="center"/>
                </w:tcPr>
                <w:p w14:paraId="485E73F9">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土壤、地下水</w:t>
                  </w:r>
                </w:p>
              </w:tc>
              <w:tc>
                <w:tcPr>
                  <w:tcW w:w="1290" w:type="dxa"/>
                  <w:vAlign w:val="center"/>
                </w:tcPr>
                <w:p w14:paraId="6A93F57D">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土壤、地下水污染防治措施</w:t>
                  </w:r>
                </w:p>
              </w:tc>
              <w:tc>
                <w:tcPr>
                  <w:tcW w:w="1710" w:type="dxa"/>
                  <w:vAlign w:val="center"/>
                </w:tcPr>
                <w:p w14:paraId="493DBB0A">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待宰间和屠宰间地面均已硬化</w:t>
                  </w:r>
                </w:p>
              </w:tc>
              <w:tc>
                <w:tcPr>
                  <w:tcW w:w="1815" w:type="dxa"/>
                  <w:vAlign w:val="center"/>
                </w:tcPr>
                <w:p w14:paraId="603D476C">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有效防治土壤、地下水污染</w:t>
                  </w:r>
                </w:p>
              </w:tc>
              <w:tc>
                <w:tcPr>
                  <w:tcW w:w="1115" w:type="dxa"/>
                  <w:vAlign w:val="center"/>
                </w:tcPr>
                <w:p w14:paraId="29E9DD71">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地面硬化</w:t>
                  </w:r>
                </w:p>
              </w:tc>
            </w:tr>
            <w:tr w14:paraId="7046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5" w:type="dxa"/>
                  <w:vAlign w:val="center"/>
                </w:tcPr>
                <w:p w14:paraId="518CCB20">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5</w:t>
                  </w:r>
                </w:p>
              </w:tc>
              <w:tc>
                <w:tcPr>
                  <w:tcW w:w="958" w:type="dxa"/>
                  <w:vAlign w:val="center"/>
                </w:tcPr>
                <w:p w14:paraId="21596152">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事故防范</w:t>
                  </w:r>
                </w:p>
              </w:tc>
              <w:tc>
                <w:tcPr>
                  <w:tcW w:w="1290" w:type="dxa"/>
                  <w:vAlign w:val="center"/>
                </w:tcPr>
                <w:p w14:paraId="7CF74055">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事故防范措施</w:t>
                  </w:r>
                </w:p>
              </w:tc>
              <w:tc>
                <w:tcPr>
                  <w:tcW w:w="1710" w:type="dxa"/>
                  <w:vAlign w:val="center"/>
                </w:tcPr>
                <w:p w14:paraId="346BE9E7">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按照要求配备消防、防护器材等应急物资，危险废物暂存于危废储存场所中定期处置</w:t>
                  </w:r>
                </w:p>
              </w:tc>
              <w:tc>
                <w:tcPr>
                  <w:tcW w:w="1815" w:type="dxa"/>
                  <w:vAlign w:val="center"/>
                </w:tcPr>
                <w:p w14:paraId="2AF9017C">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控制事故发生和影响</w:t>
                  </w:r>
                </w:p>
              </w:tc>
              <w:tc>
                <w:tcPr>
                  <w:tcW w:w="1115" w:type="dxa"/>
                  <w:vAlign w:val="center"/>
                </w:tcPr>
                <w:p w14:paraId="2DBABF39">
                  <w:pPr>
                    <w:jc w:val="center"/>
                    <w:textAlignment w:val="center"/>
                    <w:rPr>
                      <w:rFonts w:cs="微软雅黑"/>
                      <w:color w:val="000000" w:themeColor="text1"/>
                      <w:kern w:val="0"/>
                      <w:szCs w:val="21"/>
                      <w:lang w:bidi="ar"/>
                      <w14:textFill>
                        <w14:solidFill>
                          <w14:schemeClr w14:val="tx1"/>
                        </w14:solidFill>
                      </w14:textFill>
                    </w:rPr>
                  </w:pPr>
                  <w:r>
                    <w:rPr>
                      <w:rFonts w:hint="eastAsia" w:cs="微软雅黑"/>
                      <w:color w:val="000000" w:themeColor="text1"/>
                      <w:kern w:val="0"/>
                      <w:szCs w:val="21"/>
                      <w:lang w:bidi="ar"/>
                      <w14:textFill>
                        <w14:solidFill>
                          <w14:schemeClr w14:val="tx1"/>
                        </w14:solidFill>
                      </w14:textFill>
                    </w:rPr>
                    <w:t>消防、防护器材</w:t>
                  </w:r>
                </w:p>
              </w:tc>
            </w:tr>
          </w:tbl>
          <w:p w14:paraId="66E65195">
            <w:pPr>
              <w:widowControl/>
              <w:jc w:val="left"/>
              <w:rPr>
                <w:rFonts w:cs="宋体"/>
                <w:color w:val="000000" w:themeColor="text1"/>
                <w:szCs w:val="21"/>
                <w14:textFill>
                  <w14:solidFill>
                    <w14:schemeClr w14:val="tx1"/>
                  </w14:solidFill>
                </w14:textFill>
              </w:rPr>
            </w:pPr>
          </w:p>
        </w:tc>
      </w:tr>
    </w:tbl>
    <w:p w14:paraId="738EEAA9">
      <w:pPr>
        <w:pStyle w:val="16"/>
        <w:jc w:val="center"/>
        <w:outlineLvl w:val="0"/>
        <w:rPr>
          <w:rFonts w:ascii="Times New Roman" w:hAnsi="Times New Roman"/>
          <w:snapToGrid w:val="0"/>
          <w:color w:val="000000" w:themeColor="text1"/>
          <w:sz w:val="36"/>
          <w:szCs w:val="36"/>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bookmarkStart w:id="11" w:name="_Toc14905"/>
      <w:r>
        <w:rPr>
          <w:rFonts w:hint="eastAsia" w:ascii="Times New Roman" w:hAnsi="Times New Roman"/>
          <w:snapToGrid w:val="0"/>
          <w:color w:val="000000" w:themeColor="text1"/>
          <w:sz w:val="36"/>
          <w:szCs w:val="36"/>
          <w14:textFill>
            <w14:solidFill>
              <w14:schemeClr w14:val="tx1"/>
            </w14:solidFill>
          </w14:textFill>
        </w:rPr>
        <w:t>六、结论</w:t>
      </w:r>
      <w:bookmarkEnd w:id="11"/>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46A3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4CCD3EF8">
            <w:pPr>
              <w:pStyle w:val="3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改建肉羊屠宰间符合国家产业政策，选址及总体布局合理；项目配套有污水处理站处理、危废暂存间等环保设施；项目屠宰废水及生活污水经管道流入现有的污水处理系统进行处理；运营期所产生的屠宰废水经管道流入现有的污水处理系统进行处理，净化后的水用于绿化浇灌，清洁卫生和喷洒扬尘等，不外排。屠宰固废得到合理处置。环境影响在可接受范围内，环境风险可控。</w:t>
            </w:r>
          </w:p>
          <w:p w14:paraId="78F58762">
            <w:pPr>
              <w:pStyle w:val="3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评价认为，在建设单位认真实施本环评提出的废水、废气、噪声、固体废物治理措施及生态保护措施，落实环保各项投资，强化管理的前提下，从环保角度来看，本项目的建设可行。</w:t>
            </w:r>
          </w:p>
          <w:p w14:paraId="7E57ABE4">
            <w:pPr>
              <w:spacing w:line="360" w:lineRule="auto"/>
              <w:rPr>
                <w:rFonts w:cs="宋体"/>
                <w:color w:val="000000" w:themeColor="text1"/>
                <w:sz w:val="24"/>
                <w14:textFill>
                  <w14:solidFill>
                    <w14:schemeClr w14:val="tx1"/>
                  </w14:solidFill>
                </w14:textFill>
              </w:rPr>
            </w:pPr>
          </w:p>
        </w:tc>
      </w:tr>
    </w:tbl>
    <w:p w14:paraId="7A95FE72">
      <w:pPr>
        <w:rPr>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p>
    <w:p w14:paraId="674F5924">
      <w:pPr>
        <w:pStyle w:val="16"/>
        <w:spacing w:before="0" w:beforeAutospacing="0" w:after="0" w:afterAutospacing="0"/>
        <w:outlineLvl w:val="0"/>
        <w:rPr>
          <w:rFonts w:ascii="Times New Roman" w:hAnsi="Times New Roman"/>
          <w:b/>
          <w:bCs/>
          <w:snapToGrid w:val="0"/>
          <w:color w:val="000000" w:themeColor="text1"/>
          <w:sz w:val="36"/>
          <w:szCs w:val="36"/>
          <w14:textFill>
            <w14:solidFill>
              <w14:schemeClr w14:val="tx1"/>
            </w14:solidFill>
          </w14:textFill>
        </w:rPr>
      </w:pPr>
      <w:bookmarkStart w:id="12" w:name="_Toc26397"/>
      <w:r>
        <w:rPr>
          <w:rFonts w:hint="eastAsia" w:ascii="Times New Roman" w:hAnsi="Times New Roman"/>
          <w:b/>
          <w:bCs/>
          <w:snapToGrid w:val="0"/>
          <w:color w:val="000000" w:themeColor="text1"/>
          <w:sz w:val="36"/>
          <w:szCs w:val="36"/>
          <w14:textFill>
            <w14:solidFill>
              <w14:schemeClr w14:val="tx1"/>
            </w14:solidFill>
          </w14:textFill>
        </w:rPr>
        <w:t>附表</w:t>
      </w:r>
      <w:bookmarkEnd w:id="12"/>
    </w:p>
    <w:p w14:paraId="6A1BB27C">
      <w:pPr>
        <w:pStyle w:val="16"/>
        <w:spacing w:before="0" w:beforeAutospacing="0" w:after="0" w:afterAutospacing="0"/>
        <w:jc w:val="center"/>
        <w:outlineLvl w:val="0"/>
        <w:rPr>
          <w:rFonts w:ascii="Times New Roman" w:hAnsi="Times New Roman"/>
          <w:b/>
          <w:bCs/>
          <w:snapToGrid w:val="0"/>
          <w:color w:val="000000" w:themeColor="text1"/>
          <w:sz w:val="36"/>
          <w:szCs w:val="36"/>
          <w14:textFill>
            <w14:solidFill>
              <w14:schemeClr w14:val="tx1"/>
            </w14:solidFill>
          </w14:textFill>
        </w:rPr>
      </w:pPr>
      <w:bookmarkStart w:id="13" w:name="_Toc19740"/>
      <w:r>
        <w:rPr>
          <w:rFonts w:hint="eastAsia" w:ascii="Times New Roman" w:hAnsi="Times New Roman"/>
          <w:b/>
          <w:bCs/>
          <w:snapToGrid w:val="0"/>
          <w:color w:val="000000" w:themeColor="text1"/>
          <w:sz w:val="36"/>
          <w:szCs w:val="36"/>
          <w14:textFill>
            <w14:solidFill>
              <w14:schemeClr w14:val="tx1"/>
            </w14:solidFill>
          </w14:textFill>
        </w:rPr>
        <w:t>建设项目污染物排放量汇总表</w:t>
      </w:r>
      <w:bookmarkEnd w:id="13"/>
    </w:p>
    <w:tbl>
      <w:tblPr>
        <w:tblStyle w:val="20"/>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8"/>
        <w:gridCol w:w="1705"/>
        <w:gridCol w:w="1514"/>
        <w:gridCol w:w="1500"/>
        <w:gridCol w:w="1541"/>
        <w:gridCol w:w="1470"/>
        <w:gridCol w:w="1747"/>
        <w:gridCol w:w="1038"/>
      </w:tblGrid>
      <w:tr w14:paraId="1FAFE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tcBorders>
              <w:tl2br w:val="single" w:color="auto" w:sz="4" w:space="0"/>
            </w:tcBorders>
            <w:tcMar>
              <w:left w:w="28" w:type="dxa"/>
              <w:right w:w="28" w:type="dxa"/>
            </w:tcMar>
            <w:vAlign w:val="center"/>
          </w:tcPr>
          <w:p w14:paraId="439B3B47">
            <w:pPr>
              <w:pStyle w:val="28"/>
              <w:jc w:val="right"/>
              <w:rPr>
                <w:rFonts w:cs="宋体"/>
                <w:b/>
                <w:bCs/>
                <w:snapToGrid w:val="0"/>
                <w:color w:val="000000" w:themeColor="text1"/>
                <w:spacing w:val="-6"/>
                <w:kern w:val="21"/>
                <w14:textFill>
                  <w14:solidFill>
                    <w14:schemeClr w14:val="tx1"/>
                  </w14:solidFill>
                </w14:textFill>
              </w:rPr>
            </w:pPr>
            <w:r>
              <w:rPr>
                <w:rFonts w:hint="eastAsia" w:cs="宋体"/>
                <w:b/>
                <w:bCs/>
                <w:snapToGrid w:val="0"/>
                <w:color w:val="000000" w:themeColor="text1"/>
                <w:spacing w:val="-6"/>
                <w:kern w:val="21"/>
                <w14:textFill>
                  <w14:solidFill>
                    <w14:schemeClr w14:val="tx1"/>
                  </w14:solidFill>
                </w14:textFill>
              </w:rPr>
              <w:t>项目</w:t>
            </w:r>
          </w:p>
          <w:p w14:paraId="353DF2C7">
            <w:pPr>
              <w:pStyle w:val="28"/>
              <w:jc w:val="left"/>
              <w:rPr>
                <w:rFonts w:cs="宋体"/>
                <w:b/>
                <w:bCs/>
                <w:snapToGrid w:val="0"/>
                <w:color w:val="000000" w:themeColor="text1"/>
                <w:spacing w:val="-6"/>
                <w:kern w:val="21"/>
                <w14:textFill>
                  <w14:solidFill>
                    <w14:schemeClr w14:val="tx1"/>
                  </w14:solidFill>
                </w14:textFill>
              </w:rPr>
            </w:pPr>
            <w:r>
              <w:rPr>
                <w:rFonts w:hint="eastAsia" w:cs="宋体"/>
                <w:b/>
                <w:bCs/>
                <w:snapToGrid w:val="0"/>
                <w:color w:val="000000" w:themeColor="text1"/>
                <w:spacing w:val="-6"/>
                <w:kern w:val="21"/>
                <w14:textFill>
                  <w14:solidFill>
                    <w14:schemeClr w14:val="tx1"/>
                  </w14:solidFill>
                </w14:textFill>
              </w:rPr>
              <w:t>分类</w:t>
            </w:r>
          </w:p>
        </w:tc>
        <w:tc>
          <w:tcPr>
            <w:tcW w:w="2268" w:type="dxa"/>
            <w:tcMar>
              <w:left w:w="28" w:type="dxa"/>
              <w:right w:w="28" w:type="dxa"/>
            </w:tcMar>
            <w:vAlign w:val="center"/>
          </w:tcPr>
          <w:p w14:paraId="249789EC">
            <w:pPr>
              <w:pStyle w:val="28"/>
              <w:rPr>
                <w:rFonts w:cs="宋体"/>
                <w:b/>
                <w:bCs/>
                <w:snapToGrid w:val="0"/>
                <w:color w:val="000000" w:themeColor="text1"/>
                <w:spacing w:val="-6"/>
                <w:kern w:val="21"/>
                <w14:textFill>
                  <w14:solidFill>
                    <w14:schemeClr w14:val="tx1"/>
                  </w14:solidFill>
                </w14:textFill>
              </w:rPr>
            </w:pPr>
            <w:r>
              <w:rPr>
                <w:rFonts w:hint="eastAsia" w:cs="宋体"/>
                <w:b/>
                <w:bCs/>
                <w:snapToGrid w:val="0"/>
                <w:color w:val="000000" w:themeColor="text1"/>
                <w:spacing w:val="-6"/>
                <w:kern w:val="21"/>
                <w14:textFill>
                  <w14:solidFill>
                    <w14:schemeClr w14:val="tx1"/>
                  </w14:solidFill>
                </w14:textFill>
              </w:rPr>
              <w:t>污染物名称</w:t>
            </w:r>
          </w:p>
        </w:tc>
        <w:tc>
          <w:tcPr>
            <w:tcW w:w="1705" w:type="dxa"/>
            <w:tcMar>
              <w:left w:w="28" w:type="dxa"/>
              <w:right w:w="28" w:type="dxa"/>
            </w:tcMar>
            <w:vAlign w:val="center"/>
          </w:tcPr>
          <w:p w14:paraId="6492DD1A">
            <w:pPr>
              <w:pStyle w:val="28"/>
              <w:rPr>
                <w:b/>
                <w:bCs/>
                <w:snapToGrid w:val="0"/>
                <w:color w:val="000000" w:themeColor="text1"/>
                <w:spacing w:val="-6"/>
                <w:kern w:val="21"/>
                <w14:textFill>
                  <w14:solidFill>
                    <w14:schemeClr w14:val="tx1"/>
                  </w14:solidFill>
                </w14:textFill>
              </w:rPr>
            </w:pPr>
            <w:r>
              <w:rPr>
                <w:b/>
                <w:bCs/>
                <w:snapToGrid w:val="0"/>
                <w:color w:val="000000" w:themeColor="text1"/>
                <w:spacing w:val="-6"/>
                <w:kern w:val="21"/>
                <w14:textFill>
                  <w14:solidFill>
                    <w14:schemeClr w14:val="tx1"/>
                  </w14:solidFill>
                </w14:textFill>
              </w:rPr>
              <w:t>现有工程排放量（固</w:t>
            </w:r>
            <w:r>
              <w:rPr>
                <w:rFonts w:hint="eastAsia"/>
                <w:b/>
                <w:bCs/>
                <w:snapToGrid w:val="0"/>
                <w:color w:val="000000" w:themeColor="text1"/>
                <w:spacing w:val="-6"/>
                <w:kern w:val="21"/>
                <w14:textFill>
                  <w14:solidFill>
                    <w14:schemeClr w14:val="tx1"/>
                  </w14:solidFill>
                </w14:textFill>
              </w:rPr>
              <w:t>体</w:t>
            </w:r>
            <w:r>
              <w:rPr>
                <w:b/>
                <w:bCs/>
                <w:snapToGrid w:val="0"/>
                <w:color w:val="000000" w:themeColor="text1"/>
                <w:spacing w:val="-6"/>
                <w:kern w:val="21"/>
                <w14:textFill>
                  <w14:solidFill>
                    <w14:schemeClr w14:val="tx1"/>
                  </w14:solidFill>
                </w14:textFill>
              </w:rPr>
              <w:t>废</w:t>
            </w:r>
            <w:r>
              <w:rPr>
                <w:rFonts w:hint="eastAsia"/>
                <w:b/>
                <w:bCs/>
                <w:snapToGrid w:val="0"/>
                <w:color w:val="000000" w:themeColor="text1"/>
                <w:spacing w:val="-6"/>
                <w:kern w:val="21"/>
                <w14:textFill>
                  <w14:solidFill>
                    <w14:schemeClr w14:val="tx1"/>
                  </w14:solidFill>
                </w14:textFill>
              </w:rPr>
              <w:t>物</w:t>
            </w:r>
            <w:r>
              <w:rPr>
                <w:b/>
                <w:bCs/>
                <w:snapToGrid w:val="0"/>
                <w:color w:val="000000" w:themeColor="text1"/>
                <w:spacing w:val="-6"/>
                <w:kern w:val="21"/>
                <w14:textFill>
                  <w14:solidFill>
                    <w14:schemeClr w14:val="tx1"/>
                  </w14:solidFill>
                </w14:textFill>
              </w:rPr>
              <w:t>产生量）</w:t>
            </w:r>
            <w:r>
              <w:rPr>
                <w:b/>
                <w:bCs/>
                <w:snapToGrid w:val="0"/>
                <w:color w:val="000000" w:themeColor="text1"/>
                <w:spacing w:val="-6"/>
                <w:kern w:val="21"/>
                <w14:textFill>
                  <w14:solidFill>
                    <w14:schemeClr w14:val="tx1"/>
                  </w14:solidFill>
                </w14:textFill>
              </w:rPr>
              <w:fldChar w:fldCharType="begin"/>
            </w:r>
            <w:r>
              <w:rPr>
                <w:b/>
                <w:bCs/>
                <w:snapToGrid w:val="0"/>
                <w:color w:val="000000" w:themeColor="text1"/>
                <w:spacing w:val="-6"/>
                <w:kern w:val="21"/>
                <w14:textFill>
                  <w14:solidFill>
                    <w14:schemeClr w14:val="tx1"/>
                  </w14:solidFill>
                </w14:textFill>
              </w:rPr>
              <w:instrText xml:space="preserve">=1\*GB3\*MERGEFORMAT</w:instrText>
            </w:r>
            <w:r>
              <w:rPr>
                <w:b/>
                <w:bCs/>
                <w:snapToGrid w:val="0"/>
                <w:color w:val="000000" w:themeColor="text1"/>
                <w:spacing w:val="-6"/>
                <w:kern w:val="21"/>
                <w14:textFill>
                  <w14:solidFill>
                    <w14:schemeClr w14:val="tx1"/>
                  </w14:solidFill>
                </w14:textFill>
              </w:rPr>
              <w:fldChar w:fldCharType="separate"/>
            </w:r>
            <w:r>
              <w:rPr>
                <w:rFonts w:hint="eastAsia" w:cs="宋体"/>
                <w:b/>
                <w:bCs/>
                <w:color w:val="000000" w:themeColor="text1"/>
                <w:kern w:val="2"/>
                <w14:textFill>
                  <w14:solidFill>
                    <w14:schemeClr w14:val="tx1"/>
                  </w14:solidFill>
                </w14:textFill>
              </w:rPr>
              <w:t>①</w:t>
            </w:r>
            <w:r>
              <w:rPr>
                <w:b/>
                <w:bCs/>
                <w:snapToGrid w:val="0"/>
                <w:color w:val="000000" w:themeColor="text1"/>
                <w:spacing w:val="-6"/>
                <w:kern w:val="21"/>
                <w14:textFill>
                  <w14:solidFill>
                    <w14:schemeClr w14:val="tx1"/>
                  </w14:solidFill>
                </w14:textFill>
              </w:rPr>
              <w:fldChar w:fldCharType="end"/>
            </w:r>
          </w:p>
        </w:tc>
        <w:tc>
          <w:tcPr>
            <w:tcW w:w="1514" w:type="dxa"/>
            <w:tcMar>
              <w:left w:w="28" w:type="dxa"/>
              <w:right w:w="28" w:type="dxa"/>
            </w:tcMar>
            <w:vAlign w:val="center"/>
          </w:tcPr>
          <w:p w14:paraId="71391B63">
            <w:pPr>
              <w:pStyle w:val="28"/>
              <w:rPr>
                <w:b/>
                <w:bCs/>
                <w:snapToGrid w:val="0"/>
                <w:color w:val="000000" w:themeColor="text1"/>
                <w:spacing w:val="-6"/>
                <w:kern w:val="21"/>
                <w14:textFill>
                  <w14:solidFill>
                    <w14:schemeClr w14:val="tx1"/>
                  </w14:solidFill>
                </w14:textFill>
              </w:rPr>
            </w:pPr>
            <w:r>
              <w:rPr>
                <w:b/>
                <w:bCs/>
                <w:snapToGrid w:val="0"/>
                <w:color w:val="000000" w:themeColor="text1"/>
                <w:spacing w:val="-6"/>
                <w:kern w:val="21"/>
                <w14:textFill>
                  <w14:solidFill>
                    <w14:schemeClr w14:val="tx1"/>
                  </w14:solidFill>
                </w14:textFill>
              </w:rPr>
              <w:t>现有工程许可排放量</w:t>
            </w:r>
            <w:r>
              <w:rPr>
                <w:b/>
                <w:bCs/>
                <w:snapToGrid w:val="0"/>
                <w:color w:val="000000" w:themeColor="text1"/>
                <w:spacing w:val="-6"/>
                <w:kern w:val="21"/>
                <w14:textFill>
                  <w14:solidFill>
                    <w14:schemeClr w14:val="tx1"/>
                  </w14:solidFill>
                </w14:textFill>
              </w:rPr>
              <w:fldChar w:fldCharType="begin"/>
            </w:r>
            <w:r>
              <w:rPr>
                <w:b/>
                <w:bCs/>
                <w:snapToGrid w:val="0"/>
                <w:color w:val="000000" w:themeColor="text1"/>
                <w:spacing w:val="-6"/>
                <w:kern w:val="21"/>
                <w14:textFill>
                  <w14:solidFill>
                    <w14:schemeClr w14:val="tx1"/>
                  </w14:solidFill>
                </w14:textFill>
              </w:rPr>
              <w:instrText xml:space="preserve">=2\*GB3\*MERGEFORMAT</w:instrText>
            </w:r>
            <w:r>
              <w:rPr>
                <w:b/>
                <w:bCs/>
                <w:snapToGrid w:val="0"/>
                <w:color w:val="000000" w:themeColor="text1"/>
                <w:spacing w:val="-6"/>
                <w:kern w:val="21"/>
                <w14:textFill>
                  <w14:solidFill>
                    <w14:schemeClr w14:val="tx1"/>
                  </w14:solidFill>
                </w14:textFill>
              </w:rPr>
              <w:fldChar w:fldCharType="separate"/>
            </w:r>
            <w:r>
              <w:rPr>
                <w:rFonts w:hint="eastAsia" w:cs="宋体"/>
                <w:b/>
                <w:bCs/>
                <w:snapToGrid w:val="0"/>
                <w:color w:val="000000" w:themeColor="text1"/>
                <w:spacing w:val="-6"/>
                <w:kern w:val="21"/>
                <w14:textFill>
                  <w14:solidFill>
                    <w14:schemeClr w14:val="tx1"/>
                  </w14:solidFill>
                </w14:textFill>
              </w:rPr>
              <w:t>②</w:t>
            </w:r>
            <w:r>
              <w:rPr>
                <w:b/>
                <w:bCs/>
                <w:snapToGrid w:val="0"/>
                <w:color w:val="000000" w:themeColor="text1"/>
                <w:spacing w:val="-6"/>
                <w:kern w:val="21"/>
                <w14:textFill>
                  <w14:solidFill>
                    <w14:schemeClr w14:val="tx1"/>
                  </w14:solidFill>
                </w14:textFill>
              </w:rPr>
              <w:fldChar w:fldCharType="end"/>
            </w:r>
          </w:p>
        </w:tc>
        <w:tc>
          <w:tcPr>
            <w:tcW w:w="1500" w:type="dxa"/>
            <w:tcMar>
              <w:left w:w="28" w:type="dxa"/>
              <w:right w:w="28" w:type="dxa"/>
            </w:tcMar>
            <w:vAlign w:val="center"/>
          </w:tcPr>
          <w:p w14:paraId="36DCA937">
            <w:pPr>
              <w:pStyle w:val="28"/>
              <w:rPr>
                <w:b/>
                <w:bCs/>
                <w:snapToGrid w:val="0"/>
                <w:color w:val="000000" w:themeColor="text1"/>
                <w:spacing w:val="-6"/>
                <w:kern w:val="21"/>
                <w14:textFill>
                  <w14:solidFill>
                    <w14:schemeClr w14:val="tx1"/>
                  </w14:solidFill>
                </w14:textFill>
              </w:rPr>
            </w:pPr>
            <w:r>
              <w:rPr>
                <w:b/>
                <w:bCs/>
                <w:snapToGrid w:val="0"/>
                <w:color w:val="000000" w:themeColor="text1"/>
                <w:spacing w:val="-6"/>
                <w:kern w:val="21"/>
                <w14:textFill>
                  <w14:solidFill>
                    <w14:schemeClr w14:val="tx1"/>
                  </w14:solidFill>
                </w14:textFill>
              </w:rPr>
              <w:t>在建工程排放量（固</w:t>
            </w:r>
            <w:r>
              <w:rPr>
                <w:rFonts w:hint="eastAsia"/>
                <w:b/>
                <w:bCs/>
                <w:snapToGrid w:val="0"/>
                <w:color w:val="000000" w:themeColor="text1"/>
                <w:spacing w:val="-6"/>
                <w:kern w:val="21"/>
                <w14:textFill>
                  <w14:solidFill>
                    <w14:schemeClr w14:val="tx1"/>
                  </w14:solidFill>
                </w14:textFill>
              </w:rPr>
              <w:t>体</w:t>
            </w:r>
            <w:r>
              <w:rPr>
                <w:b/>
                <w:bCs/>
                <w:snapToGrid w:val="0"/>
                <w:color w:val="000000" w:themeColor="text1"/>
                <w:spacing w:val="-6"/>
                <w:kern w:val="21"/>
                <w14:textFill>
                  <w14:solidFill>
                    <w14:schemeClr w14:val="tx1"/>
                  </w14:solidFill>
                </w14:textFill>
              </w:rPr>
              <w:t>废</w:t>
            </w:r>
            <w:r>
              <w:rPr>
                <w:rFonts w:hint="eastAsia"/>
                <w:b/>
                <w:bCs/>
                <w:snapToGrid w:val="0"/>
                <w:color w:val="000000" w:themeColor="text1"/>
                <w:spacing w:val="-6"/>
                <w:kern w:val="21"/>
                <w14:textFill>
                  <w14:solidFill>
                    <w14:schemeClr w14:val="tx1"/>
                  </w14:solidFill>
                </w14:textFill>
              </w:rPr>
              <w:t>物</w:t>
            </w:r>
            <w:r>
              <w:rPr>
                <w:b/>
                <w:bCs/>
                <w:snapToGrid w:val="0"/>
                <w:color w:val="000000" w:themeColor="text1"/>
                <w:spacing w:val="-6"/>
                <w:kern w:val="21"/>
                <w14:textFill>
                  <w14:solidFill>
                    <w14:schemeClr w14:val="tx1"/>
                  </w14:solidFill>
                </w14:textFill>
              </w:rPr>
              <w:t>产生量）</w:t>
            </w:r>
            <w:r>
              <w:rPr>
                <w:b/>
                <w:bCs/>
                <w:snapToGrid w:val="0"/>
                <w:color w:val="000000" w:themeColor="text1"/>
                <w:spacing w:val="-6"/>
                <w:kern w:val="21"/>
                <w14:textFill>
                  <w14:solidFill>
                    <w14:schemeClr w14:val="tx1"/>
                  </w14:solidFill>
                </w14:textFill>
              </w:rPr>
              <w:fldChar w:fldCharType="begin"/>
            </w:r>
            <w:r>
              <w:rPr>
                <w:b/>
                <w:bCs/>
                <w:snapToGrid w:val="0"/>
                <w:color w:val="000000" w:themeColor="text1"/>
                <w:spacing w:val="-6"/>
                <w:kern w:val="21"/>
                <w14:textFill>
                  <w14:solidFill>
                    <w14:schemeClr w14:val="tx1"/>
                  </w14:solidFill>
                </w14:textFill>
              </w:rPr>
              <w:instrText xml:space="preserve">=3\*GB3\*MERGEFORMAT</w:instrText>
            </w:r>
            <w:r>
              <w:rPr>
                <w:b/>
                <w:bCs/>
                <w:snapToGrid w:val="0"/>
                <w:color w:val="000000" w:themeColor="text1"/>
                <w:spacing w:val="-6"/>
                <w:kern w:val="21"/>
                <w14:textFill>
                  <w14:solidFill>
                    <w14:schemeClr w14:val="tx1"/>
                  </w14:solidFill>
                </w14:textFill>
              </w:rPr>
              <w:fldChar w:fldCharType="separate"/>
            </w:r>
            <w:r>
              <w:rPr>
                <w:rFonts w:hint="eastAsia" w:cs="宋体"/>
                <w:b/>
                <w:bCs/>
                <w:color w:val="000000" w:themeColor="text1"/>
                <w:kern w:val="2"/>
                <w14:textFill>
                  <w14:solidFill>
                    <w14:schemeClr w14:val="tx1"/>
                  </w14:solidFill>
                </w14:textFill>
              </w:rPr>
              <w:t>③</w:t>
            </w:r>
            <w:r>
              <w:rPr>
                <w:b/>
                <w:bCs/>
                <w:snapToGrid w:val="0"/>
                <w:color w:val="000000" w:themeColor="text1"/>
                <w:spacing w:val="-6"/>
                <w:kern w:val="21"/>
                <w14:textFill>
                  <w14:solidFill>
                    <w14:schemeClr w14:val="tx1"/>
                  </w14:solidFill>
                </w14:textFill>
              </w:rPr>
              <w:fldChar w:fldCharType="end"/>
            </w:r>
          </w:p>
        </w:tc>
        <w:tc>
          <w:tcPr>
            <w:tcW w:w="1541" w:type="dxa"/>
            <w:tcMar>
              <w:left w:w="28" w:type="dxa"/>
              <w:right w:w="28" w:type="dxa"/>
            </w:tcMar>
            <w:vAlign w:val="center"/>
          </w:tcPr>
          <w:p w14:paraId="4A546D62">
            <w:pPr>
              <w:pStyle w:val="28"/>
              <w:rPr>
                <w:b/>
                <w:bCs/>
                <w:snapToGrid w:val="0"/>
                <w:color w:val="000000" w:themeColor="text1"/>
                <w:spacing w:val="-6"/>
                <w:kern w:val="21"/>
                <w14:textFill>
                  <w14:solidFill>
                    <w14:schemeClr w14:val="tx1"/>
                  </w14:solidFill>
                </w14:textFill>
              </w:rPr>
            </w:pPr>
            <w:r>
              <w:rPr>
                <w:b/>
                <w:bCs/>
                <w:snapToGrid w:val="0"/>
                <w:color w:val="000000" w:themeColor="text1"/>
                <w:spacing w:val="-6"/>
                <w:kern w:val="21"/>
                <w14:textFill>
                  <w14:solidFill>
                    <w14:schemeClr w14:val="tx1"/>
                  </w14:solidFill>
                </w14:textFill>
              </w:rPr>
              <w:t>本项目排放量（固</w:t>
            </w:r>
            <w:r>
              <w:rPr>
                <w:rFonts w:hint="eastAsia"/>
                <w:b/>
                <w:bCs/>
                <w:snapToGrid w:val="0"/>
                <w:color w:val="000000" w:themeColor="text1"/>
                <w:spacing w:val="-6"/>
                <w:kern w:val="21"/>
                <w14:textFill>
                  <w14:solidFill>
                    <w14:schemeClr w14:val="tx1"/>
                  </w14:solidFill>
                </w14:textFill>
              </w:rPr>
              <w:t>体</w:t>
            </w:r>
            <w:r>
              <w:rPr>
                <w:b/>
                <w:bCs/>
                <w:snapToGrid w:val="0"/>
                <w:color w:val="000000" w:themeColor="text1"/>
                <w:spacing w:val="-6"/>
                <w:kern w:val="21"/>
                <w14:textFill>
                  <w14:solidFill>
                    <w14:schemeClr w14:val="tx1"/>
                  </w14:solidFill>
                </w14:textFill>
              </w:rPr>
              <w:t>废</w:t>
            </w:r>
            <w:r>
              <w:rPr>
                <w:rFonts w:hint="eastAsia"/>
                <w:b/>
                <w:bCs/>
                <w:snapToGrid w:val="0"/>
                <w:color w:val="000000" w:themeColor="text1"/>
                <w:spacing w:val="-6"/>
                <w:kern w:val="21"/>
                <w14:textFill>
                  <w14:solidFill>
                    <w14:schemeClr w14:val="tx1"/>
                  </w14:solidFill>
                </w14:textFill>
              </w:rPr>
              <w:t>物</w:t>
            </w:r>
            <w:r>
              <w:rPr>
                <w:b/>
                <w:bCs/>
                <w:snapToGrid w:val="0"/>
                <w:color w:val="000000" w:themeColor="text1"/>
                <w:spacing w:val="-6"/>
                <w:kern w:val="21"/>
                <w14:textFill>
                  <w14:solidFill>
                    <w14:schemeClr w14:val="tx1"/>
                  </w14:solidFill>
                </w14:textFill>
              </w:rPr>
              <w:t>产生量）</w:t>
            </w:r>
            <w:r>
              <w:rPr>
                <w:b/>
                <w:bCs/>
                <w:snapToGrid w:val="0"/>
                <w:color w:val="000000" w:themeColor="text1"/>
                <w:spacing w:val="-6"/>
                <w:kern w:val="21"/>
                <w14:textFill>
                  <w14:solidFill>
                    <w14:schemeClr w14:val="tx1"/>
                  </w14:solidFill>
                </w14:textFill>
              </w:rPr>
              <w:fldChar w:fldCharType="begin"/>
            </w:r>
            <w:r>
              <w:rPr>
                <w:b/>
                <w:bCs/>
                <w:snapToGrid w:val="0"/>
                <w:color w:val="000000" w:themeColor="text1"/>
                <w:spacing w:val="-6"/>
                <w:kern w:val="21"/>
                <w14:textFill>
                  <w14:solidFill>
                    <w14:schemeClr w14:val="tx1"/>
                  </w14:solidFill>
                </w14:textFill>
              </w:rPr>
              <w:instrText xml:space="preserve">=4\*GB3\*MERGEFORMAT</w:instrText>
            </w:r>
            <w:r>
              <w:rPr>
                <w:b/>
                <w:bCs/>
                <w:snapToGrid w:val="0"/>
                <w:color w:val="000000" w:themeColor="text1"/>
                <w:spacing w:val="-6"/>
                <w:kern w:val="21"/>
                <w14:textFill>
                  <w14:solidFill>
                    <w14:schemeClr w14:val="tx1"/>
                  </w14:solidFill>
                </w14:textFill>
              </w:rPr>
              <w:fldChar w:fldCharType="separate"/>
            </w:r>
            <w:r>
              <w:rPr>
                <w:rFonts w:hint="eastAsia" w:cs="宋体"/>
                <w:b/>
                <w:bCs/>
                <w:color w:val="000000" w:themeColor="text1"/>
                <w:kern w:val="2"/>
                <w14:textFill>
                  <w14:solidFill>
                    <w14:schemeClr w14:val="tx1"/>
                  </w14:solidFill>
                </w14:textFill>
              </w:rPr>
              <w:t>④</w:t>
            </w:r>
            <w:r>
              <w:rPr>
                <w:b/>
                <w:bCs/>
                <w:snapToGrid w:val="0"/>
                <w:color w:val="000000" w:themeColor="text1"/>
                <w:spacing w:val="-6"/>
                <w:kern w:val="21"/>
                <w14:textFill>
                  <w14:solidFill>
                    <w14:schemeClr w14:val="tx1"/>
                  </w14:solidFill>
                </w14:textFill>
              </w:rPr>
              <w:fldChar w:fldCharType="end"/>
            </w:r>
          </w:p>
        </w:tc>
        <w:tc>
          <w:tcPr>
            <w:tcW w:w="1470" w:type="dxa"/>
            <w:tcMar>
              <w:left w:w="28" w:type="dxa"/>
              <w:right w:w="28" w:type="dxa"/>
            </w:tcMar>
            <w:vAlign w:val="center"/>
          </w:tcPr>
          <w:p w14:paraId="23F5309B">
            <w:pPr>
              <w:pStyle w:val="28"/>
              <w:rPr>
                <w:b/>
                <w:bCs/>
                <w:snapToGrid w:val="0"/>
                <w:color w:val="000000" w:themeColor="text1"/>
                <w:spacing w:val="-16"/>
                <w:kern w:val="21"/>
                <w14:textFill>
                  <w14:solidFill>
                    <w14:schemeClr w14:val="tx1"/>
                  </w14:solidFill>
                </w14:textFill>
              </w:rPr>
            </w:pPr>
            <w:r>
              <w:rPr>
                <w:b/>
                <w:bCs/>
                <w:snapToGrid w:val="0"/>
                <w:color w:val="000000" w:themeColor="text1"/>
                <w:spacing w:val="-16"/>
                <w:kern w:val="21"/>
                <w14:textFill>
                  <w14:solidFill>
                    <w14:schemeClr w14:val="tx1"/>
                  </w14:solidFill>
                </w14:textFill>
              </w:rPr>
              <w:t>以新带老削减量（新建项目不填）</w:t>
            </w:r>
            <w:r>
              <w:rPr>
                <w:b/>
                <w:bCs/>
                <w:snapToGrid w:val="0"/>
                <w:color w:val="000000" w:themeColor="text1"/>
                <w:spacing w:val="-16"/>
                <w:kern w:val="21"/>
                <w14:textFill>
                  <w14:solidFill>
                    <w14:schemeClr w14:val="tx1"/>
                  </w14:solidFill>
                </w14:textFill>
              </w:rPr>
              <w:fldChar w:fldCharType="begin"/>
            </w:r>
            <w:r>
              <w:rPr>
                <w:b/>
                <w:bCs/>
                <w:snapToGrid w:val="0"/>
                <w:color w:val="000000" w:themeColor="text1"/>
                <w:spacing w:val="-16"/>
                <w:kern w:val="21"/>
                <w14:textFill>
                  <w14:solidFill>
                    <w14:schemeClr w14:val="tx1"/>
                  </w14:solidFill>
                </w14:textFill>
              </w:rPr>
              <w:instrText xml:space="preserve">=5\*GB3\*MERGEFORMAT</w:instrText>
            </w:r>
            <w:r>
              <w:rPr>
                <w:b/>
                <w:bCs/>
                <w:snapToGrid w:val="0"/>
                <w:color w:val="000000" w:themeColor="text1"/>
                <w:spacing w:val="-16"/>
                <w:kern w:val="21"/>
                <w14:textFill>
                  <w14:solidFill>
                    <w14:schemeClr w14:val="tx1"/>
                  </w14:solidFill>
                </w14:textFill>
              </w:rPr>
              <w:fldChar w:fldCharType="separate"/>
            </w:r>
            <w:r>
              <w:rPr>
                <w:rFonts w:hint="eastAsia" w:cs="宋体"/>
                <w:b/>
                <w:bCs/>
                <w:color w:val="000000" w:themeColor="text1"/>
                <w:kern w:val="2"/>
                <w14:textFill>
                  <w14:solidFill>
                    <w14:schemeClr w14:val="tx1"/>
                  </w14:solidFill>
                </w14:textFill>
              </w:rPr>
              <w:t>⑤</w:t>
            </w:r>
            <w:r>
              <w:rPr>
                <w:b/>
                <w:bCs/>
                <w:snapToGrid w:val="0"/>
                <w:color w:val="000000" w:themeColor="text1"/>
                <w:spacing w:val="-16"/>
                <w:kern w:val="21"/>
                <w14:textFill>
                  <w14:solidFill>
                    <w14:schemeClr w14:val="tx1"/>
                  </w14:solidFill>
                </w14:textFill>
              </w:rPr>
              <w:fldChar w:fldCharType="end"/>
            </w:r>
          </w:p>
        </w:tc>
        <w:tc>
          <w:tcPr>
            <w:tcW w:w="1747" w:type="dxa"/>
            <w:tcMar>
              <w:left w:w="28" w:type="dxa"/>
              <w:right w:w="28" w:type="dxa"/>
            </w:tcMar>
            <w:vAlign w:val="center"/>
          </w:tcPr>
          <w:p w14:paraId="10566249">
            <w:pPr>
              <w:pStyle w:val="28"/>
              <w:rPr>
                <w:b/>
                <w:bCs/>
                <w:snapToGrid w:val="0"/>
                <w:color w:val="000000" w:themeColor="text1"/>
                <w:spacing w:val="-16"/>
                <w:kern w:val="21"/>
                <w14:textFill>
                  <w14:solidFill>
                    <w14:schemeClr w14:val="tx1"/>
                  </w14:solidFill>
                </w14:textFill>
              </w:rPr>
            </w:pPr>
            <w:r>
              <w:rPr>
                <w:b/>
                <w:bCs/>
                <w:snapToGrid w:val="0"/>
                <w:color w:val="000000" w:themeColor="text1"/>
                <w:spacing w:val="-16"/>
                <w:kern w:val="21"/>
                <w14:textFill>
                  <w14:solidFill>
                    <w14:schemeClr w14:val="tx1"/>
                  </w14:solidFill>
                </w14:textFill>
              </w:rPr>
              <w:t>本项目建成后</w:t>
            </w:r>
          </w:p>
          <w:p w14:paraId="5D0531EE">
            <w:pPr>
              <w:pStyle w:val="28"/>
              <w:rPr>
                <w:b/>
                <w:bCs/>
                <w:snapToGrid w:val="0"/>
                <w:color w:val="000000" w:themeColor="text1"/>
                <w:spacing w:val="-16"/>
                <w:kern w:val="21"/>
                <w14:textFill>
                  <w14:solidFill>
                    <w14:schemeClr w14:val="tx1"/>
                  </w14:solidFill>
                </w14:textFill>
              </w:rPr>
            </w:pPr>
            <w:r>
              <w:rPr>
                <w:rFonts w:hint="eastAsia"/>
                <w:b/>
                <w:bCs/>
                <w:snapToGrid w:val="0"/>
                <w:color w:val="000000" w:themeColor="text1"/>
                <w:spacing w:val="-16"/>
                <w:kern w:val="21"/>
                <w14:textFill>
                  <w14:solidFill>
                    <w14:schemeClr w14:val="tx1"/>
                  </w14:solidFill>
                </w14:textFill>
              </w:rPr>
              <w:t>全厂</w:t>
            </w:r>
            <w:r>
              <w:rPr>
                <w:b/>
                <w:bCs/>
                <w:snapToGrid w:val="0"/>
                <w:color w:val="000000" w:themeColor="text1"/>
                <w:spacing w:val="-16"/>
                <w:kern w:val="21"/>
                <w14:textFill>
                  <w14:solidFill>
                    <w14:schemeClr w14:val="tx1"/>
                  </w14:solidFill>
                </w14:textFill>
              </w:rPr>
              <w:t>排放量（固</w:t>
            </w:r>
            <w:r>
              <w:rPr>
                <w:rFonts w:hint="eastAsia"/>
                <w:b/>
                <w:bCs/>
                <w:snapToGrid w:val="0"/>
                <w:color w:val="000000" w:themeColor="text1"/>
                <w:spacing w:val="-16"/>
                <w:kern w:val="21"/>
                <w14:textFill>
                  <w14:solidFill>
                    <w14:schemeClr w14:val="tx1"/>
                  </w14:solidFill>
                </w14:textFill>
              </w:rPr>
              <w:t>体</w:t>
            </w:r>
            <w:r>
              <w:rPr>
                <w:b/>
                <w:bCs/>
                <w:snapToGrid w:val="0"/>
                <w:color w:val="000000" w:themeColor="text1"/>
                <w:spacing w:val="-16"/>
                <w:kern w:val="21"/>
                <w14:textFill>
                  <w14:solidFill>
                    <w14:schemeClr w14:val="tx1"/>
                  </w14:solidFill>
                </w14:textFill>
              </w:rPr>
              <w:t>废</w:t>
            </w:r>
            <w:r>
              <w:rPr>
                <w:rFonts w:hint="eastAsia"/>
                <w:b/>
                <w:bCs/>
                <w:snapToGrid w:val="0"/>
                <w:color w:val="000000" w:themeColor="text1"/>
                <w:spacing w:val="-16"/>
                <w:kern w:val="21"/>
                <w14:textFill>
                  <w14:solidFill>
                    <w14:schemeClr w14:val="tx1"/>
                  </w14:solidFill>
                </w14:textFill>
              </w:rPr>
              <w:t>物</w:t>
            </w:r>
            <w:r>
              <w:rPr>
                <w:b/>
                <w:bCs/>
                <w:snapToGrid w:val="0"/>
                <w:color w:val="000000" w:themeColor="text1"/>
                <w:spacing w:val="-16"/>
                <w:kern w:val="21"/>
                <w14:textFill>
                  <w14:solidFill>
                    <w14:schemeClr w14:val="tx1"/>
                  </w14:solidFill>
                </w14:textFill>
              </w:rPr>
              <w:t>产生量）</w:t>
            </w:r>
            <w:r>
              <w:rPr>
                <w:b/>
                <w:bCs/>
                <w:snapToGrid w:val="0"/>
                <w:color w:val="000000" w:themeColor="text1"/>
                <w:spacing w:val="-16"/>
                <w:kern w:val="21"/>
                <w14:textFill>
                  <w14:solidFill>
                    <w14:schemeClr w14:val="tx1"/>
                  </w14:solidFill>
                </w14:textFill>
              </w:rPr>
              <w:fldChar w:fldCharType="begin"/>
            </w:r>
            <w:r>
              <w:rPr>
                <w:b/>
                <w:bCs/>
                <w:snapToGrid w:val="0"/>
                <w:color w:val="000000" w:themeColor="text1"/>
                <w:spacing w:val="-16"/>
                <w:kern w:val="21"/>
                <w14:textFill>
                  <w14:solidFill>
                    <w14:schemeClr w14:val="tx1"/>
                  </w14:solidFill>
                </w14:textFill>
              </w:rPr>
              <w:instrText xml:space="preserve">=6\*GB3\*MERGEFORMAT</w:instrText>
            </w:r>
            <w:r>
              <w:rPr>
                <w:b/>
                <w:bCs/>
                <w:snapToGrid w:val="0"/>
                <w:color w:val="000000" w:themeColor="text1"/>
                <w:spacing w:val="-16"/>
                <w:kern w:val="21"/>
                <w14:textFill>
                  <w14:solidFill>
                    <w14:schemeClr w14:val="tx1"/>
                  </w14:solidFill>
                </w14:textFill>
              </w:rPr>
              <w:fldChar w:fldCharType="separate"/>
            </w:r>
            <w:r>
              <w:rPr>
                <w:rFonts w:hint="eastAsia" w:cs="宋体"/>
                <w:b/>
                <w:bCs/>
                <w:color w:val="000000" w:themeColor="text1"/>
                <w:kern w:val="2"/>
                <w14:textFill>
                  <w14:solidFill>
                    <w14:schemeClr w14:val="tx1"/>
                  </w14:solidFill>
                </w14:textFill>
              </w:rPr>
              <w:t>⑥</w:t>
            </w:r>
            <w:r>
              <w:rPr>
                <w:b/>
                <w:bCs/>
                <w:snapToGrid w:val="0"/>
                <w:color w:val="000000" w:themeColor="text1"/>
                <w:spacing w:val="-16"/>
                <w:kern w:val="21"/>
                <w14:textFill>
                  <w14:solidFill>
                    <w14:schemeClr w14:val="tx1"/>
                  </w14:solidFill>
                </w14:textFill>
              </w:rPr>
              <w:fldChar w:fldCharType="end"/>
            </w:r>
          </w:p>
        </w:tc>
        <w:tc>
          <w:tcPr>
            <w:tcW w:w="1038" w:type="dxa"/>
            <w:tcMar>
              <w:left w:w="28" w:type="dxa"/>
              <w:right w:w="28" w:type="dxa"/>
            </w:tcMar>
            <w:vAlign w:val="center"/>
          </w:tcPr>
          <w:p w14:paraId="2B596622">
            <w:pPr>
              <w:pStyle w:val="28"/>
              <w:rPr>
                <w:b/>
                <w:bCs/>
                <w:snapToGrid w:val="0"/>
                <w:color w:val="000000" w:themeColor="text1"/>
                <w:spacing w:val="-6"/>
                <w:kern w:val="21"/>
                <w14:textFill>
                  <w14:solidFill>
                    <w14:schemeClr w14:val="tx1"/>
                  </w14:solidFill>
                </w14:textFill>
              </w:rPr>
            </w:pPr>
            <w:r>
              <w:rPr>
                <w:b/>
                <w:bCs/>
                <w:snapToGrid w:val="0"/>
                <w:color w:val="000000" w:themeColor="text1"/>
                <w:spacing w:val="-6"/>
                <w:kern w:val="21"/>
                <w14:textFill>
                  <w14:solidFill>
                    <w14:schemeClr w14:val="tx1"/>
                  </w14:solidFill>
                </w14:textFill>
              </w:rPr>
              <w:t>变化量</w:t>
            </w:r>
            <w:r>
              <w:rPr>
                <w:b/>
                <w:bCs/>
                <w:snapToGrid w:val="0"/>
                <w:color w:val="000000" w:themeColor="text1"/>
                <w:spacing w:val="-6"/>
                <w:kern w:val="21"/>
                <w14:textFill>
                  <w14:solidFill>
                    <w14:schemeClr w14:val="tx1"/>
                  </w14:solidFill>
                </w14:textFill>
              </w:rPr>
              <w:fldChar w:fldCharType="begin"/>
            </w:r>
            <w:r>
              <w:rPr>
                <w:b/>
                <w:bCs/>
                <w:snapToGrid w:val="0"/>
                <w:color w:val="000000" w:themeColor="text1"/>
                <w:spacing w:val="-6"/>
                <w:kern w:val="21"/>
                <w14:textFill>
                  <w14:solidFill>
                    <w14:schemeClr w14:val="tx1"/>
                  </w14:solidFill>
                </w14:textFill>
              </w:rPr>
              <w:instrText xml:space="preserve">=7\*GB3\*MERGEFORMAT</w:instrText>
            </w:r>
            <w:r>
              <w:rPr>
                <w:b/>
                <w:bCs/>
                <w:snapToGrid w:val="0"/>
                <w:color w:val="000000" w:themeColor="text1"/>
                <w:spacing w:val="-6"/>
                <w:kern w:val="21"/>
                <w14:textFill>
                  <w14:solidFill>
                    <w14:schemeClr w14:val="tx1"/>
                  </w14:solidFill>
                </w14:textFill>
              </w:rPr>
              <w:fldChar w:fldCharType="separate"/>
            </w:r>
            <w:r>
              <w:rPr>
                <w:rFonts w:hint="eastAsia" w:cs="宋体"/>
                <w:b/>
                <w:bCs/>
                <w:color w:val="000000" w:themeColor="text1"/>
                <w:kern w:val="2"/>
                <w14:textFill>
                  <w14:solidFill>
                    <w14:schemeClr w14:val="tx1"/>
                  </w14:solidFill>
                </w14:textFill>
              </w:rPr>
              <w:t>⑦</w:t>
            </w:r>
            <w:r>
              <w:rPr>
                <w:b/>
                <w:bCs/>
                <w:snapToGrid w:val="0"/>
                <w:color w:val="000000" w:themeColor="text1"/>
                <w:spacing w:val="-6"/>
                <w:kern w:val="21"/>
                <w14:textFill>
                  <w14:solidFill>
                    <w14:schemeClr w14:val="tx1"/>
                  </w14:solidFill>
                </w14:textFill>
              </w:rPr>
              <w:fldChar w:fldCharType="end"/>
            </w:r>
          </w:p>
        </w:tc>
      </w:tr>
      <w:tr w14:paraId="4BC3B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14:paraId="39E538F0">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废气</w:t>
            </w:r>
          </w:p>
        </w:tc>
        <w:tc>
          <w:tcPr>
            <w:tcW w:w="2268" w:type="dxa"/>
            <w:vAlign w:val="center"/>
          </w:tcPr>
          <w:p w14:paraId="29C6127A">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氨</w:t>
            </w:r>
          </w:p>
        </w:tc>
        <w:tc>
          <w:tcPr>
            <w:tcW w:w="1705" w:type="dxa"/>
            <w:vAlign w:val="center"/>
          </w:tcPr>
          <w:p w14:paraId="2EBF8A25">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0</w:t>
            </w:r>
          </w:p>
        </w:tc>
        <w:tc>
          <w:tcPr>
            <w:tcW w:w="1514" w:type="dxa"/>
            <w:vAlign w:val="center"/>
          </w:tcPr>
          <w:p w14:paraId="05236D49">
            <w:pPr>
              <w:pStyle w:val="28"/>
              <w:rPr>
                <w:rFonts w:cs="宋体"/>
                <w:snapToGrid w:val="0"/>
                <w:color w:val="000000" w:themeColor="text1"/>
                <w:kern w:val="21"/>
                <w14:textFill>
                  <w14:solidFill>
                    <w14:schemeClr w14:val="tx1"/>
                  </w14:solidFill>
                </w14:textFill>
              </w:rPr>
            </w:pPr>
          </w:p>
        </w:tc>
        <w:tc>
          <w:tcPr>
            <w:tcW w:w="1500" w:type="dxa"/>
            <w:vAlign w:val="center"/>
          </w:tcPr>
          <w:p w14:paraId="3B2433B4">
            <w:pPr>
              <w:pStyle w:val="28"/>
              <w:rPr>
                <w:rFonts w:cs="宋体"/>
                <w:snapToGrid w:val="0"/>
                <w:color w:val="000000" w:themeColor="text1"/>
                <w:kern w:val="21"/>
                <w14:textFill>
                  <w14:solidFill>
                    <w14:schemeClr w14:val="tx1"/>
                  </w14:solidFill>
                </w14:textFill>
              </w:rPr>
            </w:pPr>
          </w:p>
        </w:tc>
        <w:tc>
          <w:tcPr>
            <w:tcW w:w="1541" w:type="dxa"/>
            <w:vAlign w:val="center"/>
          </w:tcPr>
          <w:p w14:paraId="76E06458">
            <w:pPr>
              <w:widowControl/>
              <w:jc w:val="center"/>
              <w:textAlignment w:val="center"/>
              <w:rPr>
                <w:color w:val="000000"/>
                <w:kern w:val="0"/>
                <w:szCs w:val="21"/>
                <w:lang w:bidi="ar"/>
              </w:rPr>
            </w:pPr>
            <w:r>
              <w:rPr>
                <w:rFonts w:hint="eastAsia" w:cs="宋体"/>
                <w:snapToGrid w:val="0"/>
                <w:color w:val="000000" w:themeColor="text1"/>
                <w:kern w:val="21"/>
                <w:szCs w:val="21"/>
                <w14:textFill>
                  <w14:solidFill>
                    <w14:schemeClr w14:val="tx1"/>
                  </w14:solidFill>
                </w14:textFill>
              </w:rPr>
              <w:t>0.1337</w:t>
            </w:r>
          </w:p>
        </w:tc>
        <w:tc>
          <w:tcPr>
            <w:tcW w:w="1470" w:type="dxa"/>
            <w:vAlign w:val="center"/>
          </w:tcPr>
          <w:p w14:paraId="197669A6">
            <w:pPr>
              <w:pStyle w:val="28"/>
              <w:rPr>
                <w:rFonts w:cs="宋体"/>
                <w:snapToGrid w:val="0"/>
                <w:color w:val="000000" w:themeColor="text1"/>
                <w:kern w:val="21"/>
                <w14:textFill>
                  <w14:solidFill>
                    <w14:schemeClr w14:val="tx1"/>
                  </w14:solidFill>
                </w14:textFill>
              </w:rPr>
            </w:pPr>
          </w:p>
        </w:tc>
        <w:tc>
          <w:tcPr>
            <w:tcW w:w="1747" w:type="dxa"/>
            <w:vAlign w:val="center"/>
          </w:tcPr>
          <w:p w14:paraId="6EBFCB83">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0.1337</w:t>
            </w:r>
          </w:p>
        </w:tc>
        <w:tc>
          <w:tcPr>
            <w:tcW w:w="1038" w:type="dxa"/>
            <w:vAlign w:val="center"/>
          </w:tcPr>
          <w:p w14:paraId="4EEF41FF">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0.1337</w:t>
            </w:r>
          </w:p>
        </w:tc>
      </w:tr>
      <w:tr w14:paraId="4DA3E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2DA66A33">
            <w:pPr>
              <w:pStyle w:val="28"/>
              <w:rPr>
                <w:rFonts w:cs="宋体"/>
                <w:snapToGrid w:val="0"/>
                <w:color w:val="000000" w:themeColor="text1"/>
                <w:kern w:val="21"/>
                <w14:textFill>
                  <w14:solidFill>
                    <w14:schemeClr w14:val="tx1"/>
                  </w14:solidFill>
                </w14:textFill>
              </w:rPr>
            </w:pPr>
          </w:p>
        </w:tc>
        <w:tc>
          <w:tcPr>
            <w:tcW w:w="2268" w:type="dxa"/>
            <w:vAlign w:val="center"/>
          </w:tcPr>
          <w:p w14:paraId="6444F43A">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硫化氢</w:t>
            </w:r>
          </w:p>
        </w:tc>
        <w:tc>
          <w:tcPr>
            <w:tcW w:w="1705" w:type="dxa"/>
            <w:vAlign w:val="center"/>
          </w:tcPr>
          <w:p w14:paraId="445A3CC5">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0</w:t>
            </w:r>
          </w:p>
        </w:tc>
        <w:tc>
          <w:tcPr>
            <w:tcW w:w="1514" w:type="dxa"/>
            <w:vAlign w:val="center"/>
          </w:tcPr>
          <w:p w14:paraId="54DA3A64">
            <w:pPr>
              <w:pStyle w:val="28"/>
              <w:rPr>
                <w:rFonts w:cs="宋体"/>
                <w:snapToGrid w:val="0"/>
                <w:color w:val="000000" w:themeColor="text1"/>
                <w:kern w:val="21"/>
                <w14:textFill>
                  <w14:solidFill>
                    <w14:schemeClr w14:val="tx1"/>
                  </w14:solidFill>
                </w14:textFill>
              </w:rPr>
            </w:pPr>
          </w:p>
        </w:tc>
        <w:tc>
          <w:tcPr>
            <w:tcW w:w="1500" w:type="dxa"/>
            <w:vAlign w:val="center"/>
          </w:tcPr>
          <w:p w14:paraId="52FEEC96">
            <w:pPr>
              <w:pStyle w:val="28"/>
              <w:rPr>
                <w:rFonts w:cs="宋体"/>
                <w:snapToGrid w:val="0"/>
                <w:color w:val="000000" w:themeColor="text1"/>
                <w:kern w:val="21"/>
                <w14:textFill>
                  <w14:solidFill>
                    <w14:schemeClr w14:val="tx1"/>
                  </w14:solidFill>
                </w14:textFill>
              </w:rPr>
            </w:pPr>
          </w:p>
        </w:tc>
        <w:tc>
          <w:tcPr>
            <w:tcW w:w="1541" w:type="dxa"/>
            <w:vAlign w:val="center"/>
          </w:tcPr>
          <w:p w14:paraId="18C723AA">
            <w:pPr>
              <w:widowControl/>
              <w:jc w:val="center"/>
              <w:textAlignment w:val="center"/>
              <w:rPr>
                <w:color w:val="000000"/>
                <w:kern w:val="0"/>
                <w:szCs w:val="21"/>
                <w:lang w:bidi="ar"/>
              </w:rPr>
            </w:pPr>
            <w:r>
              <w:rPr>
                <w:rFonts w:hint="eastAsia" w:cs="宋体"/>
                <w:snapToGrid w:val="0"/>
                <w:color w:val="000000" w:themeColor="text1"/>
                <w:kern w:val="21"/>
                <w:szCs w:val="21"/>
                <w14:textFill>
                  <w14:solidFill>
                    <w14:schemeClr w14:val="tx1"/>
                  </w14:solidFill>
                </w14:textFill>
              </w:rPr>
              <w:t>0.02058</w:t>
            </w:r>
          </w:p>
        </w:tc>
        <w:tc>
          <w:tcPr>
            <w:tcW w:w="1470" w:type="dxa"/>
            <w:vAlign w:val="center"/>
          </w:tcPr>
          <w:p w14:paraId="2AAFFD30">
            <w:pPr>
              <w:pStyle w:val="28"/>
              <w:rPr>
                <w:rFonts w:cs="宋体"/>
                <w:snapToGrid w:val="0"/>
                <w:color w:val="000000" w:themeColor="text1"/>
                <w:kern w:val="21"/>
                <w14:textFill>
                  <w14:solidFill>
                    <w14:schemeClr w14:val="tx1"/>
                  </w14:solidFill>
                </w14:textFill>
              </w:rPr>
            </w:pPr>
          </w:p>
        </w:tc>
        <w:tc>
          <w:tcPr>
            <w:tcW w:w="1747" w:type="dxa"/>
            <w:vAlign w:val="center"/>
          </w:tcPr>
          <w:p w14:paraId="3C90D867">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0.02058</w:t>
            </w:r>
          </w:p>
        </w:tc>
        <w:tc>
          <w:tcPr>
            <w:tcW w:w="1038" w:type="dxa"/>
            <w:vAlign w:val="center"/>
          </w:tcPr>
          <w:p w14:paraId="1BCAC994">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0.02058</w:t>
            </w:r>
          </w:p>
        </w:tc>
      </w:tr>
      <w:tr w14:paraId="45954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2379ED8F">
            <w:pPr>
              <w:pStyle w:val="28"/>
              <w:rPr>
                <w:rFonts w:cs="宋体"/>
                <w:snapToGrid w:val="0"/>
                <w:color w:val="000000" w:themeColor="text1"/>
                <w:kern w:val="21"/>
                <w14:textFill>
                  <w14:solidFill>
                    <w14:schemeClr w14:val="tx1"/>
                  </w14:solidFill>
                </w14:textFill>
              </w:rPr>
            </w:pPr>
          </w:p>
        </w:tc>
        <w:tc>
          <w:tcPr>
            <w:tcW w:w="2268" w:type="dxa"/>
            <w:vAlign w:val="center"/>
          </w:tcPr>
          <w:p w14:paraId="179B5866">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扬尘</w:t>
            </w:r>
          </w:p>
        </w:tc>
        <w:tc>
          <w:tcPr>
            <w:tcW w:w="1705" w:type="dxa"/>
            <w:vAlign w:val="center"/>
          </w:tcPr>
          <w:p w14:paraId="3D9B058A">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0</w:t>
            </w:r>
          </w:p>
        </w:tc>
        <w:tc>
          <w:tcPr>
            <w:tcW w:w="1514" w:type="dxa"/>
            <w:vAlign w:val="center"/>
          </w:tcPr>
          <w:p w14:paraId="7F3059B8">
            <w:pPr>
              <w:pStyle w:val="28"/>
              <w:rPr>
                <w:rFonts w:cs="宋体"/>
                <w:snapToGrid w:val="0"/>
                <w:color w:val="000000" w:themeColor="text1"/>
                <w:kern w:val="21"/>
                <w14:textFill>
                  <w14:solidFill>
                    <w14:schemeClr w14:val="tx1"/>
                  </w14:solidFill>
                </w14:textFill>
              </w:rPr>
            </w:pPr>
          </w:p>
        </w:tc>
        <w:tc>
          <w:tcPr>
            <w:tcW w:w="1500" w:type="dxa"/>
            <w:vAlign w:val="center"/>
          </w:tcPr>
          <w:p w14:paraId="7CEED8D5">
            <w:pPr>
              <w:pStyle w:val="28"/>
              <w:rPr>
                <w:rFonts w:cs="宋体"/>
                <w:snapToGrid w:val="0"/>
                <w:color w:val="000000" w:themeColor="text1"/>
                <w:kern w:val="21"/>
                <w14:textFill>
                  <w14:solidFill>
                    <w14:schemeClr w14:val="tx1"/>
                  </w14:solidFill>
                </w14:textFill>
              </w:rPr>
            </w:pPr>
          </w:p>
        </w:tc>
        <w:tc>
          <w:tcPr>
            <w:tcW w:w="1541" w:type="dxa"/>
            <w:vAlign w:val="center"/>
          </w:tcPr>
          <w:p w14:paraId="72016048">
            <w:pPr>
              <w:widowControl/>
              <w:jc w:val="center"/>
              <w:textAlignment w:val="center"/>
              <w:rPr>
                <w:color w:val="000000"/>
                <w:kern w:val="0"/>
                <w:szCs w:val="21"/>
                <w:lang w:bidi="ar"/>
              </w:rPr>
            </w:pPr>
            <w:r>
              <w:rPr>
                <w:rFonts w:hint="eastAsia" w:cs="宋体"/>
                <w:snapToGrid w:val="0"/>
                <w:color w:val="000000" w:themeColor="text1"/>
                <w:kern w:val="21"/>
                <w:szCs w:val="21"/>
                <w14:textFill>
                  <w14:solidFill>
                    <w14:schemeClr w14:val="tx1"/>
                  </w14:solidFill>
                </w14:textFill>
              </w:rPr>
              <w:t>0.047</w:t>
            </w:r>
          </w:p>
        </w:tc>
        <w:tc>
          <w:tcPr>
            <w:tcW w:w="1470" w:type="dxa"/>
            <w:vAlign w:val="center"/>
          </w:tcPr>
          <w:p w14:paraId="39D7A291">
            <w:pPr>
              <w:pStyle w:val="28"/>
              <w:rPr>
                <w:rFonts w:cs="宋体"/>
                <w:snapToGrid w:val="0"/>
                <w:color w:val="000000" w:themeColor="text1"/>
                <w:kern w:val="21"/>
                <w14:textFill>
                  <w14:solidFill>
                    <w14:schemeClr w14:val="tx1"/>
                  </w14:solidFill>
                </w14:textFill>
              </w:rPr>
            </w:pPr>
          </w:p>
        </w:tc>
        <w:tc>
          <w:tcPr>
            <w:tcW w:w="1747" w:type="dxa"/>
            <w:vAlign w:val="center"/>
          </w:tcPr>
          <w:p w14:paraId="20846A9F">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0.047</w:t>
            </w:r>
          </w:p>
        </w:tc>
        <w:tc>
          <w:tcPr>
            <w:tcW w:w="1038" w:type="dxa"/>
            <w:vAlign w:val="center"/>
          </w:tcPr>
          <w:p w14:paraId="12FB165A">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0.047</w:t>
            </w:r>
          </w:p>
        </w:tc>
      </w:tr>
      <w:tr w14:paraId="64C21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14:paraId="0A6639A3">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废水</w:t>
            </w:r>
          </w:p>
        </w:tc>
        <w:tc>
          <w:tcPr>
            <w:tcW w:w="2268" w:type="dxa"/>
            <w:vAlign w:val="center"/>
          </w:tcPr>
          <w:p w14:paraId="0EBDE547">
            <w:pPr>
              <w:snapToGrid w:val="0"/>
              <w:spacing w:line="300" w:lineRule="auto"/>
              <w:jc w:val="center"/>
            </w:pPr>
            <w:r>
              <w:rPr>
                <w:rFonts w:hint="eastAsia"/>
              </w:rPr>
              <w:t>生活污水</w:t>
            </w:r>
          </w:p>
        </w:tc>
        <w:tc>
          <w:tcPr>
            <w:tcW w:w="1705" w:type="dxa"/>
            <w:vAlign w:val="center"/>
          </w:tcPr>
          <w:p w14:paraId="26119E13">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0CEA0B1C">
            <w:pPr>
              <w:pStyle w:val="28"/>
              <w:rPr>
                <w:rFonts w:cs="宋体"/>
                <w:snapToGrid w:val="0"/>
                <w:color w:val="000000" w:themeColor="text1"/>
                <w:kern w:val="21"/>
                <w14:textFill>
                  <w14:solidFill>
                    <w14:schemeClr w14:val="tx1"/>
                  </w14:solidFill>
                </w14:textFill>
              </w:rPr>
            </w:pPr>
          </w:p>
        </w:tc>
        <w:tc>
          <w:tcPr>
            <w:tcW w:w="1500" w:type="dxa"/>
            <w:vAlign w:val="center"/>
          </w:tcPr>
          <w:p w14:paraId="09B8DA3C">
            <w:pPr>
              <w:pStyle w:val="28"/>
              <w:rPr>
                <w:rFonts w:cs="宋体"/>
                <w:snapToGrid w:val="0"/>
                <w:color w:val="000000" w:themeColor="text1"/>
                <w:kern w:val="21"/>
                <w14:textFill>
                  <w14:solidFill>
                    <w14:schemeClr w14:val="tx1"/>
                  </w14:solidFill>
                </w14:textFill>
              </w:rPr>
            </w:pPr>
          </w:p>
        </w:tc>
        <w:tc>
          <w:tcPr>
            <w:tcW w:w="1541" w:type="dxa"/>
            <w:vAlign w:val="center"/>
          </w:tcPr>
          <w:p w14:paraId="1398F7F5">
            <w:pPr>
              <w:widowControl/>
              <w:jc w:val="center"/>
              <w:textAlignment w:val="center"/>
              <w:rPr>
                <w:color w:val="000000"/>
                <w:kern w:val="0"/>
                <w:szCs w:val="21"/>
                <w:lang w:bidi="ar"/>
              </w:rPr>
            </w:pPr>
            <w:r>
              <w:rPr>
                <w:rFonts w:hint="eastAsia" w:cs="宋体"/>
                <w:snapToGrid w:val="0"/>
                <w:color w:val="000000" w:themeColor="text1"/>
                <w:kern w:val="21"/>
                <w:szCs w:val="21"/>
                <w14:textFill>
                  <w14:solidFill>
                    <w14:schemeClr w14:val="tx1"/>
                  </w14:solidFill>
                </w14:textFill>
              </w:rPr>
              <w:t>/</w:t>
            </w:r>
          </w:p>
        </w:tc>
        <w:tc>
          <w:tcPr>
            <w:tcW w:w="1470" w:type="dxa"/>
            <w:vAlign w:val="center"/>
          </w:tcPr>
          <w:p w14:paraId="6E6D2268">
            <w:pPr>
              <w:pStyle w:val="28"/>
              <w:rPr>
                <w:rFonts w:cs="宋体"/>
                <w:snapToGrid w:val="0"/>
                <w:color w:val="000000" w:themeColor="text1"/>
                <w:kern w:val="21"/>
                <w14:textFill>
                  <w14:solidFill>
                    <w14:schemeClr w14:val="tx1"/>
                  </w14:solidFill>
                </w14:textFill>
              </w:rPr>
            </w:pPr>
          </w:p>
        </w:tc>
        <w:tc>
          <w:tcPr>
            <w:tcW w:w="1747" w:type="dxa"/>
            <w:vAlign w:val="center"/>
          </w:tcPr>
          <w:p w14:paraId="6BCDD6A8">
            <w:pPr>
              <w:widowControl/>
              <w:jc w:val="center"/>
              <w:textAlignment w:val="center"/>
              <w:rPr>
                <w:color w:val="000000"/>
                <w:kern w:val="0"/>
                <w:szCs w:val="21"/>
                <w:lang w:bidi="ar"/>
              </w:rPr>
            </w:pPr>
            <w:r>
              <w:rPr>
                <w:rFonts w:hint="eastAsia"/>
                <w:color w:val="000000"/>
                <w:kern w:val="0"/>
                <w:szCs w:val="21"/>
                <w:lang w:bidi="ar"/>
              </w:rPr>
              <w:t>/</w:t>
            </w:r>
          </w:p>
        </w:tc>
        <w:tc>
          <w:tcPr>
            <w:tcW w:w="1038" w:type="dxa"/>
            <w:vAlign w:val="center"/>
          </w:tcPr>
          <w:p w14:paraId="52B0D401">
            <w:pPr>
              <w:pStyle w:val="28"/>
              <w:rPr>
                <w:rFonts w:cs="宋体"/>
                <w:snapToGrid w:val="0"/>
                <w:color w:val="000000" w:themeColor="text1"/>
                <w:kern w:val="21"/>
                <w14:textFill>
                  <w14:solidFill>
                    <w14:schemeClr w14:val="tx1"/>
                  </w14:solidFill>
                </w14:textFill>
              </w:rPr>
            </w:pPr>
            <w:r>
              <w:rPr>
                <w:rFonts w:hint="eastAsia"/>
                <w:color w:val="000000"/>
                <w:lang w:bidi="ar"/>
              </w:rPr>
              <w:t>/</w:t>
            </w:r>
          </w:p>
        </w:tc>
      </w:tr>
      <w:tr w14:paraId="78D7E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04EB30C1">
            <w:pPr>
              <w:pStyle w:val="28"/>
              <w:rPr>
                <w:rFonts w:cs="宋体"/>
                <w:snapToGrid w:val="0"/>
                <w:color w:val="000000" w:themeColor="text1"/>
                <w:kern w:val="21"/>
                <w14:textFill>
                  <w14:solidFill>
                    <w14:schemeClr w14:val="tx1"/>
                  </w14:solidFill>
                </w14:textFill>
              </w:rPr>
            </w:pPr>
          </w:p>
        </w:tc>
        <w:tc>
          <w:tcPr>
            <w:tcW w:w="2268" w:type="dxa"/>
            <w:vAlign w:val="center"/>
          </w:tcPr>
          <w:p w14:paraId="4DB9FECE">
            <w:pPr>
              <w:snapToGrid w:val="0"/>
              <w:spacing w:line="300" w:lineRule="auto"/>
              <w:jc w:val="center"/>
              <w:rPr>
                <w:rFonts w:cs="宋体"/>
                <w:snapToGrid w:val="0"/>
                <w:color w:val="000000" w:themeColor="text1"/>
                <w:kern w:val="21"/>
                <w:szCs w:val="21"/>
                <w14:textFill>
                  <w14:solidFill>
                    <w14:schemeClr w14:val="tx1"/>
                  </w14:solidFill>
                </w14:textFill>
              </w:rPr>
            </w:pPr>
            <w:r>
              <w:rPr>
                <w:rFonts w:hint="eastAsia"/>
              </w:rPr>
              <w:t>废水量（t/a）</w:t>
            </w:r>
          </w:p>
        </w:tc>
        <w:tc>
          <w:tcPr>
            <w:tcW w:w="1705" w:type="dxa"/>
            <w:vAlign w:val="center"/>
          </w:tcPr>
          <w:p w14:paraId="7371027E">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51799DEC">
            <w:pPr>
              <w:pStyle w:val="28"/>
              <w:rPr>
                <w:rFonts w:cs="宋体"/>
                <w:snapToGrid w:val="0"/>
                <w:color w:val="000000" w:themeColor="text1"/>
                <w:kern w:val="21"/>
                <w14:textFill>
                  <w14:solidFill>
                    <w14:schemeClr w14:val="tx1"/>
                  </w14:solidFill>
                </w14:textFill>
              </w:rPr>
            </w:pPr>
          </w:p>
        </w:tc>
        <w:tc>
          <w:tcPr>
            <w:tcW w:w="1500" w:type="dxa"/>
            <w:vAlign w:val="center"/>
          </w:tcPr>
          <w:p w14:paraId="41AC5434">
            <w:pPr>
              <w:pStyle w:val="28"/>
              <w:rPr>
                <w:rFonts w:cs="宋体"/>
                <w:snapToGrid w:val="0"/>
                <w:color w:val="000000" w:themeColor="text1"/>
                <w:kern w:val="21"/>
                <w14:textFill>
                  <w14:solidFill>
                    <w14:schemeClr w14:val="tx1"/>
                  </w14:solidFill>
                </w14:textFill>
              </w:rPr>
            </w:pPr>
          </w:p>
        </w:tc>
        <w:tc>
          <w:tcPr>
            <w:tcW w:w="1541" w:type="dxa"/>
            <w:vAlign w:val="center"/>
          </w:tcPr>
          <w:p w14:paraId="0B273732">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1470" w:type="dxa"/>
            <w:vAlign w:val="center"/>
          </w:tcPr>
          <w:p w14:paraId="7A7D26A4">
            <w:pPr>
              <w:pStyle w:val="28"/>
              <w:rPr>
                <w:rFonts w:cs="宋体"/>
                <w:snapToGrid w:val="0"/>
                <w:color w:val="000000" w:themeColor="text1"/>
                <w:kern w:val="21"/>
                <w14:textFill>
                  <w14:solidFill>
                    <w14:schemeClr w14:val="tx1"/>
                  </w14:solidFill>
                </w14:textFill>
              </w:rPr>
            </w:pPr>
          </w:p>
        </w:tc>
        <w:tc>
          <w:tcPr>
            <w:tcW w:w="1747" w:type="dxa"/>
            <w:vAlign w:val="center"/>
          </w:tcPr>
          <w:p w14:paraId="2E406B99">
            <w:pPr>
              <w:widowControl/>
              <w:jc w:val="center"/>
              <w:textAlignment w:val="center"/>
              <w:rPr>
                <w:rFonts w:cs="宋体"/>
                <w:snapToGrid w:val="0"/>
                <w:color w:val="000000" w:themeColor="text1"/>
                <w:kern w:val="21"/>
                <w:szCs w:val="21"/>
                <w14:textFill>
                  <w14:solidFill>
                    <w14:schemeClr w14:val="tx1"/>
                  </w14:solidFill>
                </w14:textFill>
              </w:rPr>
            </w:pPr>
            <w:r>
              <w:rPr>
                <w:rFonts w:hint="eastAsia"/>
                <w:color w:val="000000"/>
                <w:kern w:val="0"/>
                <w:szCs w:val="21"/>
                <w:lang w:bidi="ar"/>
              </w:rPr>
              <w:t>/</w:t>
            </w:r>
          </w:p>
        </w:tc>
        <w:tc>
          <w:tcPr>
            <w:tcW w:w="1038" w:type="dxa"/>
            <w:vAlign w:val="center"/>
          </w:tcPr>
          <w:p w14:paraId="786C9688">
            <w:pPr>
              <w:pStyle w:val="28"/>
              <w:rPr>
                <w:rFonts w:cs="宋体"/>
                <w:snapToGrid w:val="0"/>
                <w:color w:val="000000" w:themeColor="text1"/>
                <w:kern w:val="21"/>
                <w14:textFill>
                  <w14:solidFill>
                    <w14:schemeClr w14:val="tx1"/>
                  </w14:solidFill>
                </w14:textFill>
              </w:rPr>
            </w:pPr>
            <w:r>
              <w:rPr>
                <w:rFonts w:hint="eastAsia"/>
                <w:color w:val="000000"/>
                <w:lang w:bidi="ar"/>
              </w:rPr>
              <w:t>/</w:t>
            </w:r>
          </w:p>
        </w:tc>
      </w:tr>
      <w:tr w14:paraId="64D24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0E454301">
            <w:pPr>
              <w:pStyle w:val="28"/>
              <w:rPr>
                <w:rFonts w:cs="宋体"/>
                <w:snapToGrid w:val="0"/>
                <w:color w:val="000000" w:themeColor="text1"/>
                <w:kern w:val="21"/>
                <w14:textFill>
                  <w14:solidFill>
                    <w14:schemeClr w14:val="tx1"/>
                  </w14:solidFill>
                </w14:textFill>
              </w:rPr>
            </w:pPr>
          </w:p>
        </w:tc>
        <w:tc>
          <w:tcPr>
            <w:tcW w:w="2268" w:type="dxa"/>
            <w:shd w:val="clear" w:color="auto" w:fill="auto"/>
            <w:vAlign w:val="center"/>
          </w:tcPr>
          <w:p w14:paraId="1228308B">
            <w:pPr>
              <w:snapToGrid w:val="0"/>
              <w:spacing w:line="300" w:lineRule="auto"/>
              <w:jc w:val="center"/>
            </w:pPr>
            <w:r>
              <w:t>COD</w:t>
            </w:r>
            <w:r>
              <w:rPr>
                <w:rFonts w:hint="eastAsia"/>
              </w:rPr>
              <w:t>cr（t/a）</w:t>
            </w:r>
          </w:p>
        </w:tc>
        <w:tc>
          <w:tcPr>
            <w:tcW w:w="1705" w:type="dxa"/>
            <w:vAlign w:val="center"/>
          </w:tcPr>
          <w:p w14:paraId="2ADAFA4C">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2DC0F91F">
            <w:pPr>
              <w:pStyle w:val="28"/>
              <w:rPr>
                <w:rFonts w:cs="宋体"/>
                <w:snapToGrid w:val="0"/>
                <w:color w:val="000000" w:themeColor="text1"/>
                <w:kern w:val="21"/>
                <w14:textFill>
                  <w14:solidFill>
                    <w14:schemeClr w14:val="tx1"/>
                  </w14:solidFill>
                </w14:textFill>
              </w:rPr>
            </w:pPr>
          </w:p>
        </w:tc>
        <w:tc>
          <w:tcPr>
            <w:tcW w:w="1500" w:type="dxa"/>
            <w:vAlign w:val="center"/>
          </w:tcPr>
          <w:p w14:paraId="5F21E6FD">
            <w:pPr>
              <w:pStyle w:val="28"/>
              <w:rPr>
                <w:rFonts w:cs="宋体"/>
                <w:snapToGrid w:val="0"/>
                <w:color w:val="000000" w:themeColor="text1"/>
                <w:kern w:val="21"/>
                <w14:textFill>
                  <w14:solidFill>
                    <w14:schemeClr w14:val="tx1"/>
                  </w14:solidFill>
                </w14:textFill>
              </w:rPr>
            </w:pPr>
          </w:p>
        </w:tc>
        <w:tc>
          <w:tcPr>
            <w:tcW w:w="1541" w:type="dxa"/>
            <w:vAlign w:val="center"/>
          </w:tcPr>
          <w:p w14:paraId="32A751C0">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1470" w:type="dxa"/>
            <w:vAlign w:val="center"/>
          </w:tcPr>
          <w:p w14:paraId="57F8046C">
            <w:pPr>
              <w:pStyle w:val="28"/>
              <w:rPr>
                <w:rFonts w:cs="宋体"/>
                <w:snapToGrid w:val="0"/>
                <w:color w:val="000000" w:themeColor="text1"/>
                <w:kern w:val="21"/>
                <w14:textFill>
                  <w14:solidFill>
                    <w14:schemeClr w14:val="tx1"/>
                  </w14:solidFill>
                </w14:textFill>
              </w:rPr>
            </w:pPr>
          </w:p>
        </w:tc>
        <w:tc>
          <w:tcPr>
            <w:tcW w:w="1747" w:type="dxa"/>
            <w:vAlign w:val="center"/>
          </w:tcPr>
          <w:p w14:paraId="60CE7C9F">
            <w:pPr>
              <w:widowControl/>
              <w:jc w:val="center"/>
              <w:textAlignment w:val="center"/>
              <w:rPr>
                <w:rFonts w:cs="宋体"/>
                <w:snapToGrid w:val="0"/>
                <w:color w:val="000000" w:themeColor="text1"/>
                <w:kern w:val="21"/>
                <w:szCs w:val="21"/>
                <w14:textFill>
                  <w14:solidFill>
                    <w14:schemeClr w14:val="tx1"/>
                  </w14:solidFill>
                </w14:textFill>
              </w:rPr>
            </w:pPr>
            <w:r>
              <w:rPr>
                <w:rFonts w:hint="eastAsia"/>
                <w:color w:val="000000"/>
                <w:kern w:val="0"/>
                <w:szCs w:val="21"/>
                <w:lang w:bidi="ar"/>
              </w:rPr>
              <w:t>/</w:t>
            </w:r>
          </w:p>
        </w:tc>
        <w:tc>
          <w:tcPr>
            <w:tcW w:w="1038" w:type="dxa"/>
            <w:vAlign w:val="center"/>
          </w:tcPr>
          <w:p w14:paraId="6C8FD459">
            <w:pPr>
              <w:pStyle w:val="28"/>
              <w:rPr>
                <w:rFonts w:cs="宋体"/>
                <w:snapToGrid w:val="0"/>
                <w:color w:val="000000" w:themeColor="text1"/>
                <w:kern w:val="21"/>
                <w14:textFill>
                  <w14:solidFill>
                    <w14:schemeClr w14:val="tx1"/>
                  </w14:solidFill>
                </w14:textFill>
              </w:rPr>
            </w:pPr>
            <w:r>
              <w:rPr>
                <w:rFonts w:hint="eastAsia"/>
                <w:color w:val="000000"/>
                <w:lang w:bidi="ar"/>
              </w:rPr>
              <w:t>/</w:t>
            </w:r>
          </w:p>
        </w:tc>
      </w:tr>
      <w:tr w14:paraId="03784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72CBA3D4">
            <w:pPr>
              <w:pStyle w:val="28"/>
              <w:rPr>
                <w:rFonts w:cs="宋体"/>
                <w:snapToGrid w:val="0"/>
                <w:color w:val="000000" w:themeColor="text1"/>
                <w:kern w:val="21"/>
                <w14:textFill>
                  <w14:solidFill>
                    <w14:schemeClr w14:val="tx1"/>
                  </w14:solidFill>
                </w14:textFill>
              </w:rPr>
            </w:pPr>
          </w:p>
        </w:tc>
        <w:tc>
          <w:tcPr>
            <w:tcW w:w="2268" w:type="dxa"/>
            <w:shd w:val="clear" w:color="auto" w:fill="auto"/>
            <w:vAlign w:val="center"/>
          </w:tcPr>
          <w:p w14:paraId="0958E3DF">
            <w:pPr>
              <w:snapToGrid w:val="0"/>
              <w:spacing w:line="300" w:lineRule="auto"/>
              <w:jc w:val="center"/>
            </w:pPr>
            <w:r>
              <w:rPr>
                <w:rFonts w:hint="eastAsia"/>
              </w:rPr>
              <w:t>氨氮（t/a）</w:t>
            </w:r>
          </w:p>
        </w:tc>
        <w:tc>
          <w:tcPr>
            <w:tcW w:w="1705" w:type="dxa"/>
            <w:vAlign w:val="center"/>
          </w:tcPr>
          <w:p w14:paraId="322A8C33">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25513E1F">
            <w:pPr>
              <w:pStyle w:val="28"/>
              <w:rPr>
                <w:rFonts w:cs="宋体"/>
                <w:snapToGrid w:val="0"/>
                <w:color w:val="000000" w:themeColor="text1"/>
                <w:kern w:val="21"/>
                <w14:textFill>
                  <w14:solidFill>
                    <w14:schemeClr w14:val="tx1"/>
                  </w14:solidFill>
                </w14:textFill>
              </w:rPr>
            </w:pPr>
          </w:p>
        </w:tc>
        <w:tc>
          <w:tcPr>
            <w:tcW w:w="1500" w:type="dxa"/>
            <w:vAlign w:val="center"/>
          </w:tcPr>
          <w:p w14:paraId="38C8EA94">
            <w:pPr>
              <w:pStyle w:val="28"/>
              <w:rPr>
                <w:rFonts w:cs="宋体"/>
                <w:snapToGrid w:val="0"/>
                <w:color w:val="000000" w:themeColor="text1"/>
                <w:kern w:val="21"/>
                <w14:textFill>
                  <w14:solidFill>
                    <w14:schemeClr w14:val="tx1"/>
                  </w14:solidFill>
                </w14:textFill>
              </w:rPr>
            </w:pPr>
          </w:p>
        </w:tc>
        <w:tc>
          <w:tcPr>
            <w:tcW w:w="1541" w:type="dxa"/>
            <w:vAlign w:val="center"/>
          </w:tcPr>
          <w:p w14:paraId="0EDBF5E7">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1470" w:type="dxa"/>
            <w:vAlign w:val="center"/>
          </w:tcPr>
          <w:p w14:paraId="277552FF">
            <w:pPr>
              <w:pStyle w:val="28"/>
              <w:rPr>
                <w:rFonts w:cs="宋体"/>
                <w:snapToGrid w:val="0"/>
                <w:color w:val="000000" w:themeColor="text1"/>
                <w:kern w:val="21"/>
                <w14:textFill>
                  <w14:solidFill>
                    <w14:schemeClr w14:val="tx1"/>
                  </w14:solidFill>
                </w14:textFill>
              </w:rPr>
            </w:pPr>
          </w:p>
        </w:tc>
        <w:tc>
          <w:tcPr>
            <w:tcW w:w="1747" w:type="dxa"/>
            <w:vAlign w:val="center"/>
          </w:tcPr>
          <w:p w14:paraId="5AFDBD54">
            <w:pPr>
              <w:widowControl/>
              <w:jc w:val="center"/>
              <w:textAlignment w:val="center"/>
              <w:rPr>
                <w:rFonts w:cs="宋体"/>
                <w:snapToGrid w:val="0"/>
                <w:color w:val="000000" w:themeColor="text1"/>
                <w:kern w:val="21"/>
                <w:szCs w:val="21"/>
                <w14:textFill>
                  <w14:solidFill>
                    <w14:schemeClr w14:val="tx1"/>
                  </w14:solidFill>
                </w14:textFill>
              </w:rPr>
            </w:pPr>
            <w:r>
              <w:rPr>
                <w:rFonts w:hint="eastAsia"/>
                <w:color w:val="000000"/>
                <w:kern w:val="0"/>
                <w:szCs w:val="21"/>
                <w:lang w:bidi="ar"/>
              </w:rPr>
              <w:t>/</w:t>
            </w:r>
          </w:p>
        </w:tc>
        <w:tc>
          <w:tcPr>
            <w:tcW w:w="1038" w:type="dxa"/>
            <w:vAlign w:val="center"/>
          </w:tcPr>
          <w:p w14:paraId="53551E4D">
            <w:pPr>
              <w:pStyle w:val="28"/>
              <w:rPr>
                <w:rFonts w:cs="宋体"/>
                <w:snapToGrid w:val="0"/>
                <w:color w:val="000000" w:themeColor="text1"/>
                <w:kern w:val="21"/>
                <w14:textFill>
                  <w14:solidFill>
                    <w14:schemeClr w14:val="tx1"/>
                  </w14:solidFill>
                </w14:textFill>
              </w:rPr>
            </w:pPr>
            <w:r>
              <w:rPr>
                <w:rFonts w:hint="eastAsia"/>
                <w:color w:val="000000"/>
                <w:lang w:bidi="ar"/>
              </w:rPr>
              <w:t>/</w:t>
            </w:r>
          </w:p>
        </w:tc>
      </w:tr>
      <w:tr w14:paraId="73050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3769F11C">
            <w:pPr>
              <w:pStyle w:val="28"/>
              <w:rPr>
                <w:rFonts w:cs="宋体"/>
                <w:snapToGrid w:val="0"/>
                <w:color w:val="000000" w:themeColor="text1"/>
                <w:kern w:val="21"/>
                <w14:textFill>
                  <w14:solidFill>
                    <w14:schemeClr w14:val="tx1"/>
                  </w14:solidFill>
                </w14:textFill>
              </w:rPr>
            </w:pPr>
          </w:p>
        </w:tc>
        <w:tc>
          <w:tcPr>
            <w:tcW w:w="2268" w:type="dxa"/>
            <w:shd w:val="clear" w:color="auto" w:fill="auto"/>
            <w:vAlign w:val="center"/>
          </w:tcPr>
          <w:p w14:paraId="76537FC2">
            <w:pPr>
              <w:snapToGrid w:val="0"/>
              <w:spacing w:line="300" w:lineRule="auto"/>
              <w:jc w:val="center"/>
              <w:rPr>
                <w:rFonts w:cs="宋体"/>
                <w:snapToGrid w:val="0"/>
                <w:color w:val="000000" w:themeColor="text1"/>
                <w:kern w:val="21"/>
                <w:szCs w:val="21"/>
                <w14:textFill>
                  <w14:solidFill>
                    <w14:schemeClr w14:val="tx1"/>
                  </w14:solidFill>
                </w14:textFill>
              </w:rPr>
            </w:pPr>
            <w:r>
              <w:rPr>
                <w:rFonts w:hint="eastAsia"/>
              </w:rPr>
              <w:t>BOD</w:t>
            </w:r>
            <w:r>
              <w:rPr>
                <w:rFonts w:hint="eastAsia"/>
                <w:vertAlign w:val="subscript"/>
              </w:rPr>
              <w:t>5</w:t>
            </w:r>
            <w:r>
              <w:rPr>
                <w:rFonts w:hint="eastAsia"/>
              </w:rPr>
              <w:t>（t/a）</w:t>
            </w:r>
          </w:p>
        </w:tc>
        <w:tc>
          <w:tcPr>
            <w:tcW w:w="1705" w:type="dxa"/>
            <w:vAlign w:val="center"/>
          </w:tcPr>
          <w:p w14:paraId="7C592557">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02FA8228">
            <w:pPr>
              <w:pStyle w:val="28"/>
              <w:rPr>
                <w:rFonts w:cs="宋体"/>
                <w:snapToGrid w:val="0"/>
                <w:color w:val="000000" w:themeColor="text1"/>
                <w:kern w:val="21"/>
                <w14:textFill>
                  <w14:solidFill>
                    <w14:schemeClr w14:val="tx1"/>
                  </w14:solidFill>
                </w14:textFill>
              </w:rPr>
            </w:pPr>
          </w:p>
        </w:tc>
        <w:tc>
          <w:tcPr>
            <w:tcW w:w="1500" w:type="dxa"/>
            <w:vAlign w:val="center"/>
          </w:tcPr>
          <w:p w14:paraId="5F5FDC45">
            <w:pPr>
              <w:pStyle w:val="28"/>
              <w:rPr>
                <w:rFonts w:cs="宋体"/>
                <w:snapToGrid w:val="0"/>
                <w:color w:val="000000" w:themeColor="text1"/>
                <w:kern w:val="21"/>
                <w14:textFill>
                  <w14:solidFill>
                    <w14:schemeClr w14:val="tx1"/>
                  </w14:solidFill>
                </w14:textFill>
              </w:rPr>
            </w:pPr>
          </w:p>
        </w:tc>
        <w:tc>
          <w:tcPr>
            <w:tcW w:w="1541" w:type="dxa"/>
            <w:vAlign w:val="center"/>
          </w:tcPr>
          <w:p w14:paraId="7B92358E">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1470" w:type="dxa"/>
            <w:vAlign w:val="center"/>
          </w:tcPr>
          <w:p w14:paraId="331D8E69">
            <w:pPr>
              <w:pStyle w:val="28"/>
              <w:rPr>
                <w:rFonts w:cs="宋体"/>
                <w:snapToGrid w:val="0"/>
                <w:color w:val="000000" w:themeColor="text1"/>
                <w:kern w:val="21"/>
                <w14:textFill>
                  <w14:solidFill>
                    <w14:schemeClr w14:val="tx1"/>
                  </w14:solidFill>
                </w14:textFill>
              </w:rPr>
            </w:pPr>
          </w:p>
        </w:tc>
        <w:tc>
          <w:tcPr>
            <w:tcW w:w="1747" w:type="dxa"/>
            <w:vAlign w:val="center"/>
          </w:tcPr>
          <w:p w14:paraId="0FED1582">
            <w:pPr>
              <w:widowControl/>
              <w:jc w:val="center"/>
              <w:textAlignment w:val="center"/>
              <w:rPr>
                <w:rFonts w:cs="宋体"/>
                <w:snapToGrid w:val="0"/>
                <w:color w:val="000000" w:themeColor="text1"/>
                <w:kern w:val="21"/>
                <w:szCs w:val="21"/>
                <w14:textFill>
                  <w14:solidFill>
                    <w14:schemeClr w14:val="tx1"/>
                  </w14:solidFill>
                </w14:textFill>
              </w:rPr>
            </w:pPr>
            <w:r>
              <w:rPr>
                <w:rFonts w:hint="eastAsia"/>
                <w:color w:val="000000"/>
                <w:kern w:val="0"/>
                <w:szCs w:val="21"/>
                <w:lang w:bidi="ar"/>
              </w:rPr>
              <w:t>/</w:t>
            </w:r>
          </w:p>
        </w:tc>
        <w:tc>
          <w:tcPr>
            <w:tcW w:w="1038" w:type="dxa"/>
            <w:vAlign w:val="center"/>
          </w:tcPr>
          <w:p w14:paraId="155EDB05">
            <w:pPr>
              <w:pStyle w:val="28"/>
              <w:rPr>
                <w:rFonts w:cs="宋体"/>
                <w:snapToGrid w:val="0"/>
                <w:color w:val="000000" w:themeColor="text1"/>
                <w:kern w:val="21"/>
                <w14:textFill>
                  <w14:solidFill>
                    <w14:schemeClr w14:val="tx1"/>
                  </w14:solidFill>
                </w14:textFill>
              </w:rPr>
            </w:pPr>
            <w:r>
              <w:rPr>
                <w:rFonts w:hint="eastAsia"/>
                <w:color w:val="000000"/>
                <w:lang w:bidi="ar"/>
              </w:rPr>
              <w:t>/</w:t>
            </w:r>
          </w:p>
        </w:tc>
      </w:tr>
      <w:tr w14:paraId="1C76A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2371FAB2">
            <w:pPr>
              <w:pStyle w:val="28"/>
              <w:rPr>
                <w:rFonts w:cs="宋体"/>
                <w:snapToGrid w:val="0"/>
                <w:color w:val="000000" w:themeColor="text1"/>
                <w:kern w:val="21"/>
                <w14:textFill>
                  <w14:solidFill>
                    <w14:schemeClr w14:val="tx1"/>
                  </w14:solidFill>
                </w14:textFill>
              </w:rPr>
            </w:pPr>
          </w:p>
        </w:tc>
        <w:tc>
          <w:tcPr>
            <w:tcW w:w="2268" w:type="dxa"/>
            <w:shd w:val="clear" w:color="auto" w:fill="auto"/>
            <w:vAlign w:val="center"/>
          </w:tcPr>
          <w:p w14:paraId="66AB38BB">
            <w:pPr>
              <w:snapToGrid w:val="0"/>
              <w:spacing w:line="300" w:lineRule="auto"/>
              <w:jc w:val="center"/>
              <w:rPr>
                <w:rFonts w:cs="宋体"/>
                <w:snapToGrid w:val="0"/>
                <w:color w:val="000000" w:themeColor="text1"/>
                <w:kern w:val="21"/>
                <w:szCs w:val="21"/>
                <w14:textFill>
                  <w14:solidFill>
                    <w14:schemeClr w14:val="tx1"/>
                  </w14:solidFill>
                </w14:textFill>
              </w:rPr>
            </w:pPr>
            <w:r>
              <w:rPr>
                <w:rFonts w:hint="eastAsia"/>
              </w:rPr>
              <w:t>动植物油（t/a）</w:t>
            </w:r>
          </w:p>
        </w:tc>
        <w:tc>
          <w:tcPr>
            <w:tcW w:w="1705" w:type="dxa"/>
            <w:vAlign w:val="center"/>
          </w:tcPr>
          <w:p w14:paraId="51AC555E">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5B53E584">
            <w:pPr>
              <w:pStyle w:val="28"/>
              <w:rPr>
                <w:rFonts w:cs="宋体"/>
                <w:snapToGrid w:val="0"/>
                <w:color w:val="000000" w:themeColor="text1"/>
                <w:kern w:val="21"/>
                <w14:textFill>
                  <w14:solidFill>
                    <w14:schemeClr w14:val="tx1"/>
                  </w14:solidFill>
                </w14:textFill>
              </w:rPr>
            </w:pPr>
          </w:p>
        </w:tc>
        <w:tc>
          <w:tcPr>
            <w:tcW w:w="1500" w:type="dxa"/>
            <w:vAlign w:val="center"/>
          </w:tcPr>
          <w:p w14:paraId="3C98E826">
            <w:pPr>
              <w:pStyle w:val="28"/>
              <w:rPr>
                <w:rFonts w:cs="宋体"/>
                <w:snapToGrid w:val="0"/>
                <w:color w:val="000000" w:themeColor="text1"/>
                <w:kern w:val="21"/>
                <w14:textFill>
                  <w14:solidFill>
                    <w14:schemeClr w14:val="tx1"/>
                  </w14:solidFill>
                </w14:textFill>
              </w:rPr>
            </w:pPr>
          </w:p>
        </w:tc>
        <w:tc>
          <w:tcPr>
            <w:tcW w:w="1541" w:type="dxa"/>
            <w:vAlign w:val="center"/>
          </w:tcPr>
          <w:p w14:paraId="510EC28F">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1470" w:type="dxa"/>
            <w:vAlign w:val="center"/>
          </w:tcPr>
          <w:p w14:paraId="3E4AD01A">
            <w:pPr>
              <w:pStyle w:val="28"/>
              <w:rPr>
                <w:rFonts w:cs="宋体"/>
                <w:snapToGrid w:val="0"/>
                <w:color w:val="000000" w:themeColor="text1"/>
                <w:kern w:val="21"/>
                <w14:textFill>
                  <w14:solidFill>
                    <w14:schemeClr w14:val="tx1"/>
                  </w14:solidFill>
                </w14:textFill>
              </w:rPr>
            </w:pPr>
          </w:p>
        </w:tc>
        <w:tc>
          <w:tcPr>
            <w:tcW w:w="1747" w:type="dxa"/>
            <w:vAlign w:val="center"/>
          </w:tcPr>
          <w:p w14:paraId="571E3B5A">
            <w:pPr>
              <w:widowControl/>
              <w:jc w:val="center"/>
              <w:textAlignment w:val="center"/>
              <w:rPr>
                <w:rFonts w:cs="宋体"/>
                <w:snapToGrid w:val="0"/>
                <w:color w:val="000000" w:themeColor="text1"/>
                <w:kern w:val="21"/>
                <w:szCs w:val="21"/>
                <w14:textFill>
                  <w14:solidFill>
                    <w14:schemeClr w14:val="tx1"/>
                  </w14:solidFill>
                </w14:textFill>
              </w:rPr>
            </w:pPr>
            <w:r>
              <w:rPr>
                <w:rFonts w:hint="eastAsia"/>
                <w:color w:val="000000"/>
                <w:kern w:val="0"/>
                <w:szCs w:val="21"/>
                <w:lang w:bidi="ar"/>
              </w:rPr>
              <w:t>/</w:t>
            </w:r>
          </w:p>
        </w:tc>
        <w:tc>
          <w:tcPr>
            <w:tcW w:w="1038" w:type="dxa"/>
            <w:vAlign w:val="center"/>
          </w:tcPr>
          <w:p w14:paraId="3DD7D798">
            <w:pPr>
              <w:pStyle w:val="28"/>
              <w:rPr>
                <w:rFonts w:cs="宋体"/>
                <w:snapToGrid w:val="0"/>
                <w:color w:val="000000" w:themeColor="text1"/>
                <w:kern w:val="21"/>
                <w14:textFill>
                  <w14:solidFill>
                    <w14:schemeClr w14:val="tx1"/>
                  </w14:solidFill>
                </w14:textFill>
              </w:rPr>
            </w:pPr>
            <w:r>
              <w:rPr>
                <w:rFonts w:hint="eastAsia"/>
                <w:color w:val="000000"/>
                <w:lang w:bidi="ar"/>
              </w:rPr>
              <w:t>/</w:t>
            </w:r>
          </w:p>
        </w:tc>
      </w:tr>
      <w:tr w14:paraId="1B392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0F957A18">
            <w:pPr>
              <w:pStyle w:val="28"/>
              <w:rPr>
                <w:rFonts w:cs="宋体"/>
                <w:snapToGrid w:val="0"/>
                <w:color w:val="000000" w:themeColor="text1"/>
                <w:kern w:val="21"/>
                <w14:textFill>
                  <w14:solidFill>
                    <w14:schemeClr w14:val="tx1"/>
                  </w14:solidFill>
                </w14:textFill>
              </w:rPr>
            </w:pPr>
          </w:p>
        </w:tc>
        <w:tc>
          <w:tcPr>
            <w:tcW w:w="2268" w:type="dxa"/>
            <w:shd w:val="clear" w:color="auto" w:fill="auto"/>
            <w:vAlign w:val="center"/>
          </w:tcPr>
          <w:p w14:paraId="7479A024">
            <w:pPr>
              <w:snapToGrid w:val="0"/>
              <w:spacing w:line="300" w:lineRule="auto"/>
              <w:jc w:val="center"/>
              <w:rPr>
                <w:rFonts w:cs="宋体"/>
                <w:snapToGrid w:val="0"/>
                <w:color w:val="000000" w:themeColor="text1"/>
                <w:kern w:val="21"/>
                <w:szCs w:val="21"/>
                <w14:textFill>
                  <w14:solidFill>
                    <w14:schemeClr w14:val="tx1"/>
                  </w14:solidFill>
                </w14:textFill>
              </w:rPr>
            </w:pPr>
            <w:r>
              <w:t>SS</w:t>
            </w:r>
            <w:r>
              <w:rPr>
                <w:rFonts w:hint="eastAsia"/>
              </w:rPr>
              <w:t>（t/a）</w:t>
            </w:r>
          </w:p>
        </w:tc>
        <w:tc>
          <w:tcPr>
            <w:tcW w:w="1705" w:type="dxa"/>
            <w:vAlign w:val="center"/>
          </w:tcPr>
          <w:p w14:paraId="79017278">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47916D4A">
            <w:pPr>
              <w:pStyle w:val="28"/>
              <w:rPr>
                <w:rFonts w:cs="宋体"/>
                <w:snapToGrid w:val="0"/>
                <w:color w:val="000000" w:themeColor="text1"/>
                <w:kern w:val="21"/>
                <w14:textFill>
                  <w14:solidFill>
                    <w14:schemeClr w14:val="tx1"/>
                  </w14:solidFill>
                </w14:textFill>
              </w:rPr>
            </w:pPr>
          </w:p>
        </w:tc>
        <w:tc>
          <w:tcPr>
            <w:tcW w:w="1500" w:type="dxa"/>
            <w:vAlign w:val="center"/>
          </w:tcPr>
          <w:p w14:paraId="311A87ED">
            <w:pPr>
              <w:pStyle w:val="28"/>
              <w:rPr>
                <w:rFonts w:cs="宋体"/>
                <w:snapToGrid w:val="0"/>
                <w:color w:val="000000" w:themeColor="text1"/>
                <w:kern w:val="21"/>
                <w14:textFill>
                  <w14:solidFill>
                    <w14:schemeClr w14:val="tx1"/>
                  </w14:solidFill>
                </w14:textFill>
              </w:rPr>
            </w:pPr>
          </w:p>
        </w:tc>
        <w:tc>
          <w:tcPr>
            <w:tcW w:w="1541" w:type="dxa"/>
            <w:vAlign w:val="center"/>
          </w:tcPr>
          <w:p w14:paraId="61DD52FB">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1470" w:type="dxa"/>
            <w:vAlign w:val="center"/>
          </w:tcPr>
          <w:p w14:paraId="02C556C2">
            <w:pPr>
              <w:pStyle w:val="28"/>
              <w:rPr>
                <w:rFonts w:cs="宋体"/>
                <w:snapToGrid w:val="0"/>
                <w:color w:val="000000" w:themeColor="text1"/>
                <w:kern w:val="21"/>
                <w14:textFill>
                  <w14:solidFill>
                    <w14:schemeClr w14:val="tx1"/>
                  </w14:solidFill>
                </w14:textFill>
              </w:rPr>
            </w:pPr>
          </w:p>
        </w:tc>
        <w:tc>
          <w:tcPr>
            <w:tcW w:w="1747" w:type="dxa"/>
            <w:vAlign w:val="center"/>
          </w:tcPr>
          <w:p w14:paraId="679DEF58">
            <w:pPr>
              <w:widowControl/>
              <w:jc w:val="center"/>
              <w:textAlignment w:val="center"/>
              <w:rPr>
                <w:rFonts w:cs="宋体"/>
                <w:snapToGrid w:val="0"/>
                <w:color w:val="000000" w:themeColor="text1"/>
                <w:kern w:val="21"/>
                <w:szCs w:val="21"/>
                <w14:textFill>
                  <w14:solidFill>
                    <w14:schemeClr w14:val="tx1"/>
                  </w14:solidFill>
                </w14:textFill>
              </w:rPr>
            </w:pPr>
            <w:r>
              <w:rPr>
                <w:rFonts w:hint="eastAsia"/>
                <w:color w:val="000000"/>
                <w:kern w:val="0"/>
                <w:szCs w:val="21"/>
                <w:lang w:bidi="ar"/>
              </w:rPr>
              <w:t>/</w:t>
            </w:r>
          </w:p>
        </w:tc>
        <w:tc>
          <w:tcPr>
            <w:tcW w:w="1038" w:type="dxa"/>
            <w:vAlign w:val="center"/>
          </w:tcPr>
          <w:p w14:paraId="30F3FCE1">
            <w:pPr>
              <w:pStyle w:val="28"/>
              <w:rPr>
                <w:rFonts w:cs="宋体"/>
                <w:snapToGrid w:val="0"/>
                <w:color w:val="000000" w:themeColor="text1"/>
                <w:kern w:val="21"/>
                <w14:textFill>
                  <w14:solidFill>
                    <w14:schemeClr w14:val="tx1"/>
                  </w14:solidFill>
                </w14:textFill>
              </w:rPr>
            </w:pPr>
            <w:r>
              <w:rPr>
                <w:rFonts w:hint="eastAsia"/>
                <w:color w:val="000000"/>
                <w:lang w:bidi="ar"/>
              </w:rPr>
              <w:t>/</w:t>
            </w:r>
          </w:p>
        </w:tc>
      </w:tr>
      <w:tr w14:paraId="00508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79EE3FE6">
            <w:pPr>
              <w:pStyle w:val="28"/>
              <w:rPr>
                <w:rFonts w:cs="宋体"/>
                <w:snapToGrid w:val="0"/>
                <w:color w:val="000000" w:themeColor="text1"/>
                <w:kern w:val="21"/>
                <w14:textFill>
                  <w14:solidFill>
                    <w14:schemeClr w14:val="tx1"/>
                  </w14:solidFill>
                </w14:textFill>
              </w:rPr>
            </w:pPr>
          </w:p>
        </w:tc>
        <w:tc>
          <w:tcPr>
            <w:tcW w:w="2268" w:type="dxa"/>
            <w:shd w:val="clear" w:color="auto" w:fill="auto"/>
            <w:vAlign w:val="center"/>
          </w:tcPr>
          <w:p w14:paraId="441656DC">
            <w:pPr>
              <w:snapToGrid w:val="0"/>
              <w:spacing w:line="300" w:lineRule="auto"/>
              <w:jc w:val="center"/>
              <w:rPr>
                <w:rFonts w:cs="宋体"/>
                <w:snapToGrid w:val="0"/>
                <w:color w:val="000000" w:themeColor="text1"/>
                <w:kern w:val="21"/>
                <w:szCs w:val="21"/>
                <w14:textFill>
                  <w14:solidFill>
                    <w14:schemeClr w14:val="tx1"/>
                  </w14:solidFill>
                </w14:textFill>
              </w:rPr>
            </w:pPr>
            <w:r>
              <w:rPr>
                <w:rFonts w:hint="eastAsia"/>
              </w:rPr>
              <w:t>总磷</w:t>
            </w:r>
          </w:p>
        </w:tc>
        <w:tc>
          <w:tcPr>
            <w:tcW w:w="1705" w:type="dxa"/>
            <w:vAlign w:val="center"/>
          </w:tcPr>
          <w:p w14:paraId="280F1CF3">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66D666C0">
            <w:pPr>
              <w:pStyle w:val="28"/>
              <w:rPr>
                <w:rFonts w:cs="宋体"/>
                <w:snapToGrid w:val="0"/>
                <w:color w:val="000000" w:themeColor="text1"/>
                <w:kern w:val="21"/>
                <w14:textFill>
                  <w14:solidFill>
                    <w14:schemeClr w14:val="tx1"/>
                  </w14:solidFill>
                </w14:textFill>
              </w:rPr>
            </w:pPr>
          </w:p>
        </w:tc>
        <w:tc>
          <w:tcPr>
            <w:tcW w:w="1500" w:type="dxa"/>
            <w:vAlign w:val="center"/>
          </w:tcPr>
          <w:p w14:paraId="4A30B0BC">
            <w:pPr>
              <w:pStyle w:val="28"/>
              <w:rPr>
                <w:rFonts w:cs="宋体"/>
                <w:snapToGrid w:val="0"/>
                <w:color w:val="000000" w:themeColor="text1"/>
                <w:kern w:val="21"/>
                <w14:textFill>
                  <w14:solidFill>
                    <w14:schemeClr w14:val="tx1"/>
                  </w14:solidFill>
                </w14:textFill>
              </w:rPr>
            </w:pPr>
          </w:p>
        </w:tc>
        <w:tc>
          <w:tcPr>
            <w:tcW w:w="1541" w:type="dxa"/>
            <w:vAlign w:val="center"/>
          </w:tcPr>
          <w:p w14:paraId="48F90618">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1470" w:type="dxa"/>
            <w:vAlign w:val="center"/>
          </w:tcPr>
          <w:p w14:paraId="146BB2D8">
            <w:pPr>
              <w:pStyle w:val="28"/>
              <w:rPr>
                <w:rFonts w:cs="宋体"/>
                <w:snapToGrid w:val="0"/>
                <w:color w:val="000000" w:themeColor="text1"/>
                <w:kern w:val="21"/>
                <w14:textFill>
                  <w14:solidFill>
                    <w14:schemeClr w14:val="tx1"/>
                  </w14:solidFill>
                </w14:textFill>
              </w:rPr>
            </w:pPr>
          </w:p>
        </w:tc>
        <w:tc>
          <w:tcPr>
            <w:tcW w:w="1747" w:type="dxa"/>
            <w:vAlign w:val="center"/>
          </w:tcPr>
          <w:p w14:paraId="02B8C012">
            <w:pPr>
              <w:widowControl/>
              <w:jc w:val="center"/>
              <w:textAlignment w:val="center"/>
              <w:rPr>
                <w:rFonts w:cs="宋体"/>
                <w:snapToGrid w:val="0"/>
                <w:color w:val="000000" w:themeColor="text1"/>
                <w:kern w:val="21"/>
                <w:szCs w:val="21"/>
                <w14:textFill>
                  <w14:solidFill>
                    <w14:schemeClr w14:val="tx1"/>
                  </w14:solidFill>
                </w14:textFill>
              </w:rPr>
            </w:pPr>
            <w:r>
              <w:rPr>
                <w:rFonts w:hint="eastAsia"/>
                <w:color w:val="000000"/>
                <w:kern w:val="0"/>
                <w:szCs w:val="21"/>
                <w:lang w:bidi="ar"/>
              </w:rPr>
              <w:t>/</w:t>
            </w:r>
          </w:p>
        </w:tc>
        <w:tc>
          <w:tcPr>
            <w:tcW w:w="1038" w:type="dxa"/>
            <w:vAlign w:val="center"/>
          </w:tcPr>
          <w:p w14:paraId="04AD1D7A">
            <w:pPr>
              <w:pStyle w:val="28"/>
              <w:rPr>
                <w:rFonts w:cs="宋体"/>
                <w:snapToGrid w:val="0"/>
                <w:color w:val="000000" w:themeColor="text1"/>
                <w:kern w:val="21"/>
                <w14:textFill>
                  <w14:solidFill>
                    <w14:schemeClr w14:val="tx1"/>
                  </w14:solidFill>
                </w14:textFill>
              </w:rPr>
            </w:pPr>
            <w:r>
              <w:rPr>
                <w:rFonts w:hint="eastAsia"/>
                <w:color w:val="000000"/>
                <w:lang w:bidi="ar"/>
              </w:rPr>
              <w:t>/</w:t>
            </w:r>
          </w:p>
        </w:tc>
      </w:tr>
      <w:tr w14:paraId="09519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2C794979">
            <w:pPr>
              <w:pStyle w:val="28"/>
              <w:rPr>
                <w:rFonts w:cs="宋体"/>
                <w:snapToGrid w:val="0"/>
                <w:color w:val="000000" w:themeColor="text1"/>
                <w:kern w:val="21"/>
                <w14:textFill>
                  <w14:solidFill>
                    <w14:schemeClr w14:val="tx1"/>
                  </w14:solidFill>
                </w14:textFill>
              </w:rPr>
            </w:pPr>
          </w:p>
        </w:tc>
        <w:tc>
          <w:tcPr>
            <w:tcW w:w="2268" w:type="dxa"/>
            <w:vAlign w:val="center"/>
          </w:tcPr>
          <w:p w14:paraId="44047EE1">
            <w:pPr>
              <w:snapToGrid w:val="0"/>
              <w:spacing w:line="300" w:lineRule="auto"/>
              <w:jc w:val="center"/>
              <w:rPr>
                <w:rFonts w:cs="宋体"/>
                <w:snapToGrid w:val="0"/>
                <w:color w:val="000000" w:themeColor="text1"/>
                <w:kern w:val="21"/>
                <w:szCs w:val="21"/>
                <w14:textFill>
                  <w14:solidFill>
                    <w14:schemeClr w14:val="tx1"/>
                  </w14:solidFill>
                </w14:textFill>
              </w:rPr>
            </w:pPr>
            <w:r>
              <w:rPr>
                <w:rFonts w:hint="eastAsia"/>
              </w:rPr>
              <w:t>总氮</w:t>
            </w:r>
          </w:p>
        </w:tc>
        <w:tc>
          <w:tcPr>
            <w:tcW w:w="1705" w:type="dxa"/>
            <w:vAlign w:val="center"/>
          </w:tcPr>
          <w:p w14:paraId="7B844973">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1D02C2DB">
            <w:pPr>
              <w:pStyle w:val="28"/>
              <w:rPr>
                <w:rFonts w:cs="宋体"/>
                <w:snapToGrid w:val="0"/>
                <w:color w:val="000000" w:themeColor="text1"/>
                <w:kern w:val="21"/>
                <w14:textFill>
                  <w14:solidFill>
                    <w14:schemeClr w14:val="tx1"/>
                  </w14:solidFill>
                </w14:textFill>
              </w:rPr>
            </w:pPr>
          </w:p>
        </w:tc>
        <w:tc>
          <w:tcPr>
            <w:tcW w:w="1500" w:type="dxa"/>
            <w:vAlign w:val="center"/>
          </w:tcPr>
          <w:p w14:paraId="0DFA0BA0">
            <w:pPr>
              <w:pStyle w:val="28"/>
              <w:rPr>
                <w:rFonts w:cs="宋体"/>
                <w:snapToGrid w:val="0"/>
                <w:color w:val="000000" w:themeColor="text1"/>
                <w:kern w:val="21"/>
                <w14:textFill>
                  <w14:solidFill>
                    <w14:schemeClr w14:val="tx1"/>
                  </w14:solidFill>
                </w14:textFill>
              </w:rPr>
            </w:pPr>
          </w:p>
        </w:tc>
        <w:tc>
          <w:tcPr>
            <w:tcW w:w="1541" w:type="dxa"/>
            <w:vAlign w:val="center"/>
          </w:tcPr>
          <w:p w14:paraId="4C9CB837">
            <w:pPr>
              <w:widowControl/>
              <w:jc w:val="center"/>
              <w:textAlignment w:val="center"/>
              <w:rPr>
                <w:rFonts w:cs="宋体"/>
                <w:snapToGrid w:val="0"/>
                <w:color w:val="000000" w:themeColor="text1"/>
                <w:kern w:val="21"/>
                <w:szCs w:val="21"/>
                <w14:textFill>
                  <w14:solidFill>
                    <w14:schemeClr w14:val="tx1"/>
                  </w14:solidFill>
                </w14:textFill>
              </w:rPr>
            </w:pPr>
            <w:r>
              <w:rPr>
                <w:rFonts w:hint="eastAsia" w:cs="宋体"/>
                <w:snapToGrid w:val="0"/>
                <w:color w:val="000000" w:themeColor="text1"/>
                <w:kern w:val="21"/>
                <w:szCs w:val="21"/>
                <w14:textFill>
                  <w14:solidFill>
                    <w14:schemeClr w14:val="tx1"/>
                  </w14:solidFill>
                </w14:textFill>
              </w:rPr>
              <w:t>/</w:t>
            </w:r>
          </w:p>
        </w:tc>
        <w:tc>
          <w:tcPr>
            <w:tcW w:w="1470" w:type="dxa"/>
            <w:vAlign w:val="center"/>
          </w:tcPr>
          <w:p w14:paraId="3353ED93">
            <w:pPr>
              <w:pStyle w:val="28"/>
              <w:rPr>
                <w:rFonts w:cs="宋体"/>
                <w:snapToGrid w:val="0"/>
                <w:color w:val="000000" w:themeColor="text1"/>
                <w:kern w:val="21"/>
                <w14:textFill>
                  <w14:solidFill>
                    <w14:schemeClr w14:val="tx1"/>
                  </w14:solidFill>
                </w14:textFill>
              </w:rPr>
            </w:pPr>
          </w:p>
        </w:tc>
        <w:tc>
          <w:tcPr>
            <w:tcW w:w="1747" w:type="dxa"/>
            <w:vAlign w:val="center"/>
          </w:tcPr>
          <w:p w14:paraId="35CDE0D7">
            <w:pPr>
              <w:widowControl/>
              <w:jc w:val="center"/>
              <w:textAlignment w:val="center"/>
              <w:rPr>
                <w:rFonts w:cs="宋体"/>
                <w:snapToGrid w:val="0"/>
                <w:color w:val="000000" w:themeColor="text1"/>
                <w:kern w:val="21"/>
                <w:szCs w:val="21"/>
                <w14:textFill>
                  <w14:solidFill>
                    <w14:schemeClr w14:val="tx1"/>
                  </w14:solidFill>
                </w14:textFill>
              </w:rPr>
            </w:pPr>
            <w:r>
              <w:rPr>
                <w:rFonts w:hint="eastAsia"/>
                <w:color w:val="000000"/>
                <w:kern w:val="0"/>
                <w:szCs w:val="21"/>
                <w:lang w:bidi="ar"/>
              </w:rPr>
              <w:t>/</w:t>
            </w:r>
          </w:p>
        </w:tc>
        <w:tc>
          <w:tcPr>
            <w:tcW w:w="1038" w:type="dxa"/>
            <w:vAlign w:val="center"/>
          </w:tcPr>
          <w:p w14:paraId="36377A0A">
            <w:pPr>
              <w:pStyle w:val="28"/>
              <w:rPr>
                <w:rFonts w:cs="宋体"/>
                <w:snapToGrid w:val="0"/>
                <w:color w:val="000000" w:themeColor="text1"/>
                <w:kern w:val="21"/>
                <w14:textFill>
                  <w14:solidFill>
                    <w14:schemeClr w14:val="tx1"/>
                  </w14:solidFill>
                </w14:textFill>
              </w:rPr>
            </w:pPr>
            <w:r>
              <w:rPr>
                <w:rFonts w:hint="eastAsia"/>
                <w:color w:val="000000"/>
                <w:lang w:bidi="ar"/>
              </w:rPr>
              <w:t>/</w:t>
            </w:r>
          </w:p>
        </w:tc>
      </w:tr>
      <w:tr w14:paraId="4F917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14:paraId="19BF5A13">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一般工业固体废物</w:t>
            </w:r>
          </w:p>
        </w:tc>
        <w:tc>
          <w:tcPr>
            <w:tcW w:w="2268" w:type="dxa"/>
            <w:vAlign w:val="center"/>
          </w:tcPr>
          <w:p w14:paraId="5CEF5B39">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生活垃圾</w:t>
            </w:r>
          </w:p>
        </w:tc>
        <w:tc>
          <w:tcPr>
            <w:tcW w:w="1705" w:type="dxa"/>
            <w:vAlign w:val="center"/>
          </w:tcPr>
          <w:p w14:paraId="658B8F1E">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14</w:t>
            </w:r>
          </w:p>
        </w:tc>
        <w:tc>
          <w:tcPr>
            <w:tcW w:w="1514" w:type="dxa"/>
            <w:vAlign w:val="center"/>
          </w:tcPr>
          <w:p w14:paraId="35FE63F1">
            <w:pPr>
              <w:pStyle w:val="28"/>
              <w:rPr>
                <w:rFonts w:cs="宋体"/>
                <w:snapToGrid w:val="0"/>
                <w:color w:val="000000" w:themeColor="text1"/>
                <w:kern w:val="21"/>
                <w14:textFill>
                  <w14:solidFill>
                    <w14:schemeClr w14:val="tx1"/>
                  </w14:solidFill>
                </w14:textFill>
              </w:rPr>
            </w:pPr>
          </w:p>
        </w:tc>
        <w:tc>
          <w:tcPr>
            <w:tcW w:w="1500" w:type="dxa"/>
            <w:vAlign w:val="center"/>
          </w:tcPr>
          <w:p w14:paraId="7B4CD98E">
            <w:pPr>
              <w:pStyle w:val="28"/>
              <w:rPr>
                <w:rFonts w:cs="宋体"/>
                <w:snapToGrid w:val="0"/>
                <w:color w:val="000000" w:themeColor="text1"/>
                <w:kern w:val="21"/>
                <w14:textFill>
                  <w14:solidFill>
                    <w14:schemeClr w14:val="tx1"/>
                  </w14:solidFill>
                </w14:textFill>
              </w:rPr>
            </w:pPr>
          </w:p>
        </w:tc>
        <w:tc>
          <w:tcPr>
            <w:tcW w:w="1541" w:type="dxa"/>
            <w:vAlign w:val="center"/>
          </w:tcPr>
          <w:p w14:paraId="4E4327F4">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w:t>
            </w:r>
          </w:p>
        </w:tc>
        <w:tc>
          <w:tcPr>
            <w:tcW w:w="1470" w:type="dxa"/>
            <w:vAlign w:val="center"/>
          </w:tcPr>
          <w:p w14:paraId="01608FCA">
            <w:pPr>
              <w:pStyle w:val="28"/>
              <w:rPr>
                <w:rFonts w:cs="宋体"/>
                <w:snapToGrid w:val="0"/>
                <w:color w:val="000000" w:themeColor="text1"/>
                <w:kern w:val="21"/>
                <w14:textFill>
                  <w14:solidFill>
                    <w14:schemeClr w14:val="tx1"/>
                  </w14:solidFill>
                </w14:textFill>
              </w:rPr>
            </w:pPr>
          </w:p>
        </w:tc>
        <w:tc>
          <w:tcPr>
            <w:tcW w:w="1747" w:type="dxa"/>
            <w:shd w:val="clear" w:color="auto" w:fill="auto"/>
            <w:vAlign w:val="center"/>
          </w:tcPr>
          <w:p w14:paraId="7078EB2E">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14</w:t>
            </w:r>
          </w:p>
        </w:tc>
        <w:tc>
          <w:tcPr>
            <w:tcW w:w="1038" w:type="dxa"/>
            <w:vAlign w:val="center"/>
          </w:tcPr>
          <w:p w14:paraId="69E349C2">
            <w:pPr>
              <w:pStyle w:val="27"/>
              <w:textAlignment w:val="center"/>
              <w:rPr>
                <w:rFonts w:hint="default"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0</w:t>
            </w:r>
          </w:p>
        </w:tc>
      </w:tr>
      <w:tr w14:paraId="5D3B0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1B307107">
            <w:pPr>
              <w:pStyle w:val="28"/>
              <w:rPr>
                <w:rFonts w:cs="宋体"/>
                <w:snapToGrid w:val="0"/>
                <w:color w:val="000000" w:themeColor="text1"/>
                <w:kern w:val="21"/>
                <w14:textFill>
                  <w14:solidFill>
                    <w14:schemeClr w14:val="tx1"/>
                  </w14:solidFill>
                </w14:textFill>
              </w:rPr>
            </w:pPr>
          </w:p>
        </w:tc>
        <w:tc>
          <w:tcPr>
            <w:tcW w:w="2268" w:type="dxa"/>
            <w:vAlign w:val="center"/>
          </w:tcPr>
          <w:p w14:paraId="2C6CEC0A">
            <w:pPr>
              <w:widowControl/>
              <w:jc w:val="center"/>
              <w:rPr>
                <w:rFonts w:cs="宋体"/>
                <w:snapToGrid w:val="0"/>
                <w:color w:val="000000" w:themeColor="text1"/>
                <w:kern w:val="2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羊粪便及羊胃内容物</w:t>
            </w:r>
          </w:p>
        </w:tc>
        <w:tc>
          <w:tcPr>
            <w:tcW w:w="1705" w:type="dxa"/>
            <w:vAlign w:val="center"/>
          </w:tcPr>
          <w:p w14:paraId="69A814F2">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70387588">
            <w:pPr>
              <w:pStyle w:val="28"/>
              <w:rPr>
                <w:rFonts w:cs="宋体"/>
                <w:snapToGrid w:val="0"/>
                <w:color w:val="000000" w:themeColor="text1"/>
                <w:kern w:val="21"/>
                <w14:textFill>
                  <w14:solidFill>
                    <w14:schemeClr w14:val="tx1"/>
                  </w14:solidFill>
                </w14:textFill>
              </w:rPr>
            </w:pPr>
          </w:p>
        </w:tc>
        <w:tc>
          <w:tcPr>
            <w:tcW w:w="1500" w:type="dxa"/>
            <w:vAlign w:val="center"/>
          </w:tcPr>
          <w:p w14:paraId="4101D8A5">
            <w:pPr>
              <w:pStyle w:val="28"/>
              <w:rPr>
                <w:rFonts w:cs="宋体"/>
                <w:snapToGrid w:val="0"/>
                <w:color w:val="000000" w:themeColor="text1"/>
                <w:kern w:val="21"/>
                <w14:textFill>
                  <w14:solidFill>
                    <w14:schemeClr w14:val="tx1"/>
                  </w14:solidFill>
                </w14:textFill>
              </w:rPr>
            </w:pPr>
          </w:p>
        </w:tc>
        <w:tc>
          <w:tcPr>
            <w:tcW w:w="1541" w:type="dxa"/>
            <w:vAlign w:val="center"/>
          </w:tcPr>
          <w:p w14:paraId="7EE0FDB1">
            <w:pPr>
              <w:widowControl/>
              <w:jc w:val="center"/>
              <w:rPr>
                <w:color w:val="000000" w:themeColor="text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245</w:t>
            </w:r>
          </w:p>
        </w:tc>
        <w:tc>
          <w:tcPr>
            <w:tcW w:w="1470" w:type="dxa"/>
            <w:vAlign w:val="center"/>
          </w:tcPr>
          <w:p w14:paraId="187161A5">
            <w:pPr>
              <w:pStyle w:val="28"/>
              <w:rPr>
                <w:rFonts w:cs="宋体"/>
                <w:snapToGrid w:val="0"/>
                <w:color w:val="000000" w:themeColor="text1"/>
                <w:kern w:val="21"/>
                <w14:textFill>
                  <w14:solidFill>
                    <w14:schemeClr w14:val="tx1"/>
                  </w14:solidFill>
                </w14:textFill>
              </w:rPr>
            </w:pPr>
          </w:p>
        </w:tc>
        <w:tc>
          <w:tcPr>
            <w:tcW w:w="1747" w:type="dxa"/>
            <w:shd w:val="clear" w:color="auto" w:fill="auto"/>
            <w:vAlign w:val="center"/>
          </w:tcPr>
          <w:p w14:paraId="50BBB19C">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245</w:t>
            </w:r>
          </w:p>
        </w:tc>
        <w:tc>
          <w:tcPr>
            <w:tcW w:w="1038" w:type="dxa"/>
            <w:vAlign w:val="center"/>
          </w:tcPr>
          <w:p w14:paraId="4B999021">
            <w:pPr>
              <w:pStyle w:val="27"/>
              <w:textAlignment w:val="center"/>
              <w:rPr>
                <w:rFonts w:hint="default"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245</w:t>
            </w:r>
          </w:p>
        </w:tc>
      </w:tr>
      <w:tr w14:paraId="5BE31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3DCA3B28">
            <w:pPr>
              <w:pStyle w:val="28"/>
              <w:rPr>
                <w:rFonts w:cs="宋体"/>
                <w:snapToGrid w:val="0"/>
                <w:color w:val="000000" w:themeColor="text1"/>
                <w:kern w:val="21"/>
                <w14:textFill>
                  <w14:solidFill>
                    <w14:schemeClr w14:val="tx1"/>
                  </w14:solidFill>
                </w14:textFill>
              </w:rPr>
            </w:pPr>
          </w:p>
        </w:tc>
        <w:tc>
          <w:tcPr>
            <w:tcW w:w="2268" w:type="dxa"/>
            <w:shd w:val="clear" w:color="auto" w:fill="auto"/>
            <w:vAlign w:val="center"/>
          </w:tcPr>
          <w:p w14:paraId="124C407B">
            <w:pPr>
              <w:widowControl/>
              <w:jc w:val="center"/>
              <w:rPr>
                <w:rFonts w:cs="宋体"/>
                <w:snapToGrid w:val="0"/>
                <w:color w:val="000000" w:themeColor="text1"/>
                <w:kern w:val="2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牛粪便及牛胃内容物</w:t>
            </w:r>
          </w:p>
        </w:tc>
        <w:tc>
          <w:tcPr>
            <w:tcW w:w="1705" w:type="dxa"/>
            <w:vAlign w:val="center"/>
          </w:tcPr>
          <w:p w14:paraId="12526516">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660</w:t>
            </w:r>
          </w:p>
        </w:tc>
        <w:tc>
          <w:tcPr>
            <w:tcW w:w="1514" w:type="dxa"/>
            <w:vAlign w:val="center"/>
          </w:tcPr>
          <w:p w14:paraId="7DFCAB85">
            <w:pPr>
              <w:pStyle w:val="28"/>
              <w:rPr>
                <w:rFonts w:cs="宋体"/>
                <w:snapToGrid w:val="0"/>
                <w:color w:val="000000" w:themeColor="text1"/>
                <w:kern w:val="21"/>
                <w14:textFill>
                  <w14:solidFill>
                    <w14:schemeClr w14:val="tx1"/>
                  </w14:solidFill>
                </w14:textFill>
              </w:rPr>
            </w:pPr>
          </w:p>
        </w:tc>
        <w:tc>
          <w:tcPr>
            <w:tcW w:w="1500" w:type="dxa"/>
            <w:vAlign w:val="center"/>
          </w:tcPr>
          <w:p w14:paraId="614D05CD">
            <w:pPr>
              <w:pStyle w:val="28"/>
              <w:rPr>
                <w:rFonts w:cs="宋体"/>
                <w:snapToGrid w:val="0"/>
                <w:color w:val="000000" w:themeColor="text1"/>
                <w:kern w:val="21"/>
                <w14:textFill>
                  <w14:solidFill>
                    <w14:schemeClr w14:val="tx1"/>
                  </w14:solidFill>
                </w14:textFill>
              </w:rPr>
            </w:pPr>
          </w:p>
        </w:tc>
        <w:tc>
          <w:tcPr>
            <w:tcW w:w="1541" w:type="dxa"/>
            <w:vAlign w:val="center"/>
          </w:tcPr>
          <w:p w14:paraId="62E4664F">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w:t>
            </w:r>
          </w:p>
        </w:tc>
        <w:tc>
          <w:tcPr>
            <w:tcW w:w="1470" w:type="dxa"/>
            <w:vAlign w:val="center"/>
          </w:tcPr>
          <w:p w14:paraId="6F35C08F">
            <w:pPr>
              <w:pStyle w:val="28"/>
              <w:rPr>
                <w:rFonts w:cs="宋体"/>
                <w:snapToGrid w:val="0"/>
                <w:color w:val="000000" w:themeColor="text1"/>
                <w:kern w:val="21"/>
                <w14:textFill>
                  <w14:solidFill>
                    <w14:schemeClr w14:val="tx1"/>
                  </w14:solidFill>
                </w14:textFill>
              </w:rPr>
            </w:pPr>
          </w:p>
        </w:tc>
        <w:tc>
          <w:tcPr>
            <w:tcW w:w="1747" w:type="dxa"/>
            <w:shd w:val="clear" w:color="auto" w:fill="auto"/>
            <w:vAlign w:val="center"/>
          </w:tcPr>
          <w:p w14:paraId="7C29224F">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660</w:t>
            </w:r>
          </w:p>
        </w:tc>
        <w:tc>
          <w:tcPr>
            <w:tcW w:w="1038" w:type="dxa"/>
            <w:vAlign w:val="center"/>
          </w:tcPr>
          <w:p w14:paraId="51163459">
            <w:pPr>
              <w:pStyle w:val="27"/>
              <w:textAlignment w:val="center"/>
              <w:rPr>
                <w:rFonts w:hint="default"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0</w:t>
            </w:r>
          </w:p>
        </w:tc>
      </w:tr>
      <w:tr w14:paraId="43F95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325E6416">
            <w:pPr>
              <w:pStyle w:val="28"/>
              <w:rPr>
                <w:rFonts w:cs="宋体"/>
                <w:snapToGrid w:val="0"/>
                <w:color w:val="000000" w:themeColor="text1"/>
                <w:kern w:val="21"/>
                <w14:textFill>
                  <w14:solidFill>
                    <w14:schemeClr w14:val="tx1"/>
                  </w14:solidFill>
                </w14:textFill>
              </w:rPr>
            </w:pPr>
          </w:p>
        </w:tc>
        <w:tc>
          <w:tcPr>
            <w:tcW w:w="2268" w:type="dxa"/>
            <w:vAlign w:val="center"/>
          </w:tcPr>
          <w:p w14:paraId="6A327B54">
            <w:pPr>
              <w:widowControl/>
              <w:jc w:val="center"/>
              <w:rPr>
                <w:rFonts w:cs="宋体"/>
                <w:snapToGrid w:val="0"/>
                <w:color w:val="000000" w:themeColor="text1"/>
                <w:kern w:val="2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污泥</w:t>
            </w:r>
          </w:p>
        </w:tc>
        <w:tc>
          <w:tcPr>
            <w:tcW w:w="1705" w:type="dxa"/>
            <w:vAlign w:val="center"/>
          </w:tcPr>
          <w:p w14:paraId="2DB22F77">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810</w:t>
            </w:r>
          </w:p>
        </w:tc>
        <w:tc>
          <w:tcPr>
            <w:tcW w:w="1514" w:type="dxa"/>
            <w:vAlign w:val="center"/>
          </w:tcPr>
          <w:p w14:paraId="27D3BBED">
            <w:pPr>
              <w:pStyle w:val="28"/>
              <w:rPr>
                <w:rFonts w:cs="宋体"/>
                <w:snapToGrid w:val="0"/>
                <w:color w:val="000000" w:themeColor="text1"/>
                <w:kern w:val="21"/>
                <w14:textFill>
                  <w14:solidFill>
                    <w14:schemeClr w14:val="tx1"/>
                  </w14:solidFill>
                </w14:textFill>
              </w:rPr>
            </w:pPr>
          </w:p>
        </w:tc>
        <w:tc>
          <w:tcPr>
            <w:tcW w:w="1500" w:type="dxa"/>
            <w:vAlign w:val="center"/>
          </w:tcPr>
          <w:p w14:paraId="00DD48D2">
            <w:pPr>
              <w:pStyle w:val="28"/>
              <w:rPr>
                <w:rFonts w:cs="宋体"/>
                <w:snapToGrid w:val="0"/>
                <w:color w:val="000000" w:themeColor="text1"/>
                <w:kern w:val="21"/>
                <w14:textFill>
                  <w14:solidFill>
                    <w14:schemeClr w14:val="tx1"/>
                  </w14:solidFill>
                </w14:textFill>
              </w:rPr>
            </w:pPr>
          </w:p>
        </w:tc>
        <w:tc>
          <w:tcPr>
            <w:tcW w:w="1541" w:type="dxa"/>
            <w:vAlign w:val="center"/>
          </w:tcPr>
          <w:p w14:paraId="443F4BF9">
            <w:pPr>
              <w:widowControl/>
              <w:jc w:val="center"/>
              <w:rPr>
                <w:color w:val="000000" w:themeColor="text1"/>
                <w14:textFill>
                  <w14:solidFill>
                    <w14:schemeClr w14:val="tx1"/>
                  </w14:solidFill>
                </w14:textFill>
              </w:rPr>
            </w:pPr>
            <w:r>
              <w:rPr>
                <w:rFonts w:hint="eastAsia" w:cs="宋体"/>
                <w:color w:val="000000" w:themeColor="text1"/>
                <w:kern w:val="0"/>
                <w:szCs w:val="21"/>
                <w:lang w:bidi="ar"/>
                <w14:textFill>
                  <w14:solidFill>
                    <w14:schemeClr w14:val="tx1"/>
                  </w14:solidFill>
                </w14:textFill>
              </w:rPr>
              <w:t>0.2</w:t>
            </w:r>
          </w:p>
        </w:tc>
        <w:tc>
          <w:tcPr>
            <w:tcW w:w="1470" w:type="dxa"/>
            <w:vAlign w:val="center"/>
          </w:tcPr>
          <w:p w14:paraId="4B526553">
            <w:pPr>
              <w:pStyle w:val="28"/>
              <w:rPr>
                <w:rFonts w:cs="宋体"/>
                <w:snapToGrid w:val="0"/>
                <w:color w:val="000000" w:themeColor="text1"/>
                <w:kern w:val="21"/>
                <w14:textFill>
                  <w14:solidFill>
                    <w14:schemeClr w14:val="tx1"/>
                  </w14:solidFill>
                </w14:textFill>
              </w:rPr>
            </w:pPr>
          </w:p>
        </w:tc>
        <w:tc>
          <w:tcPr>
            <w:tcW w:w="1747" w:type="dxa"/>
            <w:shd w:val="clear" w:color="auto" w:fill="auto"/>
            <w:vAlign w:val="center"/>
          </w:tcPr>
          <w:p w14:paraId="33060C9A">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810.2</w:t>
            </w:r>
          </w:p>
        </w:tc>
        <w:tc>
          <w:tcPr>
            <w:tcW w:w="1038" w:type="dxa"/>
            <w:vAlign w:val="center"/>
          </w:tcPr>
          <w:p w14:paraId="0A1E358F">
            <w:pPr>
              <w:pStyle w:val="27"/>
              <w:textAlignment w:val="center"/>
              <w:rPr>
                <w:rFonts w:hint="default"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0.2</w:t>
            </w:r>
          </w:p>
        </w:tc>
      </w:tr>
      <w:tr w14:paraId="412CA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4FC93236">
            <w:pPr>
              <w:pStyle w:val="28"/>
              <w:rPr>
                <w:rFonts w:cs="宋体"/>
                <w:snapToGrid w:val="0"/>
                <w:color w:val="000000" w:themeColor="text1"/>
                <w:kern w:val="21"/>
                <w14:textFill>
                  <w14:solidFill>
                    <w14:schemeClr w14:val="tx1"/>
                  </w14:solidFill>
                </w14:textFill>
              </w:rPr>
            </w:pPr>
          </w:p>
        </w:tc>
        <w:tc>
          <w:tcPr>
            <w:tcW w:w="2268" w:type="dxa"/>
            <w:vAlign w:val="center"/>
          </w:tcPr>
          <w:p w14:paraId="74981DC7">
            <w:pPr>
              <w:widowControl/>
              <w:jc w:val="center"/>
              <w:rPr>
                <w:rFonts w:cs="宋体"/>
                <w:snapToGrid w:val="0"/>
                <w:color w:val="000000" w:themeColor="text1"/>
                <w:kern w:val="21"/>
                <w:szCs w:val="21"/>
                <w14:textFill>
                  <w14:solidFill>
                    <w14:schemeClr w14:val="tx1"/>
                  </w14:solidFill>
                </w14:textFill>
              </w:rPr>
            </w:pPr>
            <w:r>
              <w:rPr>
                <w:rFonts w:hint="eastAsia"/>
                <w:color w:val="000000" w:themeColor="text1"/>
                <w14:textFill>
                  <w14:solidFill>
                    <w14:schemeClr w14:val="tx1"/>
                  </w14:solidFill>
                </w14:textFill>
              </w:rPr>
              <w:t>病死牛羊</w:t>
            </w:r>
          </w:p>
        </w:tc>
        <w:tc>
          <w:tcPr>
            <w:tcW w:w="1705" w:type="dxa"/>
            <w:vAlign w:val="center"/>
          </w:tcPr>
          <w:p w14:paraId="0ABB452C">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w:t>
            </w:r>
          </w:p>
        </w:tc>
        <w:tc>
          <w:tcPr>
            <w:tcW w:w="1514" w:type="dxa"/>
            <w:vAlign w:val="center"/>
          </w:tcPr>
          <w:p w14:paraId="4D594F6C">
            <w:pPr>
              <w:pStyle w:val="28"/>
              <w:rPr>
                <w:rFonts w:cs="宋体"/>
                <w:snapToGrid w:val="0"/>
                <w:color w:val="000000" w:themeColor="text1"/>
                <w:kern w:val="21"/>
                <w14:textFill>
                  <w14:solidFill>
                    <w14:schemeClr w14:val="tx1"/>
                  </w14:solidFill>
                </w14:textFill>
              </w:rPr>
            </w:pPr>
          </w:p>
        </w:tc>
        <w:tc>
          <w:tcPr>
            <w:tcW w:w="1500" w:type="dxa"/>
            <w:vAlign w:val="center"/>
          </w:tcPr>
          <w:p w14:paraId="7648C30A">
            <w:pPr>
              <w:pStyle w:val="28"/>
              <w:rPr>
                <w:rFonts w:cs="宋体"/>
                <w:snapToGrid w:val="0"/>
                <w:color w:val="000000" w:themeColor="text1"/>
                <w:kern w:val="21"/>
                <w14:textFill>
                  <w14:solidFill>
                    <w14:schemeClr w14:val="tx1"/>
                  </w14:solidFill>
                </w14:textFill>
              </w:rPr>
            </w:pPr>
          </w:p>
        </w:tc>
        <w:tc>
          <w:tcPr>
            <w:tcW w:w="1541" w:type="dxa"/>
            <w:vAlign w:val="center"/>
          </w:tcPr>
          <w:p w14:paraId="606F4A8C">
            <w:pPr>
              <w:widowControl/>
              <w:jc w:val="center"/>
              <w:rPr>
                <w:color w:val="000000" w:themeColor="text1"/>
                <w14:textFill>
                  <w14:solidFill>
                    <w14:schemeClr w14:val="tx1"/>
                  </w14:solidFill>
                </w14:textFill>
              </w:rPr>
            </w:pPr>
            <w:r>
              <w:rPr>
                <w:rFonts w:hint="eastAsia" w:cs="宋体"/>
                <w:color w:val="000000" w:themeColor="text1"/>
                <w:kern w:val="0"/>
                <w:szCs w:val="21"/>
                <w:lang w:bidi="ar"/>
                <w14:textFill>
                  <w14:solidFill>
                    <w14:schemeClr w14:val="tx1"/>
                  </w14:solidFill>
                </w14:textFill>
              </w:rPr>
              <w:t>/</w:t>
            </w:r>
          </w:p>
        </w:tc>
        <w:tc>
          <w:tcPr>
            <w:tcW w:w="1470" w:type="dxa"/>
            <w:vAlign w:val="center"/>
          </w:tcPr>
          <w:p w14:paraId="288BB6B3">
            <w:pPr>
              <w:pStyle w:val="28"/>
              <w:rPr>
                <w:rFonts w:cs="宋体"/>
                <w:snapToGrid w:val="0"/>
                <w:color w:val="000000" w:themeColor="text1"/>
                <w:kern w:val="21"/>
                <w14:textFill>
                  <w14:solidFill>
                    <w14:schemeClr w14:val="tx1"/>
                  </w14:solidFill>
                </w14:textFill>
              </w:rPr>
            </w:pPr>
          </w:p>
        </w:tc>
        <w:tc>
          <w:tcPr>
            <w:tcW w:w="1747" w:type="dxa"/>
            <w:shd w:val="clear" w:color="auto" w:fill="auto"/>
            <w:vAlign w:val="center"/>
          </w:tcPr>
          <w:p w14:paraId="12ECC2B4">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w:t>
            </w:r>
          </w:p>
        </w:tc>
        <w:tc>
          <w:tcPr>
            <w:tcW w:w="1038" w:type="dxa"/>
            <w:vAlign w:val="center"/>
          </w:tcPr>
          <w:p w14:paraId="1FF6266B">
            <w:pPr>
              <w:pStyle w:val="27"/>
              <w:textAlignment w:val="center"/>
              <w:rPr>
                <w:rFonts w:hint="default"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w:t>
            </w:r>
          </w:p>
        </w:tc>
      </w:tr>
      <w:tr w14:paraId="6CE62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68C67BD5">
            <w:pPr>
              <w:pStyle w:val="28"/>
              <w:rPr>
                <w:rFonts w:cs="宋体"/>
                <w:snapToGrid w:val="0"/>
                <w:color w:val="000000" w:themeColor="text1"/>
                <w:kern w:val="21"/>
                <w14:textFill>
                  <w14:solidFill>
                    <w14:schemeClr w14:val="tx1"/>
                  </w14:solidFill>
                </w14:textFill>
              </w:rPr>
            </w:pPr>
          </w:p>
        </w:tc>
        <w:tc>
          <w:tcPr>
            <w:tcW w:w="2268" w:type="dxa"/>
            <w:vAlign w:val="center"/>
          </w:tcPr>
          <w:p w14:paraId="21898CB9">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包装废弃物</w:t>
            </w:r>
          </w:p>
        </w:tc>
        <w:tc>
          <w:tcPr>
            <w:tcW w:w="1705" w:type="dxa"/>
            <w:vAlign w:val="center"/>
          </w:tcPr>
          <w:p w14:paraId="34E84FBA">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3</w:t>
            </w:r>
          </w:p>
        </w:tc>
        <w:tc>
          <w:tcPr>
            <w:tcW w:w="1514" w:type="dxa"/>
            <w:vAlign w:val="center"/>
          </w:tcPr>
          <w:p w14:paraId="4F476717">
            <w:pPr>
              <w:pStyle w:val="28"/>
              <w:rPr>
                <w:rFonts w:cs="宋体"/>
                <w:snapToGrid w:val="0"/>
                <w:color w:val="000000" w:themeColor="text1"/>
                <w:kern w:val="21"/>
                <w14:textFill>
                  <w14:solidFill>
                    <w14:schemeClr w14:val="tx1"/>
                  </w14:solidFill>
                </w14:textFill>
              </w:rPr>
            </w:pPr>
          </w:p>
        </w:tc>
        <w:tc>
          <w:tcPr>
            <w:tcW w:w="1500" w:type="dxa"/>
            <w:vAlign w:val="center"/>
          </w:tcPr>
          <w:p w14:paraId="014AB301">
            <w:pPr>
              <w:pStyle w:val="28"/>
              <w:rPr>
                <w:rFonts w:cs="宋体"/>
                <w:snapToGrid w:val="0"/>
                <w:color w:val="000000" w:themeColor="text1"/>
                <w:kern w:val="21"/>
                <w14:textFill>
                  <w14:solidFill>
                    <w14:schemeClr w14:val="tx1"/>
                  </w14:solidFill>
                </w14:textFill>
              </w:rPr>
            </w:pPr>
          </w:p>
        </w:tc>
        <w:tc>
          <w:tcPr>
            <w:tcW w:w="1541" w:type="dxa"/>
            <w:vAlign w:val="center"/>
          </w:tcPr>
          <w:p w14:paraId="29C1D214">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w:t>
            </w:r>
          </w:p>
        </w:tc>
        <w:tc>
          <w:tcPr>
            <w:tcW w:w="1470" w:type="dxa"/>
            <w:vAlign w:val="center"/>
          </w:tcPr>
          <w:p w14:paraId="0BA52342">
            <w:pPr>
              <w:pStyle w:val="28"/>
              <w:rPr>
                <w:rFonts w:cs="宋体"/>
                <w:snapToGrid w:val="0"/>
                <w:color w:val="000000" w:themeColor="text1"/>
                <w:kern w:val="21"/>
                <w14:textFill>
                  <w14:solidFill>
                    <w14:schemeClr w14:val="tx1"/>
                  </w14:solidFill>
                </w14:textFill>
              </w:rPr>
            </w:pPr>
          </w:p>
        </w:tc>
        <w:tc>
          <w:tcPr>
            <w:tcW w:w="1747" w:type="dxa"/>
            <w:shd w:val="clear" w:color="auto" w:fill="auto"/>
            <w:vAlign w:val="center"/>
          </w:tcPr>
          <w:p w14:paraId="59465FB9">
            <w:pPr>
              <w:widowControl/>
              <w:jc w:val="center"/>
              <w:rPr>
                <w:rFonts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1038" w:type="dxa"/>
            <w:vAlign w:val="center"/>
          </w:tcPr>
          <w:p w14:paraId="7BD31C00">
            <w:pPr>
              <w:pStyle w:val="27"/>
              <w:textAlignment w:val="center"/>
              <w:rPr>
                <w:rFonts w:hint="default"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0</w:t>
            </w:r>
          </w:p>
        </w:tc>
      </w:tr>
      <w:tr w14:paraId="19E92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14:paraId="53AB0A8A">
            <w:pPr>
              <w:pStyle w:val="28"/>
              <w:rPr>
                <w:rFonts w:cs="宋体"/>
                <w:snapToGrid w:val="0"/>
                <w:color w:val="000000" w:themeColor="text1"/>
                <w:kern w:val="21"/>
                <w14:textFill>
                  <w14:solidFill>
                    <w14:schemeClr w14:val="tx1"/>
                  </w14:solidFill>
                </w14:textFill>
              </w:rPr>
            </w:pPr>
            <w:r>
              <w:rPr>
                <w:rFonts w:hint="eastAsia" w:cs="宋体"/>
                <w:snapToGrid w:val="0"/>
                <w:color w:val="000000" w:themeColor="text1"/>
                <w:kern w:val="21"/>
                <w14:textFill>
                  <w14:solidFill>
                    <w14:schemeClr w14:val="tx1"/>
                  </w14:solidFill>
                </w14:textFill>
              </w:rPr>
              <w:t>危险废物</w:t>
            </w:r>
          </w:p>
        </w:tc>
        <w:tc>
          <w:tcPr>
            <w:tcW w:w="2268" w:type="dxa"/>
            <w:vAlign w:val="center"/>
          </w:tcPr>
          <w:p w14:paraId="63C026F9">
            <w:pPr>
              <w:widowControl/>
              <w:jc w:val="center"/>
              <w:rPr>
                <w:color w:val="000000" w:themeColor="text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废机油</w:t>
            </w:r>
          </w:p>
        </w:tc>
        <w:tc>
          <w:tcPr>
            <w:tcW w:w="1705" w:type="dxa"/>
            <w:vAlign w:val="center"/>
          </w:tcPr>
          <w:p w14:paraId="5DA40C4D">
            <w:pPr>
              <w:pStyle w:val="28"/>
              <w:rPr>
                <w:rFonts w:hint="eastAsia" w:eastAsia="宋体" w:cs="宋体"/>
                <w:snapToGrid w:val="0"/>
                <w:color w:val="000000" w:themeColor="text1"/>
                <w:kern w:val="21"/>
                <w:lang w:eastAsia="zh-CN"/>
                <w14:textFill>
                  <w14:solidFill>
                    <w14:schemeClr w14:val="tx1"/>
                  </w14:solidFill>
                </w14:textFill>
              </w:rPr>
            </w:pPr>
            <w:r>
              <w:rPr>
                <w:rFonts w:hint="eastAsia" w:cs="宋体"/>
                <w:snapToGrid w:val="0"/>
                <w:color w:val="000000" w:themeColor="text1"/>
                <w:kern w:val="21"/>
                <w:lang w:val="en-US" w:eastAsia="zh-CN"/>
                <w14:textFill>
                  <w14:solidFill>
                    <w14:schemeClr w14:val="tx1"/>
                  </w14:solidFill>
                </w14:textFill>
              </w:rPr>
              <w:t>1</w:t>
            </w:r>
          </w:p>
        </w:tc>
        <w:tc>
          <w:tcPr>
            <w:tcW w:w="1514" w:type="dxa"/>
            <w:vAlign w:val="center"/>
          </w:tcPr>
          <w:p w14:paraId="7978CABF">
            <w:pPr>
              <w:pStyle w:val="28"/>
              <w:rPr>
                <w:rFonts w:cs="宋体"/>
                <w:snapToGrid w:val="0"/>
                <w:color w:val="000000" w:themeColor="text1"/>
                <w:kern w:val="21"/>
                <w14:textFill>
                  <w14:solidFill>
                    <w14:schemeClr w14:val="tx1"/>
                  </w14:solidFill>
                </w14:textFill>
              </w:rPr>
            </w:pPr>
          </w:p>
        </w:tc>
        <w:tc>
          <w:tcPr>
            <w:tcW w:w="1500" w:type="dxa"/>
            <w:vAlign w:val="center"/>
          </w:tcPr>
          <w:p w14:paraId="2A070D5B">
            <w:pPr>
              <w:pStyle w:val="28"/>
              <w:rPr>
                <w:rFonts w:cs="宋体"/>
                <w:snapToGrid w:val="0"/>
                <w:color w:val="000000" w:themeColor="text1"/>
                <w:kern w:val="21"/>
                <w14:textFill>
                  <w14:solidFill>
                    <w14:schemeClr w14:val="tx1"/>
                  </w14:solidFill>
                </w14:textFill>
              </w:rPr>
            </w:pPr>
          </w:p>
        </w:tc>
        <w:tc>
          <w:tcPr>
            <w:tcW w:w="1541" w:type="dxa"/>
            <w:vAlign w:val="center"/>
          </w:tcPr>
          <w:p w14:paraId="6B981B39">
            <w:pPr>
              <w:widowControl/>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470" w:type="dxa"/>
            <w:vAlign w:val="center"/>
          </w:tcPr>
          <w:p w14:paraId="45593844">
            <w:pPr>
              <w:pStyle w:val="28"/>
              <w:rPr>
                <w:rFonts w:cs="宋体"/>
                <w:snapToGrid w:val="0"/>
                <w:color w:val="000000" w:themeColor="text1"/>
                <w:kern w:val="21"/>
                <w14:textFill>
                  <w14:solidFill>
                    <w14:schemeClr w14:val="tx1"/>
                  </w14:solidFill>
                </w14:textFill>
              </w:rPr>
            </w:pPr>
          </w:p>
        </w:tc>
        <w:tc>
          <w:tcPr>
            <w:tcW w:w="1747" w:type="dxa"/>
            <w:shd w:val="clear" w:color="auto" w:fill="auto"/>
            <w:vAlign w:val="center"/>
          </w:tcPr>
          <w:p w14:paraId="0AD06B8A">
            <w:pPr>
              <w:widowControl/>
              <w:jc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1</w:t>
            </w:r>
          </w:p>
        </w:tc>
        <w:tc>
          <w:tcPr>
            <w:tcW w:w="1038" w:type="dxa"/>
            <w:vAlign w:val="center"/>
          </w:tcPr>
          <w:p w14:paraId="78BA30A5">
            <w:pPr>
              <w:pStyle w:val="27"/>
              <w:textAlignment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14:paraId="24AF6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5170A0EB">
            <w:pPr>
              <w:pStyle w:val="28"/>
              <w:rPr>
                <w:rFonts w:hint="eastAsia" w:cs="宋体"/>
                <w:snapToGrid w:val="0"/>
                <w:color w:val="000000" w:themeColor="text1"/>
                <w:kern w:val="21"/>
                <w14:textFill>
                  <w14:solidFill>
                    <w14:schemeClr w14:val="tx1"/>
                  </w14:solidFill>
                </w14:textFill>
              </w:rPr>
            </w:pPr>
          </w:p>
        </w:tc>
        <w:tc>
          <w:tcPr>
            <w:tcW w:w="2268" w:type="dxa"/>
            <w:vAlign w:val="center"/>
          </w:tcPr>
          <w:p w14:paraId="2456D55B">
            <w:pPr>
              <w:widowControl/>
              <w:jc w:val="center"/>
              <w:rPr>
                <w:rFonts w:hint="eastAsia" w:eastAsia="宋体" w:cs="宋体"/>
                <w:color w:val="000000" w:themeColor="text1"/>
                <w:kern w:val="0"/>
                <w:szCs w:val="21"/>
                <w:highlight w:val="none"/>
                <w:lang w:val="en-US" w:eastAsia="zh-CN" w:bidi="ar"/>
                <w14:textFill>
                  <w14:solidFill>
                    <w14:schemeClr w14:val="tx1"/>
                  </w14:solidFill>
                </w14:textFill>
              </w:rPr>
            </w:pPr>
            <w:r>
              <w:rPr>
                <w:rFonts w:hint="eastAsia" w:cs="宋体"/>
                <w:color w:val="000000" w:themeColor="text1"/>
                <w:kern w:val="0"/>
                <w:szCs w:val="21"/>
                <w:highlight w:val="none"/>
                <w:lang w:val="en-US" w:eastAsia="zh-CN" w:bidi="ar"/>
                <w14:textFill>
                  <w14:solidFill>
                    <w14:schemeClr w14:val="tx1"/>
                  </w14:solidFill>
                </w14:textFill>
              </w:rPr>
              <w:t>润滑油</w:t>
            </w:r>
          </w:p>
        </w:tc>
        <w:tc>
          <w:tcPr>
            <w:tcW w:w="1705" w:type="dxa"/>
            <w:vAlign w:val="center"/>
          </w:tcPr>
          <w:p w14:paraId="02975245">
            <w:pPr>
              <w:pStyle w:val="28"/>
              <w:rPr>
                <w:rFonts w:hint="default" w:eastAsia="宋体" w:cs="宋体"/>
                <w:snapToGrid w:val="0"/>
                <w:color w:val="000000" w:themeColor="text1"/>
                <w:kern w:val="21"/>
                <w:lang w:val="en-US" w:eastAsia="zh-CN"/>
                <w14:textFill>
                  <w14:solidFill>
                    <w14:schemeClr w14:val="tx1"/>
                  </w14:solidFill>
                </w14:textFill>
              </w:rPr>
            </w:pPr>
            <w:r>
              <w:rPr>
                <w:rFonts w:hint="eastAsia" w:cs="宋体"/>
                <w:snapToGrid w:val="0"/>
                <w:color w:val="000000" w:themeColor="text1"/>
                <w:kern w:val="21"/>
                <w:lang w:val="en-US" w:eastAsia="zh-CN"/>
                <w14:textFill>
                  <w14:solidFill>
                    <w14:schemeClr w14:val="tx1"/>
                  </w14:solidFill>
                </w14:textFill>
              </w:rPr>
              <w:t>0.2</w:t>
            </w:r>
          </w:p>
        </w:tc>
        <w:tc>
          <w:tcPr>
            <w:tcW w:w="1514" w:type="dxa"/>
            <w:vAlign w:val="center"/>
          </w:tcPr>
          <w:p w14:paraId="49AE7B4D">
            <w:pPr>
              <w:pStyle w:val="28"/>
              <w:rPr>
                <w:rFonts w:cs="宋体"/>
                <w:snapToGrid w:val="0"/>
                <w:color w:val="000000" w:themeColor="text1"/>
                <w:kern w:val="21"/>
                <w14:textFill>
                  <w14:solidFill>
                    <w14:schemeClr w14:val="tx1"/>
                  </w14:solidFill>
                </w14:textFill>
              </w:rPr>
            </w:pPr>
          </w:p>
        </w:tc>
        <w:tc>
          <w:tcPr>
            <w:tcW w:w="1500" w:type="dxa"/>
            <w:vAlign w:val="center"/>
          </w:tcPr>
          <w:p w14:paraId="29DA6D72">
            <w:pPr>
              <w:pStyle w:val="28"/>
              <w:rPr>
                <w:rFonts w:cs="宋体"/>
                <w:snapToGrid w:val="0"/>
                <w:color w:val="000000" w:themeColor="text1"/>
                <w:kern w:val="21"/>
                <w14:textFill>
                  <w14:solidFill>
                    <w14:schemeClr w14:val="tx1"/>
                  </w14:solidFill>
                </w14:textFill>
              </w:rPr>
            </w:pPr>
          </w:p>
        </w:tc>
        <w:tc>
          <w:tcPr>
            <w:tcW w:w="1541" w:type="dxa"/>
            <w:vAlign w:val="center"/>
          </w:tcPr>
          <w:p w14:paraId="71B94BE7">
            <w:pPr>
              <w:widowControl/>
              <w:jc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0.016</w:t>
            </w:r>
          </w:p>
        </w:tc>
        <w:tc>
          <w:tcPr>
            <w:tcW w:w="1470" w:type="dxa"/>
            <w:vAlign w:val="center"/>
          </w:tcPr>
          <w:p w14:paraId="7C9D6771">
            <w:pPr>
              <w:pStyle w:val="28"/>
              <w:rPr>
                <w:rFonts w:cs="宋体"/>
                <w:snapToGrid w:val="0"/>
                <w:color w:val="000000" w:themeColor="text1"/>
                <w:kern w:val="21"/>
                <w14:textFill>
                  <w14:solidFill>
                    <w14:schemeClr w14:val="tx1"/>
                  </w14:solidFill>
                </w14:textFill>
              </w:rPr>
            </w:pPr>
          </w:p>
        </w:tc>
        <w:tc>
          <w:tcPr>
            <w:tcW w:w="1747" w:type="dxa"/>
            <w:shd w:val="clear" w:color="auto" w:fill="auto"/>
            <w:vAlign w:val="center"/>
          </w:tcPr>
          <w:p w14:paraId="22F4470D">
            <w:pPr>
              <w:widowControl/>
              <w:jc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0.216</w:t>
            </w:r>
          </w:p>
        </w:tc>
        <w:tc>
          <w:tcPr>
            <w:tcW w:w="1038" w:type="dxa"/>
            <w:vAlign w:val="center"/>
          </w:tcPr>
          <w:p w14:paraId="7010127B">
            <w:pPr>
              <w:pStyle w:val="27"/>
              <w:textAlignment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0.016</w:t>
            </w:r>
          </w:p>
        </w:tc>
      </w:tr>
      <w:tr w14:paraId="2DDB4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continue"/>
            <w:vAlign w:val="center"/>
          </w:tcPr>
          <w:p w14:paraId="43D9E9A1">
            <w:pPr>
              <w:pStyle w:val="28"/>
              <w:rPr>
                <w:rFonts w:hint="eastAsia" w:cs="宋体"/>
                <w:snapToGrid w:val="0"/>
                <w:color w:val="000000" w:themeColor="text1"/>
                <w:kern w:val="21"/>
                <w14:textFill>
                  <w14:solidFill>
                    <w14:schemeClr w14:val="tx1"/>
                  </w14:solidFill>
                </w14:textFill>
              </w:rPr>
            </w:pPr>
          </w:p>
        </w:tc>
        <w:tc>
          <w:tcPr>
            <w:tcW w:w="2268" w:type="dxa"/>
            <w:vAlign w:val="center"/>
          </w:tcPr>
          <w:p w14:paraId="6FD12351">
            <w:pPr>
              <w:widowControl/>
              <w:jc w:val="center"/>
              <w:rPr>
                <w:rFonts w:hint="eastAsia" w:eastAsia="宋体" w:cs="宋体"/>
                <w:color w:val="000000" w:themeColor="text1"/>
                <w:kern w:val="0"/>
                <w:szCs w:val="21"/>
                <w:highlight w:val="none"/>
                <w:lang w:val="en-US" w:eastAsia="zh-CN" w:bidi="ar"/>
                <w14:textFill>
                  <w14:solidFill>
                    <w14:schemeClr w14:val="tx1"/>
                  </w14:solidFill>
                </w14:textFill>
              </w:rPr>
            </w:pPr>
            <w:r>
              <w:rPr>
                <w:rFonts w:hint="eastAsia" w:cs="宋体"/>
                <w:color w:val="000000" w:themeColor="text1"/>
                <w:kern w:val="0"/>
                <w:szCs w:val="21"/>
                <w:highlight w:val="none"/>
                <w:lang w:val="en-US" w:eastAsia="zh-CN" w:bidi="ar"/>
                <w14:textFill>
                  <w14:solidFill>
                    <w14:schemeClr w14:val="tx1"/>
                  </w14:solidFill>
                </w14:textFill>
              </w:rPr>
              <w:t>液氨</w:t>
            </w:r>
          </w:p>
        </w:tc>
        <w:tc>
          <w:tcPr>
            <w:tcW w:w="1705" w:type="dxa"/>
            <w:vAlign w:val="center"/>
          </w:tcPr>
          <w:p w14:paraId="1C07955D">
            <w:pPr>
              <w:pStyle w:val="28"/>
              <w:rPr>
                <w:rFonts w:hint="default" w:eastAsia="宋体" w:cs="宋体"/>
                <w:snapToGrid w:val="0"/>
                <w:color w:val="000000" w:themeColor="text1"/>
                <w:kern w:val="21"/>
                <w:lang w:val="en-US" w:eastAsia="zh-CN"/>
                <w14:textFill>
                  <w14:solidFill>
                    <w14:schemeClr w14:val="tx1"/>
                  </w14:solidFill>
                </w14:textFill>
              </w:rPr>
            </w:pPr>
            <w:r>
              <w:rPr>
                <w:rFonts w:hint="eastAsia" w:cs="宋体"/>
                <w:snapToGrid w:val="0"/>
                <w:color w:val="000000" w:themeColor="text1"/>
                <w:kern w:val="21"/>
                <w:lang w:val="en-US" w:eastAsia="zh-CN"/>
                <w14:textFill>
                  <w14:solidFill>
                    <w14:schemeClr w14:val="tx1"/>
                  </w14:solidFill>
                </w14:textFill>
              </w:rPr>
              <w:t>9.82</w:t>
            </w:r>
          </w:p>
        </w:tc>
        <w:tc>
          <w:tcPr>
            <w:tcW w:w="1514" w:type="dxa"/>
            <w:vAlign w:val="center"/>
          </w:tcPr>
          <w:p w14:paraId="097928B7">
            <w:pPr>
              <w:pStyle w:val="28"/>
              <w:rPr>
                <w:rFonts w:cs="宋体"/>
                <w:snapToGrid w:val="0"/>
                <w:color w:val="000000" w:themeColor="text1"/>
                <w:kern w:val="21"/>
                <w14:textFill>
                  <w14:solidFill>
                    <w14:schemeClr w14:val="tx1"/>
                  </w14:solidFill>
                </w14:textFill>
              </w:rPr>
            </w:pPr>
          </w:p>
        </w:tc>
        <w:tc>
          <w:tcPr>
            <w:tcW w:w="1500" w:type="dxa"/>
            <w:vAlign w:val="center"/>
          </w:tcPr>
          <w:p w14:paraId="36C0AB38">
            <w:pPr>
              <w:pStyle w:val="28"/>
              <w:rPr>
                <w:rFonts w:cs="宋体"/>
                <w:snapToGrid w:val="0"/>
                <w:color w:val="000000" w:themeColor="text1"/>
                <w:kern w:val="21"/>
                <w14:textFill>
                  <w14:solidFill>
                    <w14:schemeClr w14:val="tx1"/>
                  </w14:solidFill>
                </w14:textFill>
              </w:rPr>
            </w:pPr>
          </w:p>
        </w:tc>
        <w:tc>
          <w:tcPr>
            <w:tcW w:w="1541" w:type="dxa"/>
            <w:vAlign w:val="center"/>
          </w:tcPr>
          <w:p w14:paraId="6C5F0E97">
            <w:pPr>
              <w:widowControl/>
              <w:jc w:val="center"/>
              <w:rPr>
                <w:rFonts w:hint="eastAsia"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w:t>
            </w:r>
          </w:p>
        </w:tc>
        <w:tc>
          <w:tcPr>
            <w:tcW w:w="1470" w:type="dxa"/>
            <w:vAlign w:val="center"/>
          </w:tcPr>
          <w:p w14:paraId="3A11BDDD">
            <w:pPr>
              <w:pStyle w:val="28"/>
              <w:rPr>
                <w:rFonts w:cs="宋体"/>
                <w:snapToGrid w:val="0"/>
                <w:color w:val="000000" w:themeColor="text1"/>
                <w:kern w:val="21"/>
                <w14:textFill>
                  <w14:solidFill>
                    <w14:schemeClr w14:val="tx1"/>
                  </w14:solidFill>
                </w14:textFill>
              </w:rPr>
            </w:pPr>
          </w:p>
        </w:tc>
        <w:tc>
          <w:tcPr>
            <w:tcW w:w="1747" w:type="dxa"/>
            <w:shd w:val="clear" w:color="auto" w:fill="auto"/>
            <w:vAlign w:val="center"/>
          </w:tcPr>
          <w:p w14:paraId="24BF1B97">
            <w:pPr>
              <w:widowControl/>
              <w:jc w:val="center"/>
              <w:rPr>
                <w:rFonts w:hint="default" w:eastAsia="宋体" w:cs="宋体"/>
                <w:color w:val="000000" w:themeColor="text1"/>
                <w:kern w:val="0"/>
                <w:szCs w:val="21"/>
                <w:lang w:val="en-US" w:eastAsia="zh-CN" w:bidi="ar"/>
                <w14:textFill>
                  <w14:solidFill>
                    <w14:schemeClr w14:val="tx1"/>
                  </w14:solidFill>
                </w14:textFill>
              </w:rPr>
            </w:pPr>
            <w:r>
              <w:rPr>
                <w:rFonts w:hint="eastAsia" w:cs="宋体"/>
                <w:color w:val="000000" w:themeColor="text1"/>
                <w:kern w:val="0"/>
                <w:szCs w:val="21"/>
                <w:lang w:val="en-US" w:eastAsia="zh-CN" w:bidi="ar"/>
                <w14:textFill>
                  <w14:solidFill>
                    <w14:schemeClr w14:val="tx1"/>
                  </w14:solidFill>
                </w14:textFill>
              </w:rPr>
              <w:t>9.82</w:t>
            </w:r>
          </w:p>
        </w:tc>
        <w:tc>
          <w:tcPr>
            <w:tcW w:w="1038" w:type="dxa"/>
            <w:vAlign w:val="center"/>
          </w:tcPr>
          <w:p w14:paraId="2397B224">
            <w:pPr>
              <w:pStyle w:val="27"/>
              <w:textAlignment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bl>
    <w:p w14:paraId="7047117F">
      <w:pPr>
        <w:pStyle w:val="28"/>
        <w:jc w:val="left"/>
      </w:pPr>
      <w:r>
        <w:rPr>
          <w:snapToGrid w:val="0"/>
          <w:color w:val="000000" w:themeColor="text1"/>
          <w:kern w:val="21"/>
          <w14:textFill>
            <w14:solidFill>
              <w14:schemeClr w14:val="tx1"/>
            </w14:solidFill>
          </w14:textFill>
        </w:rPr>
        <w:t>注：</w:t>
      </w:r>
      <w:r>
        <w:rPr>
          <w:snapToGrid w:val="0"/>
          <w:color w:val="000000" w:themeColor="text1"/>
          <w:spacing w:val="-16"/>
          <w:kern w:val="21"/>
          <w14:textFill>
            <w14:solidFill>
              <w14:schemeClr w14:val="tx1"/>
            </w14:solidFill>
          </w14:textFill>
        </w:rPr>
        <w:fldChar w:fldCharType="begin"/>
      </w:r>
      <w:r>
        <w:rPr>
          <w:snapToGrid w:val="0"/>
          <w:color w:val="000000" w:themeColor="text1"/>
          <w:spacing w:val="-16"/>
          <w:kern w:val="21"/>
          <w14:textFill>
            <w14:solidFill>
              <w14:schemeClr w14:val="tx1"/>
            </w14:solidFill>
          </w14:textFill>
        </w:rPr>
        <w:instrText xml:space="preserve">=6\*GB3\*MERGEFORMAT</w:instrText>
      </w:r>
      <w:r>
        <w:rPr>
          <w:snapToGrid w:val="0"/>
          <w:color w:val="000000" w:themeColor="text1"/>
          <w:spacing w:val="-16"/>
          <w:kern w:val="21"/>
          <w14:textFill>
            <w14:solidFill>
              <w14:schemeClr w14:val="tx1"/>
            </w14:solidFill>
          </w14:textFill>
        </w:rPr>
        <w:fldChar w:fldCharType="separate"/>
      </w:r>
      <w:r>
        <w:rPr>
          <w:rFonts w:hint="eastAsia"/>
          <w:color w:val="000000" w:themeColor="text1"/>
          <w14:textFill>
            <w14:solidFill>
              <w14:schemeClr w14:val="tx1"/>
            </w14:solidFill>
          </w14:textFill>
        </w:rPr>
        <w:t>⑥</w:t>
      </w:r>
      <w:r>
        <w:rPr>
          <w:snapToGrid w:val="0"/>
          <w:color w:val="000000" w:themeColor="text1"/>
          <w:spacing w:val="-16"/>
          <w:kern w:val="21"/>
          <w14:textFill>
            <w14:solidFill>
              <w14:schemeClr w14:val="tx1"/>
            </w14:solidFill>
          </w14:textFill>
        </w:rPr>
        <w:fldChar w:fldCharType="end"/>
      </w:r>
      <w:r>
        <w:rPr>
          <w:snapToGrid w:val="0"/>
          <w:color w:val="000000" w:themeColor="text1"/>
          <w:spacing w:val="-16"/>
          <w:kern w:val="21"/>
          <w14:textFill>
            <w14:solidFill>
              <w14:schemeClr w14:val="tx1"/>
            </w14:solidFill>
          </w14:textFill>
        </w:rPr>
        <w:t>=</w:t>
      </w:r>
      <w:r>
        <w:rPr>
          <w:snapToGrid w:val="0"/>
          <w:color w:val="000000" w:themeColor="text1"/>
          <w:spacing w:val="-6"/>
          <w:kern w:val="21"/>
          <w14:textFill>
            <w14:solidFill>
              <w14:schemeClr w14:val="tx1"/>
            </w14:solidFill>
          </w14:textFill>
        </w:rPr>
        <w:fldChar w:fldCharType="begin"/>
      </w:r>
      <w:r>
        <w:rPr>
          <w:snapToGrid w:val="0"/>
          <w:color w:val="000000" w:themeColor="text1"/>
          <w:spacing w:val="-6"/>
          <w:kern w:val="21"/>
          <w14:textFill>
            <w14:solidFill>
              <w14:schemeClr w14:val="tx1"/>
            </w14:solidFill>
          </w14:textFill>
        </w:rPr>
        <w:instrText xml:space="preserve">=1\*GB3\*MERGEFORMAT</w:instrText>
      </w:r>
      <w:r>
        <w:rPr>
          <w:snapToGrid w:val="0"/>
          <w:color w:val="000000" w:themeColor="text1"/>
          <w:spacing w:val="-6"/>
          <w:kern w:val="21"/>
          <w14:textFill>
            <w14:solidFill>
              <w14:schemeClr w14:val="tx1"/>
            </w14:solidFill>
          </w14:textFill>
        </w:rPr>
        <w:fldChar w:fldCharType="separate"/>
      </w:r>
      <w:r>
        <w:rPr>
          <w:rFonts w:hint="eastAsia"/>
          <w:color w:val="000000" w:themeColor="text1"/>
          <w14:textFill>
            <w14:solidFill>
              <w14:schemeClr w14:val="tx1"/>
            </w14:solidFill>
          </w14:textFill>
        </w:rPr>
        <w:t>①</w:t>
      </w:r>
      <w:r>
        <w:rPr>
          <w:snapToGrid w:val="0"/>
          <w:color w:val="000000" w:themeColor="text1"/>
          <w:spacing w:val="-6"/>
          <w:kern w:val="21"/>
          <w14:textFill>
            <w14:solidFill>
              <w14:schemeClr w14:val="tx1"/>
            </w14:solidFill>
          </w14:textFill>
        </w:rPr>
        <w:fldChar w:fldCharType="end"/>
      </w:r>
      <w:r>
        <w:rPr>
          <w:snapToGrid w:val="0"/>
          <w:color w:val="000000" w:themeColor="text1"/>
          <w:spacing w:val="-6"/>
          <w:kern w:val="21"/>
          <w14:textFill>
            <w14:solidFill>
              <w14:schemeClr w14:val="tx1"/>
            </w14:solidFill>
          </w14:textFill>
        </w:rPr>
        <w:t>+</w:t>
      </w:r>
      <w:r>
        <w:rPr>
          <w:snapToGrid w:val="0"/>
          <w:color w:val="000000" w:themeColor="text1"/>
          <w:spacing w:val="-6"/>
          <w:kern w:val="21"/>
          <w14:textFill>
            <w14:solidFill>
              <w14:schemeClr w14:val="tx1"/>
            </w14:solidFill>
          </w14:textFill>
        </w:rPr>
        <w:fldChar w:fldCharType="begin"/>
      </w:r>
      <w:r>
        <w:rPr>
          <w:snapToGrid w:val="0"/>
          <w:color w:val="000000" w:themeColor="text1"/>
          <w:spacing w:val="-6"/>
          <w:kern w:val="21"/>
          <w14:textFill>
            <w14:solidFill>
              <w14:schemeClr w14:val="tx1"/>
            </w14:solidFill>
          </w14:textFill>
        </w:rPr>
        <w:instrText xml:space="preserve">=3\*GB3\*MERGEFORMAT</w:instrText>
      </w:r>
      <w:r>
        <w:rPr>
          <w:snapToGrid w:val="0"/>
          <w:color w:val="000000" w:themeColor="text1"/>
          <w:spacing w:val="-6"/>
          <w:kern w:val="21"/>
          <w14:textFill>
            <w14:solidFill>
              <w14:schemeClr w14:val="tx1"/>
            </w14:solidFill>
          </w14:textFill>
        </w:rPr>
        <w:fldChar w:fldCharType="separate"/>
      </w:r>
      <w:r>
        <w:rPr>
          <w:rFonts w:hint="eastAsia"/>
          <w:color w:val="000000" w:themeColor="text1"/>
          <w14:textFill>
            <w14:solidFill>
              <w14:schemeClr w14:val="tx1"/>
            </w14:solidFill>
          </w14:textFill>
        </w:rPr>
        <w:t>③</w:t>
      </w:r>
      <w:r>
        <w:rPr>
          <w:snapToGrid w:val="0"/>
          <w:color w:val="000000" w:themeColor="text1"/>
          <w:spacing w:val="-6"/>
          <w:kern w:val="21"/>
          <w14:textFill>
            <w14:solidFill>
              <w14:schemeClr w14:val="tx1"/>
            </w14:solidFill>
          </w14:textFill>
        </w:rPr>
        <w:fldChar w:fldCharType="end"/>
      </w:r>
      <w:r>
        <w:rPr>
          <w:snapToGrid w:val="0"/>
          <w:color w:val="000000" w:themeColor="text1"/>
          <w:spacing w:val="-6"/>
          <w:kern w:val="21"/>
          <w14:textFill>
            <w14:solidFill>
              <w14:schemeClr w14:val="tx1"/>
            </w14:solidFill>
          </w14:textFill>
        </w:rPr>
        <w:t>+</w:t>
      </w:r>
      <w:r>
        <w:rPr>
          <w:snapToGrid w:val="0"/>
          <w:color w:val="000000" w:themeColor="text1"/>
          <w:spacing w:val="-6"/>
          <w:kern w:val="21"/>
          <w14:textFill>
            <w14:solidFill>
              <w14:schemeClr w14:val="tx1"/>
            </w14:solidFill>
          </w14:textFill>
        </w:rPr>
        <w:fldChar w:fldCharType="begin"/>
      </w:r>
      <w:r>
        <w:rPr>
          <w:snapToGrid w:val="0"/>
          <w:color w:val="000000" w:themeColor="text1"/>
          <w:spacing w:val="-6"/>
          <w:kern w:val="21"/>
          <w14:textFill>
            <w14:solidFill>
              <w14:schemeClr w14:val="tx1"/>
            </w14:solidFill>
          </w14:textFill>
        </w:rPr>
        <w:instrText xml:space="preserve">=4\*GB3\*MERGEFORMAT</w:instrText>
      </w:r>
      <w:r>
        <w:rPr>
          <w:snapToGrid w:val="0"/>
          <w:color w:val="000000" w:themeColor="text1"/>
          <w:spacing w:val="-6"/>
          <w:kern w:val="21"/>
          <w14:textFill>
            <w14:solidFill>
              <w14:schemeClr w14:val="tx1"/>
            </w14:solidFill>
          </w14:textFill>
        </w:rPr>
        <w:fldChar w:fldCharType="separate"/>
      </w:r>
      <w:r>
        <w:rPr>
          <w:rFonts w:hint="eastAsia"/>
          <w:color w:val="000000" w:themeColor="text1"/>
          <w14:textFill>
            <w14:solidFill>
              <w14:schemeClr w14:val="tx1"/>
            </w14:solidFill>
          </w14:textFill>
        </w:rPr>
        <w:t>④</w:t>
      </w:r>
      <w:r>
        <w:rPr>
          <w:snapToGrid w:val="0"/>
          <w:color w:val="000000" w:themeColor="text1"/>
          <w:spacing w:val="-6"/>
          <w:kern w:val="21"/>
          <w14:textFill>
            <w14:solidFill>
              <w14:schemeClr w14:val="tx1"/>
            </w14:solidFill>
          </w14:textFill>
        </w:rPr>
        <w:fldChar w:fldCharType="end"/>
      </w:r>
      <w:r>
        <w:rPr>
          <w:snapToGrid w:val="0"/>
          <w:color w:val="000000" w:themeColor="text1"/>
          <w:spacing w:val="-6"/>
          <w:kern w:val="21"/>
          <w14:textFill>
            <w14:solidFill>
              <w14:schemeClr w14:val="tx1"/>
            </w14:solidFill>
          </w14:textFill>
        </w:rPr>
        <w:t>-</w:t>
      </w:r>
      <w:r>
        <w:rPr>
          <w:snapToGrid w:val="0"/>
          <w:color w:val="000000" w:themeColor="text1"/>
          <w:spacing w:val="-16"/>
          <w:kern w:val="21"/>
          <w14:textFill>
            <w14:solidFill>
              <w14:schemeClr w14:val="tx1"/>
            </w14:solidFill>
          </w14:textFill>
        </w:rPr>
        <w:fldChar w:fldCharType="begin"/>
      </w:r>
      <w:r>
        <w:rPr>
          <w:snapToGrid w:val="0"/>
          <w:color w:val="000000" w:themeColor="text1"/>
          <w:spacing w:val="-16"/>
          <w:kern w:val="21"/>
          <w14:textFill>
            <w14:solidFill>
              <w14:schemeClr w14:val="tx1"/>
            </w14:solidFill>
          </w14:textFill>
        </w:rPr>
        <w:instrText xml:space="preserve">=5\*GB3\*MERGEFORMAT</w:instrText>
      </w:r>
      <w:r>
        <w:rPr>
          <w:snapToGrid w:val="0"/>
          <w:color w:val="000000" w:themeColor="text1"/>
          <w:spacing w:val="-16"/>
          <w:kern w:val="21"/>
          <w14:textFill>
            <w14:solidFill>
              <w14:schemeClr w14:val="tx1"/>
            </w14:solidFill>
          </w14:textFill>
        </w:rPr>
        <w:fldChar w:fldCharType="separate"/>
      </w:r>
      <w:r>
        <w:rPr>
          <w:rFonts w:hint="eastAsia"/>
          <w:color w:val="000000" w:themeColor="text1"/>
          <w14:textFill>
            <w14:solidFill>
              <w14:schemeClr w14:val="tx1"/>
            </w14:solidFill>
          </w14:textFill>
        </w:rPr>
        <w:t>⑤</w:t>
      </w:r>
      <w:r>
        <w:rPr>
          <w:snapToGrid w:val="0"/>
          <w:color w:val="000000" w:themeColor="text1"/>
          <w:spacing w:val="-16"/>
          <w:kern w:val="21"/>
          <w14:textFill>
            <w14:solidFill>
              <w14:schemeClr w14:val="tx1"/>
            </w14:solidFill>
          </w14:textFill>
        </w:rPr>
        <w:fldChar w:fldCharType="end"/>
      </w:r>
      <w:r>
        <w:rPr>
          <w:snapToGrid w:val="0"/>
          <w:color w:val="000000" w:themeColor="text1"/>
          <w:spacing w:val="-16"/>
          <w:kern w:val="21"/>
          <w14:textFill>
            <w14:solidFill>
              <w14:schemeClr w14:val="tx1"/>
            </w14:solidFill>
          </w14:textFill>
        </w:rPr>
        <w:t>；</w:t>
      </w:r>
      <w:r>
        <w:rPr>
          <w:snapToGrid w:val="0"/>
          <w:color w:val="000000" w:themeColor="text1"/>
          <w:spacing w:val="-6"/>
          <w:kern w:val="21"/>
          <w14:textFill>
            <w14:solidFill>
              <w14:schemeClr w14:val="tx1"/>
            </w14:solidFill>
          </w14:textFill>
        </w:rPr>
        <w:fldChar w:fldCharType="begin"/>
      </w:r>
      <w:r>
        <w:rPr>
          <w:snapToGrid w:val="0"/>
          <w:color w:val="000000" w:themeColor="text1"/>
          <w:spacing w:val="-6"/>
          <w:kern w:val="21"/>
          <w14:textFill>
            <w14:solidFill>
              <w14:schemeClr w14:val="tx1"/>
            </w14:solidFill>
          </w14:textFill>
        </w:rPr>
        <w:instrText xml:space="preserve">=7\*GB3\*MERGEFORMAT</w:instrText>
      </w:r>
      <w:r>
        <w:rPr>
          <w:snapToGrid w:val="0"/>
          <w:color w:val="000000" w:themeColor="text1"/>
          <w:spacing w:val="-6"/>
          <w:kern w:val="21"/>
          <w14:textFill>
            <w14:solidFill>
              <w14:schemeClr w14:val="tx1"/>
            </w14:solidFill>
          </w14:textFill>
        </w:rPr>
        <w:fldChar w:fldCharType="separate"/>
      </w:r>
      <w:r>
        <w:rPr>
          <w:rFonts w:hint="eastAsia"/>
          <w:color w:val="000000" w:themeColor="text1"/>
          <w14:textFill>
            <w14:solidFill>
              <w14:schemeClr w14:val="tx1"/>
            </w14:solidFill>
          </w14:textFill>
        </w:rPr>
        <w:t>⑦</w:t>
      </w:r>
      <w:r>
        <w:rPr>
          <w:snapToGrid w:val="0"/>
          <w:color w:val="000000" w:themeColor="text1"/>
          <w:spacing w:val="-6"/>
          <w:kern w:val="21"/>
          <w14:textFill>
            <w14:solidFill>
              <w14:schemeClr w14:val="tx1"/>
            </w14:solidFill>
          </w14:textFill>
        </w:rPr>
        <w:fldChar w:fldCharType="end"/>
      </w:r>
      <w:r>
        <w:rPr>
          <w:snapToGrid w:val="0"/>
          <w:color w:val="000000" w:themeColor="text1"/>
          <w:spacing w:val="-6"/>
          <w:kern w:val="21"/>
          <w14:textFill>
            <w14:solidFill>
              <w14:schemeClr w14:val="tx1"/>
            </w14:solidFill>
          </w14:textFill>
        </w:rPr>
        <w:t>=</w:t>
      </w:r>
      <w:r>
        <w:rPr>
          <w:snapToGrid w:val="0"/>
          <w:color w:val="000000" w:themeColor="text1"/>
          <w:spacing w:val="-16"/>
          <w:kern w:val="21"/>
          <w14:textFill>
            <w14:solidFill>
              <w14:schemeClr w14:val="tx1"/>
            </w14:solidFill>
          </w14:textFill>
        </w:rPr>
        <w:fldChar w:fldCharType="begin"/>
      </w:r>
      <w:r>
        <w:rPr>
          <w:snapToGrid w:val="0"/>
          <w:color w:val="000000" w:themeColor="text1"/>
          <w:spacing w:val="-16"/>
          <w:kern w:val="21"/>
          <w14:textFill>
            <w14:solidFill>
              <w14:schemeClr w14:val="tx1"/>
            </w14:solidFill>
          </w14:textFill>
        </w:rPr>
        <w:instrText xml:space="preserve">=6\*GB3\*MERGEFORMAT</w:instrText>
      </w:r>
      <w:r>
        <w:rPr>
          <w:snapToGrid w:val="0"/>
          <w:color w:val="000000" w:themeColor="text1"/>
          <w:spacing w:val="-16"/>
          <w:kern w:val="21"/>
          <w14:textFill>
            <w14:solidFill>
              <w14:schemeClr w14:val="tx1"/>
            </w14:solidFill>
          </w14:textFill>
        </w:rPr>
        <w:fldChar w:fldCharType="separate"/>
      </w:r>
      <w:r>
        <w:rPr>
          <w:rFonts w:hint="eastAsia"/>
          <w:color w:val="000000" w:themeColor="text1"/>
          <w14:textFill>
            <w14:solidFill>
              <w14:schemeClr w14:val="tx1"/>
            </w14:solidFill>
          </w14:textFill>
        </w:rPr>
        <w:t>⑥</w:t>
      </w:r>
      <w:r>
        <w:rPr>
          <w:snapToGrid w:val="0"/>
          <w:color w:val="000000" w:themeColor="text1"/>
          <w:spacing w:val="-16"/>
          <w:kern w:val="21"/>
          <w14:textFill>
            <w14:solidFill>
              <w14:schemeClr w14:val="tx1"/>
            </w14:solidFill>
          </w14:textFill>
        </w:rPr>
        <w:fldChar w:fldCharType="end"/>
      </w:r>
      <w:r>
        <w:rPr>
          <w:snapToGrid w:val="0"/>
          <w:color w:val="000000" w:themeColor="text1"/>
          <w:spacing w:val="-16"/>
          <w:kern w:val="21"/>
          <w14:textFill>
            <w14:solidFill>
              <w14:schemeClr w14:val="tx1"/>
            </w14:solidFill>
          </w14:textFill>
        </w:rPr>
        <w:t>-</w:t>
      </w:r>
      <w:r>
        <w:rPr>
          <w:snapToGrid w:val="0"/>
          <w:color w:val="000000" w:themeColor="text1"/>
          <w:spacing w:val="-6"/>
          <w:kern w:val="21"/>
          <w14:textFill>
            <w14:solidFill>
              <w14:schemeClr w14:val="tx1"/>
            </w14:solidFill>
          </w14:textFill>
        </w:rPr>
        <w:fldChar w:fldCharType="begin"/>
      </w:r>
      <w:r>
        <w:rPr>
          <w:snapToGrid w:val="0"/>
          <w:color w:val="000000" w:themeColor="text1"/>
          <w:spacing w:val="-6"/>
          <w:kern w:val="21"/>
          <w14:textFill>
            <w14:solidFill>
              <w14:schemeClr w14:val="tx1"/>
            </w14:solidFill>
          </w14:textFill>
        </w:rPr>
        <w:instrText xml:space="preserve">=1\*GB3\*MERGEFORMAT</w:instrText>
      </w:r>
      <w:r>
        <w:rPr>
          <w:snapToGrid w:val="0"/>
          <w:color w:val="000000" w:themeColor="text1"/>
          <w:spacing w:val="-6"/>
          <w:kern w:val="21"/>
          <w14:textFill>
            <w14:solidFill>
              <w14:schemeClr w14:val="tx1"/>
            </w14:solidFill>
          </w14:textFill>
        </w:rPr>
        <w:fldChar w:fldCharType="separate"/>
      </w:r>
      <w:r>
        <w:rPr>
          <w:rFonts w:hint="eastAsia"/>
          <w:color w:val="000000" w:themeColor="text1"/>
          <w14:textFill>
            <w14:solidFill>
              <w14:schemeClr w14:val="tx1"/>
            </w14:solidFill>
          </w14:textFill>
        </w:rPr>
        <w:t>①</w:t>
      </w:r>
      <w:r>
        <w:rPr>
          <w:snapToGrid w:val="0"/>
          <w:color w:val="000000" w:themeColor="text1"/>
          <w:spacing w:val="-6"/>
          <w:kern w:val="21"/>
          <w14:textFill>
            <w14:solidFill>
              <w14:schemeClr w14:val="tx1"/>
            </w14:solidFill>
          </w14:textFill>
        </w:rPr>
        <w:fldChar w:fldCharType="end"/>
      </w:r>
    </w:p>
    <w:sectPr>
      <w:footerReference r:id="rId9" w:type="default"/>
      <w:pgSz w:w="16838" w:h="11906" w:orient="landscape"/>
      <w:pgMar w:top="1134" w:right="1701" w:bottom="1134" w:left="1701"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FE69">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F25A">
    <w:pPr>
      <w:pStyle w:val="14"/>
      <w:framePr w:wrap="around" w:vAnchor="text" w:hAnchor="margin" w:xAlign="center" w:y="1"/>
      <w:rPr>
        <w:rStyle w:val="24"/>
      </w:rPr>
    </w:pPr>
    <w:r>
      <w:fldChar w:fldCharType="begin"/>
    </w:r>
    <w:r>
      <w:rPr>
        <w:rStyle w:val="24"/>
      </w:rPr>
      <w:instrText xml:space="preserve">PAGE  </w:instrText>
    </w:r>
    <w:r>
      <w:fldChar w:fldCharType="end"/>
    </w:r>
  </w:p>
  <w:p w14:paraId="236052F8">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6299">
    <w:pPr>
      <w:pStyle w:val="1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D84B">
    <w:pPr>
      <w:pStyle w:val="14"/>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CD6664">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b5NhW3gEAAMQDAAAOAAAAAAAA&#10;AAEAIAAAAB4BAABkcnMvZTJvRG9jLnhtbFBLBQYAAAAABgAGAFkBAABuBQAAAAA=&#10;">
              <v:fill on="f" focussize="0,0"/>
              <v:stroke on="f"/>
              <v:imagedata o:title=""/>
              <o:lock v:ext="edit" aspectratio="f"/>
              <v:textbox inset="0mm,0mm,0mm,0mm" style="mso-fit-shape-to-text:t;">
                <w:txbxContent>
                  <w:p w14:paraId="1CCD666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9959">
    <w:pPr>
      <w:pStyle w:val="1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091F83">
                          <w:pPr>
                            <w:pStyle w:val="14"/>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kwNP98BAADEAwAADgAAAAAA&#10;AAABACAAAAAeAQAAZHJzL2Uyb0RvYy54bWxQSwUGAAAAAAYABgBZAQAAbwUAAAAA&#10;">
              <v:fill on="f" focussize="0,0"/>
              <v:stroke on="f"/>
              <v:imagedata o:title=""/>
              <o:lock v:ext="edit" aspectratio="f"/>
              <v:textbox inset="0mm,0mm,0mm,0mm" style="mso-fit-shape-to-text:t;">
                <w:txbxContent>
                  <w:p w14:paraId="6E091F83">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62514">
    <w:pPr>
      <w:pStyle w:val="1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7FD988">
                          <w:pPr>
                            <w:pStyle w:val="14"/>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VTuD3gEAAMQDAAAOAAAAAAAA&#10;AAEAIAAAAB4BAABkcnMvZTJvRG9jLnhtbFBLBQYAAAAABgAGAFkBAABuBQAAAAA=&#10;">
              <v:fill on="f" focussize="0,0"/>
              <v:stroke on="f"/>
              <v:imagedata o:title=""/>
              <o:lock v:ext="edit" aspectratio="f"/>
              <v:textbox inset="0mm,0mm,0mm,0mm" style="mso-fit-shape-to-text:t;">
                <w:txbxContent>
                  <w:p w14:paraId="0C7FD988">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04DE">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OTI2ZDAyYTE5YTFiN2UwMjg3MWIxYjhjNGE4NTgifQ=="/>
  </w:docVars>
  <w:rsids>
    <w:rsidRoot w:val="00172A27"/>
    <w:rsid w:val="000060B3"/>
    <w:rsid w:val="0004364B"/>
    <w:rsid w:val="0005636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D6919"/>
    <w:rsid w:val="000E3ED2"/>
    <w:rsid w:val="001047B0"/>
    <w:rsid w:val="00131F42"/>
    <w:rsid w:val="001357F1"/>
    <w:rsid w:val="00140FA8"/>
    <w:rsid w:val="00142FEB"/>
    <w:rsid w:val="00143A2D"/>
    <w:rsid w:val="00145A41"/>
    <w:rsid w:val="00151675"/>
    <w:rsid w:val="0015322C"/>
    <w:rsid w:val="00157435"/>
    <w:rsid w:val="00172A27"/>
    <w:rsid w:val="0017504D"/>
    <w:rsid w:val="0017671A"/>
    <w:rsid w:val="00177422"/>
    <w:rsid w:val="00184590"/>
    <w:rsid w:val="001870D1"/>
    <w:rsid w:val="0018781E"/>
    <w:rsid w:val="0019262D"/>
    <w:rsid w:val="001A1B35"/>
    <w:rsid w:val="001A48A2"/>
    <w:rsid w:val="001A6F61"/>
    <w:rsid w:val="001B48C1"/>
    <w:rsid w:val="001B5381"/>
    <w:rsid w:val="001B72B8"/>
    <w:rsid w:val="001C69B3"/>
    <w:rsid w:val="001D5595"/>
    <w:rsid w:val="001D7874"/>
    <w:rsid w:val="001D7F22"/>
    <w:rsid w:val="001E1D86"/>
    <w:rsid w:val="001F0F17"/>
    <w:rsid w:val="001F1D2C"/>
    <w:rsid w:val="001F3347"/>
    <w:rsid w:val="001F69E4"/>
    <w:rsid w:val="002125B4"/>
    <w:rsid w:val="002155B8"/>
    <w:rsid w:val="00223B9F"/>
    <w:rsid w:val="00224839"/>
    <w:rsid w:val="002249B2"/>
    <w:rsid w:val="00226574"/>
    <w:rsid w:val="002278EC"/>
    <w:rsid w:val="0023280E"/>
    <w:rsid w:val="002377D1"/>
    <w:rsid w:val="002506BC"/>
    <w:rsid w:val="002512B5"/>
    <w:rsid w:val="00254345"/>
    <w:rsid w:val="00264557"/>
    <w:rsid w:val="00274D05"/>
    <w:rsid w:val="002805AB"/>
    <w:rsid w:val="00284204"/>
    <w:rsid w:val="00291773"/>
    <w:rsid w:val="002A168C"/>
    <w:rsid w:val="002A27F7"/>
    <w:rsid w:val="002A3DC7"/>
    <w:rsid w:val="002B42DC"/>
    <w:rsid w:val="002B49E2"/>
    <w:rsid w:val="002B7B00"/>
    <w:rsid w:val="002B7C44"/>
    <w:rsid w:val="002C2B17"/>
    <w:rsid w:val="002D3DD0"/>
    <w:rsid w:val="002D4022"/>
    <w:rsid w:val="002E1F3A"/>
    <w:rsid w:val="002E298A"/>
    <w:rsid w:val="00301978"/>
    <w:rsid w:val="0030332C"/>
    <w:rsid w:val="003051C2"/>
    <w:rsid w:val="00312296"/>
    <w:rsid w:val="00314F0E"/>
    <w:rsid w:val="00321D8E"/>
    <w:rsid w:val="00325928"/>
    <w:rsid w:val="00332863"/>
    <w:rsid w:val="0033606A"/>
    <w:rsid w:val="0033684D"/>
    <w:rsid w:val="00337B42"/>
    <w:rsid w:val="00341B42"/>
    <w:rsid w:val="0034348F"/>
    <w:rsid w:val="00356653"/>
    <w:rsid w:val="0035743F"/>
    <w:rsid w:val="00357BE2"/>
    <w:rsid w:val="0036170C"/>
    <w:rsid w:val="00366E0F"/>
    <w:rsid w:val="00373D22"/>
    <w:rsid w:val="00381A72"/>
    <w:rsid w:val="00384676"/>
    <w:rsid w:val="0039068A"/>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29A7"/>
    <w:rsid w:val="00466321"/>
    <w:rsid w:val="004719D0"/>
    <w:rsid w:val="00484B9B"/>
    <w:rsid w:val="004855F6"/>
    <w:rsid w:val="0048661E"/>
    <w:rsid w:val="00494670"/>
    <w:rsid w:val="004A3823"/>
    <w:rsid w:val="004D32C0"/>
    <w:rsid w:val="004E6946"/>
    <w:rsid w:val="004F1AD8"/>
    <w:rsid w:val="005039CB"/>
    <w:rsid w:val="0050558F"/>
    <w:rsid w:val="00506286"/>
    <w:rsid w:val="00510813"/>
    <w:rsid w:val="00511990"/>
    <w:rsid w:val="00511DE0"/>
    <w:rsid w:val="00514870"/>
    <w:rsid w:val="00514B9B"/>
    <w:rsid w:val="00517F02"/>
    <w:rsid w:val="00524303"/>
    <w:rsid w:val="005258A2"/>
    <w:rsid w:val="00537C28"/>
    <w:rsid w:val="005401AE"/>
    <w:rsid w:val="00542E07"/>
    <w:rsid w:val="00545424"/>
    <w:rsid w:val="00554A7B"/>
    <w:rsid w:val="0055572C"/>
    <w:rsid w:val="0056106A"/>
    <w:rsid w:val="005720AE"/>
    <w:rsid w:val="00594D77"/>
    <w:rsid w:val="005969E4"/>
    <w:rsid w:val="005A06B7"/>
    <w:rsid w:val="005A1759"/>
    <w:rsid w:val="005A68A7"/>
    <w:rsid w:val="005C75A8"/>
    <w:rsid w:val="005D36AB"/>
    <w:rsid w:val="00612D38"/>
    <w:rsid w:val="00617CC3"/>
    <w:rsid w:val="006306DB"/>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4537"/>
    <w:rsid w:val="006C5479"/>
    <w:rsid w:val="006D13B5"/>
    <w:rsid w:val="006E12FF"/>
    <w:rsid w:val="006E5BCE"/>
    <w:rsid w:val="006E607E"/>
    <w:rsid w:val="006F1210"/>
    <w:rsid w:val="007036C8"/>
    <w:rsid w:val="00706C5D"/>
    <w:rsid w:val="00732922"/>
    <w:rsid w:val="0075162E"/>
    <w:rsid w:val="00754034"/>
    <w:rsid w:val="00756556"/>
    <w:rsid w:val="007569D7"/>
    <w:rsid w:val="007618C4"/>
    <w:rsid w:val="0076794C"/>
    <w:rsid w:val="00767980"/>
    <w:rsid w:val="00770B19"/>
    <w:rsid w:val="0077463F"/>
    <w:rsid w:val="007836EA"/>
    <w:rsid w:val="00784CDA"/>
    <w:rsid w:val="0079035A"/>
    <w:rsid w:val="007906C4"/>
    <w:rsid w:val="007940EA"/>
    <w:rsid w:val="007967E8"/>
    <w:rsid w:val="007A2170"/>
    <w:rsid w:val="007A22BF"/>
    <w:rsid w:val="007A3323"/>
    <w:rsid w:val="007B450A"/>
    <w:rsid w:val="007B72B8"/>
    <w:rsid w:val="007B7A58"/>
    <w:rsid w:val="007C21B5"/>
    <w:rsid w:val="007C76AF"/>
    <w:rsid w:val="007E124B"/>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244CC"/>
    <w:rsid w:val="0093037A"/>
    <w:rsid w:val="0094154D"/>
    <w:rsid w:val="0095155F"/>
    <w:rsid w:val="00954429"/>
    <w:rsid w:val="009563CE"/>
    <w:rsid w:val="00976328"/>
    <w:rsid w:val="0097680D"/>
    <w:rsid w:val="00982438"/>
    <w:rsid w:val="0098404C"/>
    <w:rsid w:val="00985283"/>
    <w:rsid w:val="0099218C"/>
    <w:rsid w:val="00995992"/>
    <w:rsid w:val="009A03E5"/>
    <w:rsid w:val="009A0D8E"/>
    <w:rsid w:val="009A0F3B"/>
    <w:rsid w:val="009A1BB4"/>
    <w:rsid w:val="009A2628"/>
    <w:rsid w:val="009A3200"/>
    <w:rsid w:val="009B0897"/>
    <w:rsid w:val="009B7BD9"/>
    <w:rsid w:val="009C7DD5"/>
    <w:rsid w:val="009D1C67"/>
    <w:rsid w:val="009E227D"/>
    <w:rsid w:val="009E5019"/>
    <w:rsid w:val="00A04F1B"/>
    <w:rsid w:val="00A0501B"/>
    <w:rsid w:val="00A14947"/>
    <w:rsid w:val="00A32A83"/>
    <w:rsid w:val="00A368DB"/>
    <w:rsid w:val="00A423AA"/>
    <w:rsid w:val="00A53EC6"/>
    <w:rsid w:val="00A55C0F"/>
    <w:rsid w:val="00A61270"/>
    <w:rsid w:val="00A65FA9"/>
    <w:rsid w:val="00A8713F"/>
    <w:rsid w:val="00A90BA1"/>
    <w:rsid w:val="00A95C4D"/>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177EE"/>
    <w:rsid w:val="00B20A45"/>
    <w:rsid w:val="00B22C5C"/>
    <w:rsid w:val="00B24F30"/>
    <w:rsid w:val="00B31ABF"/>
    <w:rsid w:val="00B31AFB"/>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E69E9"/>
    <w:rsid w:val="00BF1C20"/>
    <w:rsid w:val="00C10578"/>
    <w:rsid w:val="00C11D62"/>
    <w:rsid w:val="00C135BC"/>
    <w:rsid w:val="00C15C95"/>
    <w:rsid w:val="00C2596A"/>
    <w:rsid w:val="00C27537"/>
    <w:rsid w:val="00C328FE"/>
    <w:rsid w:val="00C33507"/>
    <w:rsid w:val="00C34D1F"/>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1677"/>
    <w:rsid w:val="00CD2BCD"/>
    <w:rsid w:val="00CD3A4C"/>
    <w:rsid w:val="00CD4BBC"/>
    <w:rsid w:val="00CD6FAC"/>
    <w:rsid w:val="00CE10E9"/>
    <w:rsid w:val="00CE2910"/>
    <w:rsid w:val="00CE5393"/>
    <w:rsid w:val="00CF36BE"/>
    <w:rsid w:val="00CF6000"/>
    <w:rsid w:val="00D003F3"/>
    <w:rsid w:val="00D0364F"/>
    <w:rsid w:val="00D06834"/>
    <w:rsid w:val="00D308ED"/>
    <w:rsid w:val="00D36D86"/>
    <w:rsid w:val="00D428AA"/>
    <w:rsid w:val="00D50A34"/>
    <w:rsid w:val="00D51C1D"/>
    <w:rsid w:val="00D53EFA"/>
    <w:rsid w:val="00D82101"/>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4CE9"/>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34842"/>
    <w:rsid w:val="00F465A7"/>
    <w:rsid w:val="00F50B7C"/>
    <w:rsid w:val="00F54D7D"/>
    <w:rsid w:val="00F550E6"/>
    <w:rsid w:val="00F74345"/>
    <w:rsid w:val="00F80A0A"/>
    <w:rsid w:val="00F82B19"/>
    <w:rsid w:val="00F9212D"/>
    <w:rsid w:val="00F965DA"/>
    <w:rsid w:val="00FA406A"/>
    <w:rsid w:val="00FB503A"/>
    <w:rsid w:val="00FB516C"/>
    <w:rsid w:val="00FD0236"/>
    <w:rsid w:val="00FD18F4"/>
    <w:rsid w:val="00FD54DB"/>
    <w:rsid w:val="00FD619F"/>
    <w:rsid w:val="00FE4BB9"/>
    <w:rsid w:val="01290F7E"/>
    <w:rsid w:val="015D1E09"/>
    <w:rsid w:val="02021905"/>
    <w:rsid w:val="02535CBD"/>
    <w:rsid w:val="02697903"/>
    <w:rsid w:val="02F96569"/>
    <w:rsid w:val="03253AFD"/>
    <w:rsid w:val="03374714"/>
    <w:rsid w:val="03374D27"/>
    <w:rsid w:val="03551F3B"/>
    <w:rsid w:val="036F55F6"/>
    <w:rsid w:val="03A5079A"/>
    <w:rsid w:val="03D251BA"/>
    <w:rsid w:val="03EA7B21"/>
    <w:rsid w:val="03EB39E8"/>
    <w:rsid w:val="04180F6C"/>
    <w:rsid w:val="04A70542"/>
    <w:rsid w:val="04AC7907"/>
    <w:rsid w:val="04D56E5D"/>
    <w:rsid w:val="052A53FB"/>
    <w:rsid w:val="0566636B"/>
    <w:rsid w:val="05AD7DDA"/>
    <w:rsid w:val="05F83EAE"/>
    <w:rsid w:val="05FB94E0"/>
    <w:rsid w:val="063E7D85"/>
    <w:rsid w:val="064918B1"/>
    <w:rsid w:val="069B5E85"/>
    <w:rsid w:val="06AB256C"/>
    <w:rsid w:val="06D7510F"/>
    <w:rsid w:val="07293586"/>
    <w:rsid w:val="07295285"/>
    <w:rsid w:val="07397B77"/>
    <w:rsid w:val="075952DC"/>
    <w:rsid w:val="07636392"/>
    <w:rsid w:val="076E3F95"/>
    <w:rsid w:val="07770C56"/>
    <w:rsid w:val="07A80859"/>
    <w:rsid w:val="080D690E"/>
    <w:rsid w:val="08253C58"/>
    <w:rsid w:val="08430582"/>
    <w:rsid w:val="084F6F27"/>
    <w:rsid w:val="08612B7A"/>
    <w:rsid w:val="0865499C"/>
    <w:rsid w:val="086F1377"/>
    <w:rsid w:val="08966904"/>
    <w:rsid w:val="089A4646"/>
    <w:rsid w:val="08C83AB0"/>
    <w:rsid w:val="091837BC"/>
    <w:rsid w:val="092217DD"/>
    <w:rsid w:val="092A6F97"/>
    <w:rsid w:val="093A7294"/>
    <w:rsid w:val="0963712E"/>
    <w:rsid w:val="09B23C11"/>
    <w:rsid w:val="09B83AB4"/>
    <w:rsid w:val="0A263993"/>
    <w:rsid w:val="0A2D3AC2"/>
    <w:rsid w:val="0A40121D"/>
    <w:rsid w:val="0A474359"/>
    <w:rsid w:val="0A786C09"/>
    <w:rsid w:val="0A8C06AC"/>
    <w:rsid w:val="0AA755DF"/>
    <w:rsid w:val="0AD61B81"/>
    <w:rsid w:val="0B120D44"/>
    <w:rsid w:val="0B446AEB"/>
    <w:rsid w:val="0B640F3B"/>
    <w:rsid w:val="0B6E4AF7"/>
    <w:rsid w:val="0B974E6D"/>
    <w:rsid w:val="0BA23811"/>
    <w:rsid w:val="0BA90F35"/>
    <w:rsid w:val="0BB2614A"/>
    <w:rsid w:val="0BD27BF6"/>
    <w:rsid w:val="0BDE6F3F"/>
    <w:rsid w:val="0C0F0EA7"/>
    <w:rsid w:val="0C1110C3"/>
    <w:rsid w:val="0C331AD7"/>
    <w:rsid w:val="0C3B3C7D"/>
    <w:rsid w:val="0C46590B"/>
    <w:rsid w:val="0C4D7C21"/>
    <w:rsid w:val="0C6236CC"/>
    <w:rsid w:val="0C7B653C"/>
    <w:rsid w:val="0CAB2EAE"/>
    <w:rsid w:val="0CE560AB"/>
    <w:rsid w:val="0D26294C"/>
    <w:rsid w:val="0D3C666E"/>
    <w:rsid w:val="0D444B80"/>
    <w:rsid w:val="0D4C1A7D"/>
    <w:rsid w:val="0D621C7D"/>
    <w:rsid w:val="0D735465"/>
    <w:rsid w:val="0DC43F13"/>
    <w:rsid w:val="0DEB14A0"/>
    <w:rsid w:val="0DFF293E"/>
    <w:rsid w:val="0DFF4F4B"/>
    <w:rsid w:val="0E121122"/>
    <w:rsid w:val="0E1F739B"/>
    <w:rsid w:val="0E2A1FC8"/>
    <w:rsid w:val="0E601E8E"/>
    <w:rsid w:val="0E73034D"/>
    <w:rsid w:val="0E9733D5"/>
    <w:rsid w:val="0E976355"/>
    <w:rsid w:val="0EA01786"/>
    <w:rsid w:val="0EA325B7"/>
    <w:rsid w:val="0ED40186"/>
    <w:rsid w:val="0F13775A"/>
    <w:rsid w:val="0F19203C"/>
    <w:rsid w:val="0F3550C8"/>
    <w:rsid w:val="0F5F45FE"/>
    <w:rsid w:val="0F6D350E"/>
    <w:rsid w:val="0F8E6586"/>
    <w:rsid w:val="0F9A112B"/>
    <w:rsid w:val="0F9F69E6"/>
    <w:rsid w:val="0FC71A98"/>
    <w:rsid w:val="0FD3043D"/>
    <w:rsid w:val="100D394F"/>
    <w:rsid w:val="1066305F"/>
    <w:rsid w:val="106D2F64"/>
    <w:rsid w:val="106D32AB"/>
    <w:rsid w:val="10703EDE"/>
    <w:rsid w:val="108D078D"/>
    <w:rsid w:val="10B63710"/>
    <w:rsid w:val="10BB784F"/>
    <w:rsid w:val="10D34B99"/>
    <w:rsid w:val="10EC3076"/>
    <w:rsid w:val="10F10820"/>
    <w:rsid w:val="10F44B0F"/>
    <w:rsid w:val="111452CE"/>
    <w:rsid w:val="111C2F7A"/>
    <w:rsid w:val="11665CA1"/>
    <w:rsid w:val="125414B9"/>
    <w:rsid w:val="12B26A30"/>
    <w:rsid w:val="12C95897"/>
    <w:rsid w:val="1356385F"/>
    <w:rsid w:val="136C7C17"/>
    <w:rsid w:val="13951726"/>
    <w:rsid w:val="13CF690E"/>
    <w:rsid w:val="13DC1FB6"/>
    <w:rsid w:val="13E64BE3"/>
    <w:rsid w:val="141352AC"/>
    <w:rsid w:val="14157276"/>
    <w:rsid w:val="14396509"/>
    <w:rsid w:val="145002B2"/>
    <w:rsid w:val="14733F9D"/>
    <w:rsid w:val="147D5693"/>
    <w:rsid w:val="149C5851"/>
    <w:rsid w:val="149F30C2"/>
    <w:rsid w:val="14C52A4A"/>
    <w:rsid w:val="14DD2C3C"/>
    <w:rsid w:val="155018FF"/>
    <w:rsid w:val="155E2E9F"/>
    <w:rsid w:val="15AE1730"/>
    <w:rsid w:val="15C40F54"/>
    <w:rsid w:val="15D5322E"/>
    <w:rsid w:val="15FD4466"/>
    <w:rsid w:val="16087E1D"/>
    <w:rsid w:val="16161084"/>
    <w:rsid w:val="163065E9"/>
    <w:rsid w:val="164B06EC"/>
    <w:rsid w:val="165F0C7D"/>
    <w:rsid w:val="16612C47"/>
    <w:rsid w:val="16A446B6"/>
    <w:rsid w:val="16F13495"/>
    <w:rsid w:val="16F2564D"/>
    <w:rsid w:val="16FA09A5"/>
    <w:rsid w:val="171C6B6E"/>
    <w:rsid w:val="17334211"/>
    <w:rsid w:val="17701D14"/>
    <w:rsid w:val="17735226"/>
    <w:rsid w:val="178F2FEA"/>
    <w:rsid w:val="17CC0594"/>
    <w:rsid w:val="17CC504C"/>
    <w:rsid w:val="17E82F02"/>
    <w:rsid w:val="17F673BF"/>
    <w:rsid w:val="17F84EE5"/>
    <w:rsid w:val="17F85DC4"/>
    <w:rsid w:val="17FE003A"/>
    <w:rsid w:val="184E0FA9"/>
    <w:rsid w:val="18615571"/>
    <w:rsid w:val="189F624C"/>
    <w:rsid w:val="18ED2570"/>
    <w:rsid w:val="19210398"/>
    <w:rsid w:val="193B3162"/>
    <w:rsid w:val="194303E2"/>
    <w:rsid w:val="198A6011"/>
    <w:rsid w:val="19D92AF4"/>
    <w:rsid w:val="1A0C059A"/>
    <w:rsid w:val="1A1324AA"/>
    <w:rsid w:val="1A1C66C0"/>
    <w:rsid w:val="1A42393B"/>
    <w:rsid w:val="1A514D80"/>
    <w:rsid w:val="1A7B1DFD"/>
    <w:rsid w:val="1A864A2A"/>
    <w:rsid w:val="1AAD45DE"/>
    <w:rsid w:val="1AB76247"/>
    <w:rsid w:val="1AEB6F83"/>
    <w:rsid w:val="1AFD6E94"/>
    <w:rsid w:val="1B046F80"/>
    <w:rsid w:val="1B3267B5"/>
    <w:rsid w:val="1B40161D"/>
    <w:rsid w:val="1B441859"/>
    <w:rsid w:val="1B636067"/>
    <w:rsid w:val="1B6606B1"/>
    <w:rsid w:val="1C505BC6"/>
    <w:rsid w:val="1C5E7925"/>
    <w:rsid w:val="1C7E160A"/>
    <w:rsid w:val="1C821221"/>
    <w:rsid w:val="1C827473"/>
    <w:rsid w:val="1CDF48C5"/>
    <w:rsid w:val="1CFD070F"/>
    <w:rsid w:val="1D152095"/>
    <w:rsid w:val="1D2E3157"/>
    <w:rsid w:val="1D306ECF"/>
    <w:rsid w:val="1D5F6196"/>
    <w:rsid w:val="1D6132A5"/>
    <w:rsid w:val="1D813BCE"/>
    <w:rsid w:val="1D8E56D5"/>
    <w:rsid w:val="1D9A259A"/>
    <w:rsid w:val="1DB93368"/>
    <w:rsid w:val="1DF223D6"/>
    <w:rsid w:val="1E150D35"/>
    <w:rsid w:val="1E7A43DA"/>
    <w:rsid w:val="1E8E0351"/>
    <w:rsid w:val="1EA71413"/>
    <w:rsid w:val="1EBA7398"/>
    <w:rsid w:val="1ECC0E79"/>
    <w:rsid w:val="1F737EE6"/>
    <w:rsid w:val="1FE7539E"/>
    <w:rsid w:val="202004F3"/>
    <w:rsid w:val="20270A5D"/>
    <w:rsid w:val="20671BE0"/>
    <w:rsid w:val="20931C4F"/>
    <w:rsid w:val="20963CB8"/>
    <w:rsid w:val="20987265"/>
    <w:rsid w:val="209D0D1F"/>
    <w:rsid w:val="20A81A1B"/>
    <w:rsid w:val="20B07FB6"/>
    <w:rsid w:val="20B646FB"/>
    <w:rsid w:val="20CE2C87"/>
    <w:rsid w:val="21042B4C"/>
    <w:rsid w:val="211F2893"/>
    <w:rsid w:val="213B74B1"/>
    <w:rsid w:val="215A2310"/>
    <w:rsid w:val="219C0FD7"/>
    <w:rsid w:val="21DE318A"/>
    <w:rsid w:val="21EC74C8"/>
    <w:rsid w:val="21EF5B80"/>
    <w:rsid w:val="222E558F"/>
    <w:rsid w:val="22576990"/>
    <w:rsid w:val="225B49EE"/>
    <w:rsid w:val="225E44DE"/>
    <w:rsid w:val="22D447A0"/>
    <w:rsid w:val="22F47480"/>
    <w:rsid w:val="23163B3C"/>
    <w:rsid w:val="23283B3B"/>
    <w:rsid w:val="2331574F"/>
    <w:rsid w:val="23DD322A"/>
    <w:rsid w:val="23DE1C48"/>
    <w:rsid w:val="23E9602A"/>
    <w:rsid w:val="240210CD"/>
    <w:rsid w:val="240C1A97"/>
    <w:rsid w:val="2423778D"/>
    <w:rsid w:val="242B6642"/>
    <w:rsid w:val="24AF2ABC"/>
    <w:rsid w:val="24BF09F7"/>
    <w:rsid w:val="24EC5DD1"/>
    <w:rsid w:val="251315B0"/>
    <w:rsid w:val="252D53FE"/>
    <w:rsid w:val="25317C8D"/>
    <w:rsid w:val="25421E95"/>
    <w:rsid w:val="255A71DF"/>
    <w:rsid w:val="2584600A"/>
    <w:rsid w:val="25B06804"/>
    <w:rsid w:val="25EC2D81"/>
    <w:rsid w:val="2604714B"/>
    <w:rsid w:val="260D4251"/>
    <w:rsid w:val="268D5392"/>
    <w:rsid w:val="269009DE"/>
    <w:rsid w:val="271433BD"/>
    <w:rsid w:val="27421CD9"/>
    <w:rsid w:val="277057A2"/>
    <w:rsid w:val="27781B9E"/>
    <w:rsid w:val="277B168E"/>
    <w:rsid w:val="27D843EB"/>
    <w:rsid w:val="27DC212D"/>
    <w:rsid w:val="27EB2370"/>
    <w:rsid w:val="27F31225"/>
    <w:rsid w:val="280276BA"/>
    <w:rsid w:val="28195541"/>
    <w:rsid w:val="28497097"/>
    <w:rsid w:val="28575C58"/>
    <w:rsid w:val="286B4FD1"/>
    <w:rsid w:val="28B22E8E"/>
    <w:rsid w:val="28E026ED"/>
    <w:rsid w:val="2903193C"/>
    <w:rsid w:val="291853E7"/>
    <w:rsid w:val="29193313"/>
    <w:rsid w:val="29206EB8"/>
    <w:rsid w:val="292F2731"/>
    <w:rsid w:val="293F4DD0"/>
    <w:rsid w:val="294A1318"/>
    <w:rsid w:val="29595666"/>
    <w:rsid w:val="296F0D7F"/>
    <w:rsid w:val="29874881"/>
    <w:rsid w:val="298A5BB9"/>
    <w:rsid w:val="298F31CF"/>
    <w:rsid w:val="29D05CC2"/>
    <w:rsid w:val="29E325E0"/>
    <w:rsid w:val="29E96D83"/>
    <w:rsid w:val="2A3D2C2B"/>
    <w:rsid w:val="2A452503"/>
    <w:rsid w:val="2A4F30D5"/>
    <w:rsid w:val="2A6410AA"/>
    <w:rsid w:val="2AA8279A"/>
    <w:rsid w:val="2AAF1D7B"/>
    <w:rsid w:val="2AD4533E"/>
    <w:rsid w:val="2B1C359C"/>
    <w:rsid w:val="2B230073"/>
    <w:rsid w:val="2B2D0EF2"/>
    <w:rsid w:val="2B4F2C16"/>
    <w:rsid w:val="2B5244B4"/>
    <w:rsid w:val="2B6E5792"/>
    <w:rsid w:val="2B996587"/>
    <w:rsid w:val="2BA936A8"/>
    <w:rsid w:val="2C2E3173"/>
    <w:rsid w:val="2C315A5A"/>
    <w:rsid w:val="2C4B1C25"/>
    <w:rsid w:val="2C536736"/>
    <w:rsid w:val="2C5A3F68"/>
    <w:rsid w:val="2C663C74"/>
    <w:rsid w:val="2C695F59"/>
    <w:rsid w:val="2C9E12F7"/>
    <w:rsid w:val="2CBE44F7"/>
    <w:rsid w:val="2CDC672B"/>
    <w:rsid w:val="2D0A773C"/>
    <w:rsid w:val="2D6230D5"/>
    <w:rsid w:val="2D811081"/>
    <w:rsid w:val="2D9E56F5"/>
    <w:rsid w:val="2DAF5BEE"/>
    <w:rsid w:val="2DB11966"/>
    <w:rsid w:val="2DC773DC"/>
    <w:rsid w:val="2DD13DB6"/>
    <w:rsid w:val="2DEC299E"/>
    <w:rsid w:val="2DF4413E"/>
    <w:rsid w:val="2E1819E5"/>
    <w:rsid w:val="2E3F3416"/>
    <w:rsid w:val="2E667F96"/>
    <w:rsid w:val="2E6B5FB9"/>
    <w:rsid w:val="2E8226AB"/>
    <w:rsid w:val="2F3A3BDD"/>
    <w:rsid w:val="2F4256A4"/>
    <w:rsid w:val="2F6113B7"/>
    <w:rsid w:val="2F6D4D69"/>
    <w:rsid w:val="2F7D2448"/>
    <w:rsid w:val="2FD065E6"/>
    <w:rsid w:val="2FD96870"/>
    <w:rsid w:val="30055F99"/>
    <w:rsid w:val="303074BA"/>
    <w:rsid w:val="30580BC9"/>
    <w:rsid w:val="30C16364"/>
    <w:rsid w:val="311E2ED7"/>
    <w:rsid w:val="31264419"/>
    <w:rsid w:val="313A2D0C"/>
    <w:rsid w:val="31537BCC"/>
    <w:rsid w:val="315619EE"/>
    <w:rsid w:val="315C449C"/>
    <w:rsid w:val="31B163D9"/>
    <w:rsid w:val="31B82709"/>
    <w:rsid w:val="31C3610C"/>
    <w:rsid w:val="31C54524"/>
    <w:rsid w:val="31D05482"/>
    <w:rsid w:val="321A2444"/>
    <w:rsid w:val="321B5F48"/>
    <w:rsid w:val="32382656"/>
    <w:rsid w:val="32400B34"/>
    <w:rsid w:val="326C5A72"/>
    <w:rsid w:val="328C4750"/>
    <w:rsid w:val="329E6876"/>
    <w:rsid w:val="332B21BB"/>
    <w:rsid w:val="333015F2"/>
    <w:rsid w:val="333746BC"/>
    <w:rsid w:val="334B6320"/>
    <w:rsid w:val="339F1D49"/>
    <w:rsid w:val="33B966F1"/>
    <w:rsid w:val="33D934D4"/>
    <w:rsid w:val="33FC5905"/>
    <w:rsid w:val="33FE2F6A"/>
    <w:rsid w:val="340547BA"/>
    <w:rsid w:val="340E07E5"/>
    <w:rsid w:val="34235BF7"/>
    <w:rsid w:val="34586FDF"/>
    <w:rsid w:val="34F100FA"/>
    <w:rsid w:val="34FC48D1"/>
    <w:rsid w:val="350D601C"/>
    <w:rsid w:val="3529272A"/>
    <w:rsid w:val="353F2CAE"/>
    <w:rsid w:val="358C5FA8"/>
    <w:rsid w:val="359027A9"/>
    <w:rsid w:val="35C15DF1"/>
    <w:rsid w:val="35F76384"/>
    <w:rsid w:val="36074A7F"/>
    <w:rsid w:val="36274EBB"/>
    <w:rsid w:val="362B78C7"/>
    <w:rsid w:val="36415CC6"/>
    <w:rsid w:val="366F0610"/>
    <w:rsid w:val="36923549"/>
    <w:rsid w:val="36A302BA"/>
    <w:rsid w:val="36AE5209"/>
    <w:rsid w:val="36B75FBF"/>
    <w:rsid w:val="36BD0C45"/>
    <w:rsid w:val="36D6068F"/>
    <w:rsid w:val="36DF1E6D"/>
    <w:rsid w:val="36E95B61"/>
    <w:rsid w:val="370276D6"/>
    <w:rsid w:val="37111378"/>
    <w:rsid w:val="373F11B0"/>
    <w:rsid w:val="37AE1CD9"/>
    <w:rsid w:val="37DE77FC"/>
    <w:rsid w:val="37E00298"/>
    <w:rsid w:val="38066D52"/>
    <w:rsid w:val="38067592"/>
    <w:rsid w:val="38196A86"/>
    <w:rsid w:val="383E64EC"/>
    <w:rsid w:val="384B0C09"/>
    <w:rsid w:val="385775AE"/>
    <w:rsid w:val="38B302F9"/>
    <w:rsid w:val="38C74734"/>
    <w:rsid w:val="38F12CD3"/>
    <w:rsid w:val="38F94775"/>
    <w:rsid w:val="390A1468"/>
    <w:rsid w:val="3911775D"/>
    <w:rsid w:val="392971ED"/>
    <w:rsid w:val="39325651"/>
    <w:rsid w:val="39382F3B"/>
    <w:rsid w:val="393D49F6"/>
    <w:rsid w:val="394C4C39"/>
    <w:rsid w:val="395C1641"/>
    <w:rsid w:val="39783C80"/>
    <w:rsid w:val="39FD5F33"/>
    <w:rsid w:val="3A2B6F44"/>
    <w:rsid w:val="3A6A7A6C"/>
    <w:rsid w:val="3A872856"/>
    <w:rsid w:val="3AAC1E33"/>
    <w:rsid w:val="3AAF36D1"/>
    <w:rsid w:val="3AB26D1E"/>
    <w:rsid w:val="3AB36DA4"/>
    <w:rsid w:val="3AEB7525"/>
    <w:rsid w:val="3B0C4680"/>
    <w:rsid w:val="3B201ED9"/>
    <w:rsid w:val="3B240143"/>
    <w:rsid w:val="3B2A71FC"/>
    <w:rsid w:val="3B3763D1"/>
    <w:rsid w:val="3B5D312D"/>
    <w:rsid w:val="3B6A75F8"/>
    <w:rsid w:val="3B815EBA"/>
    <w:rsid w:val="3BCE2E77"/>
    <w:rsid w:val="3BFF5F92"/>
    <w:rsid w:val="3C2F6E1E"/>
    <w:rsid w:val="3C4F64BA"/>
    <w:rsid w:val="3C7B5338"/>
    <w:rsid w:val="3C925059"/>
    <w:rsid w:val="3CB74ABF"/>
    <w:rsid w:val="3CBB635D"/>
    <w:rsid w:val="3CCA2A44"/>
    <w:rsid w:val="3CDA245A"/>
    <w:rsid w:val="3CE5162C"/>
    <w:rsid w:val="3D1E06B7"/>
    <w:rsid w:val="3D2E2D04"/>
    <w:rsid w:val="3D502753"/>
    <w:rsid w:val="3D6C5F71"/>
    <w:rsid w:val="3D8250CD"/>
    <w:rsid w:val="3D8E5820"/>
    <w:rsid w:val="3DAC3EF8"/>
    <w:rsid w:val="3DCD0B3E"/>
    <w:rsid w:val="3E063608"/>
    <w:rsid w:val="3E3208A1"/>
    <w:rsid w:val="3E6E73FF"/>
    <w:rsid w:val="3ED17321"/>
    <w:rsid w:val="3EDA0523"/>
    <w:rsid w:val="3EF75647"/>
    <w:rsid w:val="3F012022"/>
    <w:rsid w:val="3F373C95"/>
    <w:rsid w:val="3F3B19D7"/>
    <w:rsid w:val="3F656A54"/>
    <w:rsid w:val="3F695E54"/>
    <w:rsid w:val="3F9B06C8"/>
    <w:rsid w:val="3FB452E6"/>
    <w:rsid w:val="3FB86B84"/>
    <w:rsid w:val="40754A75"/>
    <w:rsid w:val="407A6407"/>
    <w:rsid w:val="409C64A6"/>
    <w:rsid w:val="41270465"/>
    <w:rsid w:val="41377F7D"/>
    <w:rsid w:val="413B7A6D"/>
    <w:rsid w:val="418F1B67"/>
    <w:rsid w:val="41CC4B69"/>
    <w:rsid w:val="41FA16D6"/>
    <w:rsid w:val="4200449D"/>
    <w:rsid w:val="423A3BCC"/>
    <w:rsid w:val="424E57D2"/>
    <w:rsid w:val="42507FAC"/>
    <w:rsid w:val="42976F25"/>
    <w:rsid w:val="42A81132"/>
    <w:rsid w:val="42AE0712"/>
    <w:rsid w:val="42B26C49"/>
    <w:rsid w:val="42D27F5D"/>
    <w:rsid w:val="433A6FE6"/>
    <w:rsid w:val="43480868"/>
    <w:rsid w:val="4350713C"/>
    <w:rsid w:val="436653E0"/>
    <w:rsid w:val="43686AD1"/>
    <w:rsid w:val="43686B13"/>
    <w:rsid w:val="43713C1A"/>
    <w:rsid w:val="437159C8"/>
    <w:rsid w:val="437B23A2"/>
    <w:rsid w:val="43A401FC"/>
    <w:rsid w:val="43C4431A"/>
    <w:rsid w:val="43D9356D"/>
    <w:rsid w:val="43FB1735"/>
    <w:rsid w:val="44705C7F"/>
    <w:rsid w:val="447C48B5"/>
    <w:rsid w:val="447D65EE"/>
    <w:rsid w:val="44B951CC"/>
    <w:rsid w:val="44CD14E0"/>
    <w:rsid w:val="44D3620E"/>
    <w:rsid w:val="44DF1057"/>
    <w:rsid w:val="44F20B0B"/>
    <w:rsid w:val="451F1453"/>
    <w:rsid w:val="452E5F4C"/>
    <w:rsid w:val="454F7F8B"/>
    <w:rsid w:val="45612018"/>
    <w:rsid w:val="457D7461"/>
    <w:rsid w:val="458946E9"/>
    <w:rsid w:val="459E681C"/>
    <w:rsid w:val="459E7EBE"/>
    <w:rsid w:val="45A47C0E"/>
    <w:rsid w:val="45D65FB6"/>
    <w:rsid w:val="46057028"/>
    <w:rsid w:val="46250DE7"/>
    <w:rsid w:val="46577FD6"/>
    <w:rsid w:val="466B2BA2"/>
    <w:rsid w:val="46723E21"/>
    <w:rsid w:val="467D0B27"/>
    <w:rsid w:val="46827EEC"/>
    <w:rsid w:val="469A4AFF"/>
    <w:rsid w:val="469A5235"/>
    <w:rsid w:val="46D955A7"/>
    <w:rsid w:val="47133957"/>
    <w:rsid w:val="47456FDC"/>
    <w:rsid w:val="47543636"/>
    <w:rsid w:val="47596E9F"/>
    <w:rsid w:val="47A07E0C"/>
    <w:rsid w:val="47F70466"/>
    <w:rsid w:val="4870272E"/>
    <w:rsid w:val="489108BA"/>
    <w:rsid w:val="48D150F1"/>
    <w:rsid w:val="48E409EA"/>
    <w:rsid w:val="48E44E8E"/>
    <w:rsid w:val="49535B70"/>
    <w:rsid w:val="49697141"/>
    <w:rsid w:val="497664FC"/>
    <w:rsid w:val="49DC7715"/>
    <w:rsid w:val="4A023139"/>
    <w:rsid w:val="4A2A68D0"/>
    <w:rsid w:val="4A2D016F"/>
    <w:rsid w:val="4A6D4A0F"/>
    <w:rsid w:val="4A7B576F"/>
    <w:rsid w:val="4A8920D8"/>
    <w:rsid w:val="4A9956BB"/>
    <w:rsid w:val="4AA448D5"/>
    <w:rsid w:val="4AF561A9"/>
    <w:rsid w:val="4B2B2900"/>
    <w:rsid w:val="4B3519D1"/>
    <w:rsid w:val="4B614574"/>
    <w:rsid w:val="4B6D2F19"/>
    <w:rsid w:val="4B72052F"/>
    <w:rsid w:val="4B92472D"/>
    <w:rsid w:val="4BAB57EF"/>
    <w:rsid w:val="4C046149"/>
    <w:rsid w:val="4C4A0649"/>
    <w:rsid w:val="4C675BBA"/>
    <w:rsid w:val="4C7E5ECA"/>
    <w:rsid w:val="4C876AA5"/>
    <w:rsid w:val="4D0C050F"/>
    <w:rsid w:val="4D0E00FB"/>
    <w:rsid w:val="4D0F1DAD"/>
    <w:rsid w:val="4D176606"/>
    <w:rsid w:val="4D4128AF"/>
    <w:rsid w:val="4D461514"/>
    <w:rsid w:val="4D6B4844"/>
    <w:rsid w:val="4DEC4FB0"/>
    <w:rsid w:val="4DFC4A28"/>
    <w:rsid w:val="4E075D8A"/>
    <w:rsid w:val="4E1458CD"/>
    <w:rsid w:val="4E434405"/>
    <w:rsid w:val="4E52289A"/>
    <w:rsid w:val="4E806677"/>
    <w:rsid w:val="4EC00FAD"/>
    <w:rsid w:val="4ED80FF1"/>
    <w:rsid w:val="4EF4089D"/>
    <w:rsid w:val="4F082F58"/>
    <w:rsid w:val="4F1431F5"/>
    <w:rsid w:val="4F68715D"/>
    <w:rsid w:val="4F7C258C"/>
    <w:rsid w:val="4F8C3B89"/>
    <w:rsid w:val="4F9843DC"/>
    <w:rsid w:val="4FA669F9"/>
    <w:rsid w:val="4FC62A8C"/>
    <w:rsid w:val="4FE20F0D"/>
    <w:rsid w:val="4FE51552"/>
    <w:rsid w:val="4FEB1458"/>
    <w:rsid w:val="4FEB3664"/>
    <w:rsid w:val="4FF26104"/>
    <w:rsid w:val="5032028D"/>
    <w:rsid w:val="503A35E5"/>
    <w:rsid w:val="50504C4B"/>
    <w:rsid w:val="505E5526"/>
    <w:rsid w:val="50681F00"/>
    <w:rsid w:val="509C6E7C"/>
    <w:rsid w:val="50EA6DB9"/>
    <w:rsid w:val="5162104E"/>
    <w:rsid w:val="51714DE5"/>
    <w:rsid w:val="51752B27"/>
    <w:rsid w:val="51915487"/>
    <w:rsid w:val="519D67EC"/>
    <w:rsid w:val="51FE7CEA"/>
    <w:rsid w:val="52120376"/>
    <w:rsid w:val="521265C8"/>
    <w:rsid w:val="527A5F1B"/>
    <w:rsid w:val="52955584"/>
    <w:rsid w:val="529E7E5B"/>
    <w:rsid w:val="52C47929"/>
    <w:rsid w:val="52D970E6"/>
    <w:rsid w:val="52FA287F"/>
    <w:rsid w:val="52FE6B4C"/>
    <w:rsid w:val="53281246"/>
    <w:rsid w:val="532E5683"/>
    <w:rsid w:val="53982AFD"/>
    <w:rsid w:val="53A039CC"/>
    <w:rsid w:val="53A1505A"/>
    <w:rsid w:val="53A331CC"/>
    <w:rsid w:val="53CC6C4A"/>
    <w:rsid w:val="53E43F94"/>
    <w:rsid w:val="54063E08"/>
    <w:rsid w:val="542F1C7D"/>
    <w:rsid w:val="543437E8"/>
    <w:rsid w:val="543E18F6"/>
    <w:rsid w:val="545D055C"/>
    <w:rsid w:val="546724CF"/>
    <w:rsid w:val="549A4653"/>
    <w:rsid w:val="54E51D72"/>
    <w:rsid w:val="54E65AEA"/>
    <w:rsid w:val="54F73313"/>
    <w:rsid w:val="54F80955"/>
    <w:rsid w:val="55180399"/>
    <w:rsid w:val="555170A7"/>
    <w:rsid w:val="555D5DAC"/>
    <w:rsid w:val="556B6EC3"/>
    <w:rsid w:val="5587536D"/>
    <w:rsid w:val="559B174B"/>
    <w:rsid w:val="55A7171D"/>
    <w:rsid w:val="55BD4A9D"/>
    <w:rsid w:val="55CE0CF4"/>
    <w:rsid w:val="55D671C7"/>
    <w:rsid w:val="565D002E"/>
    <w:rsid w:val="56723AD9"/>
    <w:rsid w:val="569A6B8C"/>
    <w:rsid w:val="56B22A9C"/>
    <w:rsid w:val="56C47753"/>
    <w:rsid w:val="570566FB"/>
    <w:rsid w:val="57062B83"/>
    <w:rsid w:val="57364B06"/>
    <w:rsid w:val="57430FD1"/>
    <w:rsid w:val="576D42A0"/>
    <w:rsid w:val="578D37A9"/>
    <w:rsid w:val="579932E7"/>
    <w:rsid w:val="57B72A76"/>
    <w:rsid w:val="57C3426C"/>
    <w:rsid w:val="57CE1F93"/>
    <w:rsid w:val="57F4051E"/>
    <w:rsid w:val="580573C3"/>
    <w:rsid w:val="58627B7D"/>
    <w:rsid w:val="588743D1"/>
    <w:rsid w:val="5887701A"/>
    <w:rsid w:val="591C41D0"/>
    <w:rsid w:val="59254E33"/>
    <w:rsid w:val="5928496A"/>
    <w:rsid w:val="597D4C6F"/>
    <w:rsid w:val="59BE0DE3"/>
    <w:rsid w:val="59C0439F"/>
    <w:rsid w:val="59F82547"/>
    <w:rsid w:val="5A3414B6"/>
    <w:rsid w:val="5A584D94"/>
    <w:rsid w:val="5A690D4F"/>
    <w:rsid w:val="5A9D30EE"/>
    <w:rsid w:val="5ABE2233"/>
    <w:rsid w:val="5B296730"/>
    <w:rsid w:val="5B3752F1"/>
    <w:rsid w:val="5B8056F3"/>
    <w:rsid w:val="5BBD57F6"/>
    <w:rsid w:val="5BD62414"/>
    <w:rsid w:val="5BDF5D95"/>
    <w:rsid w:val="5BE03293"/>
    <w:rsid w:val="5BF62AB6"/>
    <w:rsid w:val="5BFE7528"/>
    <w:rsid w:val="5C0C052C"/>
    <w:rsid w:val="5C1D0043"/>
    <w:rsid w:val="5C6936BC"/>
    <w:rsid w:val="5C8A1451"/>
    <w:rsid w:val="5CCA72CA"/>
    <w:rsid w:val="5CE70651"/>
    <w:rsid w:val="5D017965"/>
    <w:rsid w:val="5D393EA8"/>
    <w:rsid w:val="5D95085D"/>
    <w:rsid w:val="5D9C143B"/>
    <w:rsid w:val="5DA86032"/>
    <w:rsid w:val="5DD51E4F"/>
    <w:rsid w:val="5DE27796"/>
    <w:rsid w:val="5DF474C9"/>
    <w:rsid w:val="5E021BE6"/>
    <w:rsid w:val="5E2467F1"/>
    <w:rsid w:val="5E93283E"/>
    <w:rsid w:val="5E945960"/>
    <w:rsid w:val="5E9D546B"/>
    <w:rsid w:val="5EA04F5B"/>
    <w:rsid w:val="5EA7453C"/>
    <w:rsid w:val="5EEB4428"/>
    <w:rsid w:val="5F1A2B43"/>
    <w:rsid w:val="5F5C5FB8"/>
    <w:rsid w:val="5FB837BB"/>
    <w:rsid w:val="601C6864"/>
    <w:rsid w:val="60200546"/>
    <w:rsid w:val="606A5821"/>
    <w:rsid w:val="60966616"/>
    <w:rsid w:val="60C56EFB"/>
    <w:rsid w:val="60CC405A"/>
    <w:rsid w:val="60E1388E"/>
    <w:rsid w:val="613E370E"/>
    <w:rsid w:val="61774699"/>
    <w:rsid w:val="618B3CA1"/>
    <w:rsid w:val="61C62F2B"/>
    <w:rsid w:val="61D5316E"/>
    <w:rsid w:val="61E215D8"/>
    <w:rsid w:val="62165C60"/>
    <w:rsid w:val="621B3775"/>
    <w:rsid w:val="622A4877"/>
    <w:rsid w:val="62364782"/>
    <w:rsid w:val="627D7A8D"/>
    <w:rsid w:val="629923ED"/>
    <w:rsid w:val="62E753BC"/>
    <w:rsid w:val="62FD297C"/>
    <w:rsid w:val="63666773"/>
    <w:rsid w:val="6370314E"/>
    <w:rsid w:val="637864A7"/>
    <w:rsid w:val="6394356A"/>
    <w:rsid w:val="63AB687C"/>
    <w:rsid w:val="63B05C41"/>
    <w:rsid w:val="63C61B2C"/>
    <w:rsid w:val="63D40BE9"/>
    <w:rsid w:val="63D731CD"/>
    <w:rsid w:val="63DE27AE"/>
    <w:rsid w:val="63EE6769"/>
    <w:rsid w:val="64102431"/>
    <w:rsid w:val="643D5796"/>
    <w:rsid w:val="64714C48"/>
    <w:rsid w:val="64A5243A"/>
    <w:rsid w:val="64AD3F2E"/>
    <w:rsid w:val="64C03C61"/>
    <w:rsid w:val="64E57B6C"/>
    <w:rsid w:val="64F531DE"/>
    <w:rsid w:val="65373578"/>
    <w:rsid w:val="6570055B"/>
    <w:rsid w:val="65990812"/>
    <w:rsid w:val="659C5E91"/>
    <w:rsid w:val="659F7D1B"/>
    <w:rsid w:val="65C94739"/>
    <w:rsid w:val="65CE3B89"/>
    <w:rsid w:val="65D9653B"/>
    <w:rsid w:val="65EB7404"/>
    <w:rsid w:val="65ED503A"/>
    <w:rsid w:val="66081D64"/>
    <w:rsid w:val="66230FAA"/>
    <w:rsid w:val="66891A9E"/>
    <w:rsid w:val="66A01F9C"/>
    <w:rsid w:val="671F124A"/>
    <w:rsid w:val="677A27ED"/>
    <w:rsid w:val="677A33C6"/>
    <w:rsid w:val="678E0047"/>
    <w:rsid w:val="67B6759E"/>
    <w:rsid w:val="67C27CF0"/>
    <w:rsid w:val="67DB0DB2"/>
    <w:rsid w:val="67DD2D7C"/>
    <w:rsid w:val="681F6961"/>
    <w:rsid w:val="68295FC1"/>
    <w:rsid w:val="684D1CB0"/>
    <w:rsid w:val="684F3C7A"/>
    <w:rsid w:val="68610A2F"/>
    <w:rsid w:val="68686AEA"/>
    <w:rsid w:val="68805514"/>
    <w:rsid w:val="68B247F7"/>
    <w:rsid w:val="68BA1902"/>
    <w:rsid w:val="69316E2F"/>
    <w:rsid w:val="69472BA3"/>
    <w:rsid w:val="694E2071"/>
    <w:rsid w:val="69766163"/>
    <w:rsid w:val="69781381"/>
    <w:rsid w:val="697A3B33"/>
    <w:rsid w:val="69D44760"/>
    <w:rsid w:val="6A10568B"/>
    <w:rsid w:val="6A2C1D99"/>
    <w:rsid w:val="6A3C6480"/>
    <w:rsid w:val="6A445335"/>
    <w:rsid w:val="6A513BED"/>
    <w:rsid w:val="6A520EC7"/>
    <w:rsid w:val="6AB57FE0"/>
    <w:rsid w:val="6AC00E5F"/>
    <w:rsid w:val="6ACB7804"/>
    <w:rsid w:val="6AE663EC"/>
    <w:rsid w:val="6AF01018"/>
    <w:rsid w:val="6AF87E20"/>
    <w:rsid w:val="6B0A3E88"/>
    <w:rsid w:val="6B322639"/>
    <w:rsid w:val="6B361121"/>
    <w:rsid w:val="6B572E46"/>
    <w:rsid w:val="6B5B2936"/>
    <w:rsid w:val="6BBB33D4"/>
    <w:rsid w:val="6BBD539F"/>
    <w:rsid w:val="6BF32B6E"/>
    <w:rsid w:val="6C1400EF"/>
    <w:rsid w:val="6C172D01"/>
    <w:rsid w:val="6C1B3E73"/>
    <w:rsid w:val="6C3D64DF"/>
    <w:rsid w:val="6C615D2A"/>
    <w:rsid w:val="6C636C38"/>
    <w:rsid w:val="6C7F2654"/>
    <w:rsid w:val="6CC13D7D"/>
    <w:rsid w:val="6CCB5899"/>
    <w:rsid w:val="6CCD2385"/>
    <w:rsid w:val="6CFE224C"/>
    <w:rsid w:val="6D282CEC"/>
    <w:rsid w:val="6D323B6A"/>
    <w:rsid w:val="6D842317"/>
    <w:rsid w:val="6DB34098"/>
    <w:rsid w:val="6DB545B6"/>
    <w:rsid w:val="6DB91B96"/>
    <w:rsid w:val="6DC20A4A"/>
    <w:rsid w:val="6DE02FB4"/>
    <w:rsid w:val="6E514CED"/>
    <w:rsid w:val="6E6715F2"/>
    <w:rsid w:val="6E6B7E36"/>
    <w:rsid w:val="6EA410D5"/>
    <w:rsid w:val="6EB563D5"/>
    <w:rsid w:val="6ED92677"/>
    <w:rsid w:val="6EFD2037"/>
    <w:rsid w:val="6F225983"/>
    <w:rsid w:val="6F467459"/>
    <w:rsid w:val="6F5A2F04"/>
    <w:rsid w:val="6FE253D4"/>
    <w:rsid w:val="6FE50A20"/>
    <w:rsid w:val="6FFC5590"/>
    <w:rsid w:val="7002738A"/>
    <w:rsid w:val="70545BA6"/>
    <w:rsid w:val="706300FA"/>
    <w:rsid w:val="706D1DD0"/>
    <w:rsid w:val="70853FB1"/>
    <w:rsid w:val="70856B87"/>
    <w:rsid w:val="708E2E66"/>
    <w:rsid w:val="70910BA8"/>
    <w:rsid w:val="70952446"/>
    <w:rsid w:val="70A02B99"/>
    <w:rsid w:val="70AB6968"/>
    <w:rsid w:val="70D527EE"/>
    <w:rsid w:val="711E068D"/>
    <w:rsid w:val="71265794"/>
    <w:rsid w:val="714773A5"/>
    <w:rsid w:val="715B5300"/>
    <w:rsid w:val="716F713B"/>
    <w:rsid w:val="71A14E1B"/>
    <w:rsid w:val="71BB2380"/>
    <w:rsid w:val="71D27F8A"/>
    <w:rsid w:val="72021D5D"/>
    <w:rsid w:val="72553024"/>
    <w:rsid w:val="72710C91"/>
    <w:rsid w:val="727F142E"/>
    <w:rsid w:val="72A03324"/>
    <w:rsid w:val="730613D9"/>
    <w:rsid w:val="7306762B"/>
    <w:rsid w:val="73075151"/>
    <w:rsid w:val="73122968"/>
    <w:rsid w:val="7315427A"/>
    <w:rsid w:val="731C0BFD"/>
    <w:rsid w:val="731F5D5E"/>
    <w:rsid w:val="73532840"/>
    <w:rsid w:val="73C51AD5"/>
    <w:rsid w:val="73D239B1"/>
    <w:rsid w:val="73D634A1"/>
    <w:rsid w:val="73F970CB"/>
    <w:rsid w:val="741B5358"/>
    <w:rsid w:val="741E793C"/>
    <w:rsid w:val="74410621"/>
    <w:rsid w:val="745E3944"/>
    <w:rsid w:val="747F7695"/>
    <w:rsid w:val="749B1FF5"/>
    <w:rsid w:val="74C96871"/>
    <w:rsid w:val="7507768A"/>
    <w:rsid w:val="75094BC3"/>
    <w:rsid w:val="752C70F1"/>
    <w:rsid w:val="75410DEE"/>
    <w:rsid w:val="7591618F"/>
    <w:rsid w:val="75A849CA"/>
    <w:rsid w:val="76046DCC"/>
    <w:rsid w:val="760D6F22"/>
    <w:rsid w:val="76276370"/>
    <w:rsid w:val="7635099D"/>
    <w:rsid w:val="76A35191"/>
    <w:rsid w:val="76D528DE"/>
    <w:rsid w:val="76E9529A"/>
    <w:rsid w:val="77416E84"/>
    <w:rsid w:val="77762421"/>
    <w:rsid w:val="777F79AC"/>
    <w:rsid w:val="77AB0253"/>
    <w:rsid w:val="77AE0291"/>
    <w:rsid w:val="77B56B1F"/>
    <w:rsid w:val="78014865"/>
    <w:rsid w:val="780F09F4"/>
    <w:rsid w:val="78864D0C"/>
    <w:rsid w:val="78A90480"/>
    <w:rsid w:val="78D21D5D"/>
    <w:rsid w:val="78F10436"/>
    <w:rsid w:val="79656685"/>
    <w:rsid w:val="796926C2"/>
    <w:rsid w:val="79D51B05"/>
    <w:rsid w:val="7A364017"/>
    <w:rsid w:val="7A8265E1"/>
    <w:rsid w:val="7A8B6746"/>
    <w:rsid w:val="7AB467E5"/>
    <w:rsid w:val="7ABC4A73"/>
    <w:rsid w:val="7ADD5115"/>
    <w:rsid w:val="7B02676E"/>
    <w:rsid w:val="7B05466C"/>
    <w:rsid w:val="7B160627"/>
    <w:rsid w:val="7B686D42"/>
    <w:rsid w:val="7B841746"/>
    <w:rsid w:val="7BA9149B"/>
    <w:rsid w:val="7BB57E40"/>
    <w:rsid w:val="7BC2255D"/>
    <w:rsid w:val="7BC2714F"/>
    <w:rsid w:val="7C0B5CB2"/>
    <w:rsid w:val="7C0D37D8"/>
    <w:rsid w:val="7C10151B"/>
    <w:rsid w:val="7C244E23"/>
    <w:rsid w:val="7C6C5AC7"/>
    <w:rsid w:val="7C8810B1"/>
    <w:rsid w:val="7CC6544B"/>
    <w:rsid w:val="7CC661DD"/>
    <w:rsid w:val="7D0239FF"/>
    <w:rsid w:val="7D0736E5"/>
    <w:rsid w:val="7D2421C9"/>
    <w:rsid w:val="7D3D1E9B"/>
    <w:rsid w:val="7D5E40CD"/>
    <w:rsid w:val="7D60202E"/>
    <w:rsid w:val="7D637428"/>
    <w:rsid w:val="7D731D61"/>
    <w:rsid w:val="7DC378A1"/>
    <w:rsid w:val="7DCD56F2"/>
    <w:rsid w:val="7DDB16B4"/>
    <w:rsid w:val="7E1E7F1F"/>
    <w:rsid w:val="7E3037AE"/>
    <w:rsid w:val="7E33504C"/>
    <w:rsid w:val="7E4436FD"/>
    <w:rsid w:val="7E731854"/>
    <w:rsid w:val="7E834582"/>
    <w:rsid w:val="7EA07E52"/>
    <w:rsid w:val="7EF70770"/>
    <w:rsid w:val="7F001CE7"/>
    <w:rsid w:val="7F052E8D"/>
    <w:rsid w:val="7F08297D"/>
    <w:rsid w:val="7F206E79"/>
    <w:rsid w:val="7FBD6664"/>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uiPriority w:val="9"/>
    <w:pPr>
      <w:keepNext/>
      <w:keepLines/>
      <w:spacing w:before="50" w:beforeLines="50" w:after="50" w:afterLines="50"/>
      <w:outlineLvl w:val="2"/>
    </w:pPr>
    <w:rPr>
      <w:b/>
      <w:bCs/>
      <w:sz w:val="28"/>
      <w:szCs w:val="28"/>
    </w:rPr>
  </w:style>
  <w:style w:type="paragraph" w:styleId="4">
    <w:name w:val="heading 4"/>
    <w:basedOn w:val="1"/>
    <w:next w:val="1"/>
    <w:qFormat/>
    <w:uiPriority w:val="0"/>
    <w:pPr>
      <w:keepNext/>
      <w:keepLines/>
      <w:spacing w:line="360" w:lineRule="auto"/>
      <w:jc w:val="left"/>
      <w:outlineLvl w:val="3"/>
    </w:pPr>
    <w:rPr>
      <w:b/>
      <w:szCs w:val="3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toc 1"/>
    <w:basedOn w:val="1"/>
    <w:next w:val="1"/>
    <w:qFormat/>
    <w:uiPriority w:val="0"/>
    <w:pPr>
      <w:spacing w:line="240" w:lineRule="exact"/>
      <w:jc w:val="center"/>
    </w:pPr>
    <w:rPr>
      <w:kern w:val="0"/>
      <w:sz w:val="18"/>
      <w:szCs w:val="18"/>
    </w:rPr>
  </w:style>
  <w:style w:type="paragraph" w:styleId="7">
    <w:name w:val="annotation text"/>
    <w:basedOn w:val="1"/>
    <w:link w:val="35"/>
    <w:semiHidden/>
    <w:qFormat/>
    <w:uiPriority w:val="0"/>
    <w:pPr>
      <w:jc w:val="left"/>
    </w:pPr>
    <w:rPr>
      <w:kern w:val="0"/>
      <w:sz w:val="24"/>
      <w:szCs w:val="20"/>
    </w:rPr>
  </w:style>
  <w:style w:type="paragraph" w:styleId="8">
    <w:name w:val="Salutation"/>
    <w:basedOn w:val="1"/>
    <w:next w:val="1"/>
    <w:qFormat/>
    <w:uiPriority w:val="0"/>
    <w:pPr>
      <w:widowControl/>
      <w:jc w:val="left"/>
    </w:pPr>
    <w:rPr>
      <w:kern w:val="0"/>
      <w:sz w:val="24"/>
      <w:szCs w:val="20"/>
    </w:rPr>
  </w:style>
  <w:style w:type="paragraph" w:styleId="9">
    <w:name w:val="Body Text"/>
    <w:basedOn w:val="1"/>
    <w:next w:val="1"/>
    <w:link w:val="36"/>
    <w:qFormat/>
    <w:uiPriority w:val="0"/>
    <w:pPr>
      <w:widowControl/>
      <w:snapToGrid w:val="0"/>
      <w:spacing w:before="60" w:after="160" w:line="259" w:lineRule="auto"/>
      <w:ind w:right="113"/>
    </w:pPr>
    <w:rPr>
      <w:kern w:val="0"/>
      <w:sz w:val="18"/>
      <w:szCs w:val="20"/>
    </w:rPr>
  </w:style>
  <w:style w:type="paragraph" w:styleId="10">
    <w:name w:val="Body Text Indent"/>
    <w:basedOn w:val="1"/>
    <w:link w:val="37"/>
    <w:qFormat/>
    <w:uiPriority w:val="0"/>
    <w:pPr>
      <w:spacing w:after="120"/>
      <w:ind w:left="420" w:leftChars="200"/>
    </w:pPr>
    <w:rPr>
      <w:kern w:val="0"/>
      <w:sz w:val="24"/>
      <w:szCs w:val="20"/>
    </w:rPr>
  </w:style>
  <w:style w:type="paragraph" w:styleId="11">
    <w:name w:val="Plain Text"/>
    <w:basedOn w:val="1"/>
    <w:next w:val="8"/>
    <w:unhideWhenUsed/>
    <w:qFormat/>
    <w:uiPriority w:val="99"/>
    <w:rPr>
      <w:rFonts w:hAnsi="Courier New"/>
    </w:rPr>
  </w:style>
  <w:style w:type="paragraph" w:styleId="12">
    <w:name w:val="Date"/>
    <w:basedOn w:val="1"/>
    <w:next w:val="1"/>
    <w:link w:val="38"/>
    <w:qFormat/>
    <w:uiPriority w:val="0"/>
    <w:pPr>
      <w:ind w:left="100" w:leftChars="2500"/>
    </w:pPr>
    <w:rPr>
      <w:kern w:val="0"/>
      <w:sz w:val="24"/>
      <w:szCs w:val="20"/>
    </w:rPr>
  </w:style>
  <w:style w:type="paragraph" w:styleId="13">
    <w:name w:val="Balloon Text"/>
    <w:basedOn w:val="1"/>
    <w:link w:val="39"/>
    <w:semiHidden/>
    <w:qFormat/>
    <w:uiPriority w:val="0"/>
    <w:rPr>
      <w:kern w:val="0"/>
      <w:sz w:val="18"/>
      <w:szCs w:val="20"/>
    </w:rPr>
  </w:style>
  <w:style w:type="paragraph" w:styleId="14">
    <w:name w:val="footer"/>
    <w:basedOn w:val="1"/>
    <w:link w:val="40"/>
    <w:qFormat/>
    <w:uiPriority w:val="99"/>
    <w:pPr>
      <w:tabs>
        <w:tab w:val="center" w:pos="4153"/>
        <w:tab w:val="right" w:pos="8306"/>
      </w:tabs>
      <w:snapToGrid w:val="0"/>
      <w:jc w:val="left"/>
    </w:pPr>
    <w:rPr>
      <w:kern w:val="0"/>
      <w:sz w:val="18"/>
      <w:szCs w:val="20"/>
    </w:rPr>
  </w:style>
  <w:style w:type="paragraph" w:styleId="15">
    <w:name w:val="header"/>
    <w:basedOn w:val="1"/>
    <w:next w:val="1"/>
    <w:link w:val="4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Normal (Web)"/>
    <w:basedOn w:val="1"/>
    <w:link w:val="42"/>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7"/>
    <w:next w:val="7"/>
    <w:link w:val="43"/>
    <w:semiHidden/>
    <w:qFormat/>
    <w:uiPriority w:val="0"/>
    <w:rPr>
      <w:b/>
    </w:rPr>
  </w:style>
  <w:style w:type="paragraph" w:styleId="18">
    <w:name w:val="Body Text First Indent"/>
    <w:basedOn w:val="9"/>
    <w:next w:val="1"/>
    <w:qFormat/>
    <w:uiPriority w:val="0"/>
    <w:pPr>
      <w:ind w:firstLine="420" w:firstLineChars="100"/>
    </w:pPr>
  </w:style>
  <w:style w:type="paragraph" w:styleId="19">
    <w:name w:val="Body Text First Indent 2"/>
    <w:basedOn w:val="1"/>
    <w:next w:val="18"/>
    <w:qFormat/>
    <w:uiPriority w:val="0"/>
    <w:pPr>
      <w:spacing w:line="240" w:lineRule="auto"/>
      <w:ind w:firstLine="0" w:firstLineChars="0"/>
      <w:jc w:val="center"/>
    </w:pPr>
    <w:rPr>
      <w:b/>
      <w:bCs/>
      <w:sz w:val="24"/>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style>
  <w:style w:type="character" w:styleId="25">
    <w:name w:val="Hyperlink"/>
    <w:basedOn w:val="22"/>
    <w:qFormat/>
    <w:uiPriority w:val="0"/>
    <w:rPr>
      <w:color w:val="0000FF"/>
      <w:u w:val="single"/>
    </w:rPr>
  </w:style>
  <w:style w:type="character" w:styleId="26">
    <w:name w:val="annotation reference"/>
    <w:semiHidden/>
    <w:qFormat/>
    <w:uiPriority w:val="0"/>
    <w:rPr>
      <w:sz w:val="21"/>
    </w:rPr>
  </w:style>
  <w:style w:type="paragraph" w:customStyle="1" w:styleId="27">
    <w:name w:val="表格内容"/>
    <w:basedOn w:val="4"/>
    <w:next w:val="4"/>
    <w:qFormat/>
    <w:uiPriority w:val="1"/>
    <w:pPr>
      <w:tabs>
        <w:tab w:val="left" w:pos="737"/>
      </w:tabs>
      <w:spacing w:line="240" w:lineRule="auto"/>
      <w:jc w:val="center"/>
      <w:outlineLvl w:val="9"/>
    </w:pPr>
    <w:rPr>
      <w:rFonts w:hint="eastAsia" w:eastAsia="仿宋"/>
      <w:b w:val="0"/>
      <w:bCs/>
      <w:iCs/>
      <w:color w:val="000000"/>
      <w:szCs w:val="28"/>
    </w:rPr>
  </w:style>
  <w:style w:type="paragraph" w:customStyle="1" w:styleId="28">
    <w:name w:val="表格"/>
    <w:basedOn w:val="5"/>
    <w:next w:val="1"/>
    <w:link w:val="29"/>
    <w:qFormat/>
    <w:uiPriority w:val="0"/>
    <w:pPr>
      <w:adjustRightInd w:val="0"/>
      <w:snapToGrid w:val="0"/>
      <w:ind w:firstLine="0" w:firstLineChars="0"/>
      <w:jc w:val="center"/>
    </w:pPr>
    <w:rPr>
      <w:kern w:val="0"/>
      <w:szCs w:val="21"/>
    </w:rPr>
  </w:style>
  <w:style w:type="character" w:customStyle="1" w:styleId="29">
    <w:name w:val="表格 Char"/>
    <w:link w:val="28"/>
    <w:qFormat/>
    <w:uiPriority w:val="0"/>
    <w:rPr>
      <w:rFonts w:ascii="Times New Roman" w:hAnsi="Times New Roman" w:eastAsia="宋体"/>
      <w:sz w:val="21"/>
      <w:szCs w:val="21"/>
    </w:rPr>
  </w:style>
  <w:style w:type="paragraph" w:customStyle="1" w:styleId="30">
    <w:name w:val="图表标题"/>
    <w:basedOn w:val="31"/>
    <w:next w:val="1"/>
    <w:qFormat/>
    <w:uiPriority w:val="0"/>
    <w:pPr>
      <w:outlineLvl w:val="4"/>
    </w:pPr>
    <w:rPr>
      <w:rFonts w:hint="eastAsia"/>
      <w:b/>
      <w:bCs/>
      <w:szCs w:val="21"/>
    </w:rPr>
  </w:style>
  <w:style w:type="paragraph" w:customStyle="1" w:styleId="31">
    <w:name w:val="表格正文"/>
    <w:basedOn w:val="1"/>
    <w:qFormat/>
    <w:uiPriority w:val="0"/>
    <w:pPr>
      <w:jc w:val="center"/>
    </w:pPr>
  </w:style>
  <w:style w:type="character" w:customStyle="1" w:styleId="32">
    <w:name w:val="NormalCharacter"/>
    <w:qFormat/>
    <w:uiPriority w:val="0"/>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正文1.1"/>
    <w:basedOn w:val="1"/>
    <w:qFormat/>
    <w:uiPriority w:val="0"/>
    <w:pPr>
      <w:spacing w:line="360" w:lineRule="auto"/>
      <w:ind w:firstLine="484" w:firstLineChars="200"/>
    </w:pPr>
    <w:rPr>
      <w:rFonts w:cs="宋体"/>
      <w:spacing w:val="1"/>
      <w:sz w:val="24"/>
      <w:lang w:eastAsia="en-US"/>
    </w:rPr>
  </w:style>
  <w:style w:type="character" w:customStyle="1" w:styleId="35">
    <w:name w:val="批注文字 字符"/>
    <w:link w:val="7"/>
    <w:qFormat/>
    <w:uiPriority w:val="0"/>
    <w:rPr>
      <w:rFonts w:ascii="Times New Roman" w:hAnsi="Times New Roman" w:eastAsia="宋体"/>
      <w:sz w:val="24"/>
    </w:rPr>
  </w:style>
  <w:style w:type="character" w:customStyle="1" w:styleId="36">
    <w:name w:val="正文文本 字符"/>
    <w:link w:val="9"/>
    <w:qFormat/>
    <w:uiPriority w:val="0"/>
    <w:rPr>
      <w:sz w:val="18"/>
    </w:rPr>
  </w:style>
  <w:style w:type="character" w:customStyle="1" w:styleId="37">
    <w:name w:val="正文文本缩进 字符"/>
    <w:link w:val="10"/>
    <w:semiHidden/>
    <w:qFormat/>
    <w:uiPriority w:val="0"/>
    <w:rPr>
      <w:rFonts w:ascii="Times New Roman" w:hAnsi="Times New Roman" w:eastAsia="宋体"/>
      <w:sz w:val="24"/>
    </w:rPr>
  </w:style>
  <w:style w:type="character" w:customStyle="1" w:styleId="38">
    <w:name w:val="日期 字符1"/>
    <w:link w:val="12"/>
    <w:qFormat/>
    <w:uiPriority w:val="0"/>
    <w:rPr>
      <w:rFonts w:ascii="Times New Roman" w:hAnsi="Times New Roman" w:eastAsia="宋体"/>
      <w:sz w:val="24"/>
    </w:rPr>
  </w:style>
  <w:style w:type="character" w:customStyle="1" w:styleId="39">
    <w:name w:val="批注框文本 字符"/>
    <w:link w:val="13"/>
    <w:semiHidden/>
    <w:qFormat/>
    <w:uiPriority w:val="0"/>
    <w:rPr>
      <w:rFonts w:ascii="Times New Roman" w:hAnsi="Times New Roman" w:eastAsia="宋体"/>
      <w:sz w:val="18"/>
    </w:rPr>
  </w:style>
  <w:style w:type="character" w:customStyle="1" w:styleId="40">
    <w:name w:val="页脚 字符1"/>
    <w:link w:val="14"/>
    <w:qFormat/>
    <w:uiPriority w:val="99"/>
    <w:rPr>
      <w:sz w:val="18"/>
    </w:rPr>
  </w:style>
  <w:style w:type="character" w:customStyle="1" w:styleId="41">
    <w:name w:val="页眉 字符"/>
    <w:link w:val="15"/>
    <w:qFormat/>
    <w:uiPriority w:val="0"/>
    <w:rPr>
      <w:sz w:val="18"/>
    </w:rPr>
  </w:style>
  <w:style w:type="character" w:customStyle="1" w:styleId="42">
    <w:name w:val="普通(网站) 字符"/>
    <w:link w:val="16"/>
    <w:qFormat/>
    <w:uiPriority w:val="0"/>
    <w:rPr>
      <w:rFonts w:ascii="宋体" w:hAnsi="宋体" w:eastAsia="宋体"/>
      <w:sz w:val="24"/>
    </w:rPr>
  </w:style>
  <w:style w:type="character" w:customStyle="1" w:styleId="43">
    <w:name w:val="批注主题 字符"/>
    <w:link w:val="17"/>
    <w:semiHidden/>
    <w:qFormat/>
    <w:uiPriority w:val="0"/>
    <w:rPr>
      <w:rFonts w:ascii="Times New Roman" w:hAnsi="Times New Roman" w:eastAsia="宋体"/>
      <w:b/>
      <w:kern w:val="2"/>
      <w:sz w:val="24"/>
    </w:rPr>
  </w:style>
  <w:style w:type="character" w:customStyle="1" w:styleId="44">
    <w:name w:val="页脚 字符"/>
    <w:qFormat/>
    <w:uiPriority w:val="99"/>
  </w:style>
  <w:style w:type="character" w:customStyle="1" w:styleId="45">
    <w:name w:val="正文文本 字符1"/>
    <w:semiHidden/>
    <w:qFormat/>
    <w:uiPriority w:val="0"/>
    <w:rPr>
      <w:rFonts w:ascii="Times New Roman" w:hAnsi="Times New Roman" w:eastAsia="宋体"/>
      <w:sz w:val="24"/>
    </w:rPr>
  </w:style>
  <w:style w:type="character" w:customStyle="1" w:styleId="46">
    <w:name w:val="日期 字符"/>
    <w:semiHidden/>
    <w:qFormat/>
    <w:uiPriority w:val="0"/>
    <w:rPr>
      <w:rFonts w:ascii="Times New Roman" w:hAnsi="Times New Roman" w:eastAsia="宋体"/>
      <w:sz w:val="24"/>
    </w:rPr>
  </w:style>
  <w:style w:type="character" w:customStyle="1" w:styleId="47">
    <w:name w:val="批注文字 字符1"/>
    <w:semiHidden/>
    <w:qFormat/>
    <w:uiPriority w:val="0"/>
    <w:rPr>
      <w:rFonts w:ascii="Times New Roman" w:hAnsi="Times New Roman" w:eastAsia="宋体"/>
      <w:sz w:val="24"/>
    </w:rPr>
  </w:style>
  <w:style w:type="paragraph" w:customStyle="1" w:styleId="4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0">
    <w:name w:val="Table Text"/>
    <w:basedOn w:val="1"/>
    <w:semiHidden/>
    <w:qFormat/>
    <w:uiPriority w:val="0"/>
    <w:rPr>
      <w:rFonts w:ascii="宋体" w:hAnsi="宋体" w:cs="宋体"/>
      <w:sz w:val="24"/>
      <w:lang w:eastAsia="en-US"/>
    </w:rPr>
  </w:style>
  <w:style w:type="table" w:customStyle="1" w:styleId="51">
    <w:name w:val="Table Normal"/>
    <w:unhideWhenUsed/>
    <w:qFormat/>
    <w:uiPriority w:val="0"/>
    <w:tblPr>
      <w:tblCellMar>
        <w:top w:w="0" w:type="dxa"/>
        <w:left w:w="0" w:type="dxa"/>
        <w:bottom w:w="0" w:type="dxa"/>
        <w:right w:w="0" w:type="dxa"/>
      </w:tblCellMar>
    </w:tblPr>
  </w:style>
  <w:style w:type="character" w:customStyle="1" w:styleId="52">
    <w:name w:val="font11"/>
    <w:qFormat/>
    <w:uiPriority w:val="0"/>
    <w:rPr>
      <w:rFonts w:hint="eastAsia" w:ascii="宋体" w:hAnsi="宋体" w:eastAsia="宋体" w:cs="宋体"/>
      <w:color w:val="000000"/>
      <w:sz w:val="20"/>
      <w:szCs w:val="20"/>
      <w:u w:val="none"/>
    </w:rPr>
  </w:style>
  <w:style w:type="character" w:customStyle="1" w:styleId="53">
    <w:name w:val="font21"/>
    <w:qFormat/>
    <w:uiPriority w:val="0"/>
    <w:rPr>
      <w:rFonts w:hint="default" w:ascii="Times New Roman" w:hAnsi="Times New Roman" w:cs="Times New Roman"/>
      <w:color w:val="000000"/>
      <w:sz w:val="20"/>
      <w:szCs w:val="20"/>
      <w:u w:val="none"/>
    </w:rPr>
  </w:style>
  <w:style w:type="character" w:customStyle="1" w:styleId="54">
    <w:name w:val="font31"/>
    <w:qFormat/>
    <w:uiPriority w:val="0"/>
    <w:rPr>
      <w:rFonts w:hint="default" w:ascii="Times New Roman" w:hAnsi="Times New Roman" w:cs="Times New Roman"/>
      <w:color w:val="000000"/>
      <w:sz w:val="13"/>
      <w:szCs w:val="13"/>
      <w:u w:val="none"/>
    </w:rPr>
  </w:style>
  <w:style w:type="character" w:customStyle="1" w:styleId="55">
    <w:name w:val="font41"/>
    <w:qFormat/>
    <w:uiPriority w:val="0"/>
    <w:rPr>
      <w:rFonts w:hint="default" w:ascii="Times New Roman" w:hAnsi="Times New Roman" w:cs="Times New Roman"/>
      <w:color w:val="000000"/>
      <w:sz w:val="13"/>
      <w:szCs w:val="13"/>
      <w:u w:val="none"/>
    </w:rPr>
  </w:style>
  <w:style w:type="character" w:customStyle="1" w:styleId="56">
    <w:name w:val="font51"/>
    <w:qFormat/>
    <w:uiPriority w:val="0"/>
    <w:rPr>
      <w:rFonts w:ascii="宋体" w:hAnsi="宋体" w:eastAsia="宋体" w:cs="宋体"/>
      <w:color w:val="000000"/>
      <w:sz w:val="22"/>
      <w:szCs w:val="22"/>
      <w:u w:val="none"/>
    </w:rPr>
  </w:style>
  <w:style w:type="character" w:customStyle="1" w:styleId="57">
    <w:name w:val="font61"/>
    <w:qFormat/>
    <w:uiPriority w:val="0"/>
    <w:rPr>
      <w:rFonts w:ascii="宋体" w:hAnsi="宋体" w:eastAsia="宋体" w:cs="宋体"/>
      <w:color w:val="000000"/>
      <w:sz w:val="20"/>
      <w:szCs w:val="20"/>
      <w:u w:val="none"/>
    </w:rPr>
  </w:style>
  <w:style w:type="paragraph" w:customStyle="1" w:styleId="58">
    <w:name w:val="样式 样式 样式 小四 首行缩进:  2.25 字符 + 首行缩进:  2.25 字符 + 首行缩进:  2 字符"/>
    <w:qFormat/>
    <w:uiPriority w:val="0"/>
    <w:pPr>
      <w:widowControl w:val="0"/>
      <w:spacing w:line="440" w:lineRule="exact"/>
      <w:ind w:firstLine="200"/>
      <w:jc w:val="both"/>
    </w:pPr>
    <w:rPr>
      <w:rFonts w:ascii="Calibri" w:hAnsi="Calibri" w:eastAsia="Calibri" w:cs="Times New Roman"/>
      <w:kern w:val="2"/>
      <w:sz w:val="21"/>
      <w:lang w:val="en-US" w:eastAsia="zh-CN" w:bidi="ar-SA"/>
    </w:rPr>
  </w:style>
  <w:style w:type="character" w:customStyle="1" w:styleId="59">
    <w:name w:val="font71"/>
    <w:basedOn w:val="22"/>
    <w:qFormat/>
    <w:uiPriority w:val="0"/>
    <w:rPr>
      <w:rFonts w:hint="default" w:ascii="Times New Roman" w:hAnsi="Times New Roman" w:cs="Times New Roman"/>
      <w:color w:val="0000FF"/>
      <w:sz w:val="21"/>
      <w:szCs w:val="21"/>
      <w:u w:val="none"/>
    </w:rPr>
  </w:style>
  <w:style w:type="paragraph" w:customStyle="1" w:styleId="6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cwNDc4NzQ2Nzg4IiwKCSJHcm91cElkIiA6ICIxMjMwNDQyNjI1IiwKCSJJbWFnZSIgOiAiaVZCT1J3MEtHZ29BQUFBTlNVaEVVZ0FBQkFZQUFBSVdDQVlBQUFERVhJOTRBQUFBQVhOU1IwSUFyczRjNlFBQUlBQkpSRUZVZUp6czNYbDhYSFc5Ly9IMzU4eGthUXRkQVZrbFFLRWxiWk01RTBBV0VWRlJybXdLYmdXVlJWQlVRRmxFUkZrVlFlRmVCQy9LamlCNEJRUVY3Zyt2cUN5eXlaSTVrNlFOTFlSYXRrSkxiVXZYTkprNW45OGZuY1MwVGRLMEpKa204M28rSG5uTXlYYzduOU0rcHAzNW5PLzVmaV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uZ1A4UGFCaGZxTWhKVWRRQUFBQUFTVVZPUks1Q1lJST0iLAoJIlRoZW1lIiA6ICIiLAoJIlR5cGUiIDogImZsb3ciLAoJIlVzZXJJZCIgOiAiMTEzNjI2Mzc0OSIsCgkiVmVyc2lvbiIgOiAiNTgiCn0K"/>
    </extobj>
    <extobj name="ECB019B1-382A-4266-B25C-5B523AA43C14-2">
      <extobjdata type="ECB019B1-382A-4266-B25C-5B523AA43C14" data="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"/>
    </extobj>
    <extobj name="ECB019B1-382A-4266-B25C-5B523AA43C14-3">
      <extobjdata type="ECB019B1-382A-4266-B25C-5B523AA43C14" data="ewoJIkZpbGVJZCIgOiAiMzY3MDk4NjQxNTAzIiwKCSJHcm91cElkIiA6ICIxMjMwNDQyNjI1IiwKCSJJbWFnZSIgOiAiaVZCT1J3MEtHZ29BQUFBTlNVaEVVZ0FBQS9vQUFBSmpDQVlBQUFDOCtHcWVBQUFBQVhOU1IwSUFyczRjNlFBQUlBQkpSRUZVZUp6czNYbDRGRlc2QnZEM3Erb2tIUWhMUWhRVjFLQmdNRUxTVlhGRFlBQVZSRnhHblhGQkhiYzdqSXlndU9CeUIzRUJIZVdpNEZWeGQzQkR4WVVCRldGY1VBRnh3VjdTUURRQ2lndXJFbmJJMGwzZi9TT2R2a2xuSVFtQkpKMzM5enc4ZHA5ejZ0UlhQQjZxdjFyT0FZ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GI2L3dHMGVnV29YWjd6QUFBQUFFbEZUa1N1UW1DQyIsCgkiVGhlbWUiIDogIiIsCgkiVHlwZSIgOiAiZmxvdyIsCgkiVXNlcklkIiA6ICIxMTM2MjYzNzQ5IiwKCSJWZXJzaW9uIiA6ICI2NCIKfQo="/>
    </extobj>
    <extobj name="ECB019B1-382A-4266-B25C-5B523AA43C14-4">
      <extobjdata type="ECB019B1-382A-4266-B25C-5B523AA43C14" data="ewoJIkZpbGVJZCIgOiAiMzY3NTQwOTM2MTQwIiwKCSJHcm91cElkIiA6ICIxMjMwNDQyNjI1IiwKCSJJbWFnZSIgOiAiaVZCT1J3MEtHZ29BQUFBTlNVaEVVZ0FBQXZzQUFBVnhDQVlBQUFBWkRVTitBQUFBQVhOU1IwSUFyczRjNlFBQUlBQkpSRUZVZUp6czNYbWNrOVc5eC9IdlNUSWJ5N0RMSXJJamlEQk1Nb3A3eFVJUnZjVzZYTFdYcXJWYUJGK29WS2tMV0JkRXRLaDFRWkVLVm1zVkFaVkZFVVJVRkJFM21HUVdGb2ZkRFpCMW1CbUdXWktjK3dlVE5NT3M0RUNZK0htL1hyeHVucFB6bk9lWDNKcjU1c2w1emlNQ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43865</Words>
  <Characters>50292</Characters>
  <Lines>394</Lines>
  <Paragraphs>111</Paragraphs>
  <TotalTime>1</TotalTime>
  <ScaleCrop>false</ScaleCrop>
  <LinksUpToDate>false</LinksUpToDate>
  <CharactersWithSpaces>50333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2020-12-24T09:29:00Z</dcterms:created>
  <dc:creator>lhj</dc:creator>
  <cp:lastModifiedBy>听潮</cp:lastModifiedBy>
  <cp:lastPrinted>2020-12-29T10:43:00Z</cp:lastPrinted>
  <dcterms:modified xsi:type="dcterms:W3CDTF">2025-04-27T08:05:15Z</dcterms:modified>
  <dc:title>附件2</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E73A1CE6EF7F4EDB9CBE4E239F351771_13</vt:lpwstr>
  </property>
  <property fmtid="{D5CDD505-2E9C-101B-9397-08002B2CF9AE}" pid="4" name="KSOTemplateDocerSaveRecord">
    <vt:lpwstr>eyJoZGlkIjoiYjU3YWRkZmU5OTJhNGQyMDFmYzgxYmU0MjIxODYxNTUiLCJ1c2VySWQiOiIyNDE4NzAyOTkifQ==</vt:lpwstr>
  </property>
</Properties>
</file>