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A4A58">
      <w:pPr>
        <w:jc w:val="center"/>
        <w:rPr>
          <w:rFonts w:ascii="黑体" w:hAnsi="Times New Roman" w:eastAsia="黑体" w:cs="Times New Roman"/>
          <w:bCs/>
          <w:color w:val="000000" w:themeColor="text1"/>
          <w:sz w:val="48"/>
          <w:szCs w:val="48"/>
          <w14:textFill>
            <w14:solidFill>
              <w14:schemeClr w14:val="tx1"/>
            </w14:solidFill>
          </w14:textFill>
        </w:rPr>
      </w:pPr>
    </w:p>
    <w:p w14:paraId="52D93466">
      <w:pPr>
        <w:jc w:val="center"/>
        <w:rPr>
          <w:rFonts w:ascii="黑体" w:hAnsi="Times New Roman" w:eastAsia="黑体" w:cs="Times New Roman"/>
          <w:bCs/>
          <w:color w:val="000000" w:themeColor="text1"/>
          <w:sz w:val="48"/>
          <w:szCs w:val="48"/>
          <w14:textFill>
            <w14:solidFill>
              <w14:schemeClr w14:val="tx1"/>
            </w14:solidFill>
          </w14:textFill>
        </w:rPr>
      </w:pPr>
    </w:p>
    <w:p w14:paraId="60D3C0AF">
      <w:pPr>
        <w:jc w:val="center"/>
        <w:rPr>
          <w:rFonts w:ascii="黑体" w:hAnsi="Times New Roman" w:eastAsia="黑体" w:cs="Times New Roman"/>
          <w:bCs/>
          <w:color w:val="000000" w:themeColor="text1"/>
          <w:sz w:val="48"/>
          <w:szCs w:val="48"/>
          <w14:textFill>
            <w14:solidFill>
              <w14:schemeClr w14:val="tx1"/>
            </w14:solidFill>
          </w14:textFill>
        </w:rPr>
      </w:pPr>
      <w:r>
        <w:rPr>
          <w:rFonts w:hint="eastAsia" w:ascii="黑体" w:hAnsi="Times New Roman" w:eastAsia="黑体" w:cs="Times New Roman"/>
          <w:bCs/>
          <w:color w:val="000000" w:themeColor="text1"/>
          <w:sz w:val="48"/>
          <w:szCs w:val="48"/>
          <w14:textFill>
            <w14:solidFill>
              <w14:schemeClr w14:val="tx1"/>
            </w14:solidFill>
          </w14:textFill>
        </w:rPr>
        <w:t>中共寻甸回族彝族自治县委</w:t>
      </w:r>
      <w:r>
        <w:rPr>
          <w:rFonts w:hint="eastAsia" w:ascii="黑体" w:hAnsi="Times New Roman" w:eastAsia="黑体" w:cs="Times New Roman"/>
          <w:bCs/>
          <w:color w:val="000000" w:themeColor="text1"/>
          <w:sz w:val="48"/>
          <w:szCs w:val="48"/>
          <w:lang w:eastAsia="zh-CN"/>
          <w14:textFill>
            <w14:solidFill>
              <w14:schemeClr w14:val="tx1"/>
            </w14:solidFill>
          </w14:textFill>
        </w:rPr>
        <w:t>员会</w:t>
      </w:r>
      <w:r>
        <w:rPr>
          <w:rFonts w:hint="eastAsia" w:ascii="黑体" w:hAnsi="Times New Roman" w:eastAsia="黑体" w:cs="Times New Roman"/>
          <w:bCs/>
          <w:color w:val="000000" w:themeColor="text1"/>
          <w:sz w:val="48"/>
          <w:szCs w:val="48"/>
          <w14:textFill>
            <w14:solidFill>
              <w14:schemeClr w14:val="tx1"/>
            </w14:solidFill>
          </w14:textFill>
        </w:rPr>
        <w:t>党校</w:t>
      </w:r>
    </w:p>
    <w:p w14:paraId="3476C64E">
      <w:pPr>
        <w:jc w:val="center"/>
        <w:rPr>
          <w:rFonts w:ascii="黑体" w:hAnsi="Times New Roman" w:eastAsia="黑体" w:cs="Times New Roman"/>
          <w:bCs/>
          <w:color w:val="000000" w:themeColor="text1"/>
          <w:sz w:val="48"/>
          <w:szCs w:val="48"/>
          <w14:textFill>
            <w14:solidFill>
              <w14:schemeClr w14:val="tx1"/>
            </w14:solidFill>
          </w14:textFill>
        </w:rPr>
      </w:pPr>
      <w:r>
        <w:rPr>
          <w:rFonts w:hint="eastAsia" w:ascii="黑体" w:hAnsi="Times New Roman" w:eastAsia="黑体" w:cs="Times New Roman"/>
          <w:bCs/>
          <w:color w:val="000000" w:themeColor="text1"/>
          <w:sz w:val="48"/>
          <w:szCs w:val="48"/>
          <w:lang w:val="en-US" w:eastAsia="zh-CN"/>
          <w14:textFill>
            <w14:solidFill>
              <w14:schemeClr w14:val="tx1"/>
            </w14:solidFill>
          </w14:textFill>
        </w:rPr>
        <w:t>2024</w:t>
      </w:r>
      <w:r>
        <w:rPr>
          <w:rFonts w:hint="eastAsia" w:ascii="黑体" w:hAnsi="Times New Roman" w:eastAsia="黑体" w:cs="Times New Roman"/>
          <w:bCs/>
          <w:color w:val="000000" w:themeColor="text1"/>
          <w:sz w:val="48"/>
          <w:szCs w:val="48"/>
          <w14:textFill>
            <w14:solidFill>
              <w14:schemeClr w14:val="tx1"/>
            </w14:solidFill>
          </w14:textFill>
        </w:rPr>
        <w:t>年部门整体支出绩效自评报告</w:t>
      </w:r>
    </w:p>
    <w:p w14:paraId="2AE7DD38">
      <w:pPr>
        <w:spacing w:before="120" w:after="120" w:line="480" w:lineRule="auto"/>
        <w:jc w:val="center"/>
        <w:rPr>
          <w:rFonts w:ascii="Times New Roman" w:hAnsi="Times New Roman" w:eastAsia="黑体" w:cs="Times New Roman"/>
          <w:b/>
          <w:bCs/>
          <w:color w:val="000000" w:themeColor="text1"/>
          <w:sz w:val="52"/>
          <w:szCs w:val="52"/>
          <w14:textFill>
            <w14:solidFill>
              <w14:schemeClr w14:val="tx1"/>
            </w14:solidFill>
          </w14:textFill>
        </w:rPr>
      </w:pPr>
    </w:p>
    <w:p w14:paraId="75DE3C5A">
      <w:pPr>
        <w:spacing w:before="120" w:after="120" w:line="480" w:lineRule="auto"/>
        <w:jc w:val="center"/>
        <w:rPr>
          <w:rFonts w:ascii="Times New Roman" w:hAnsi="Times New Roman" w:eastAsia="宋体" w:cs="Times New Roman"/>
          <w:b/>
          <w:bCs/>
          <w:color w:val="000000" w:themeColor="text1"/>
          <w:sz w:val="44"/>
          <w:szCs w:val="44"/>
          <w14:textFill>
            <w14:solidFill>
              <w14:schemeClr w14:val="tx1"/>
            </w14:solidFill>
          </w14:textFill>
        </w:rPr>
      </w:pPr>
    </w:p>
    <w:p w14:paraId="1ED6365A">
      <w:pPr>
        <w:spacing w:before="120" w:after="120" w:line="480" w:lineRule="auto"/>
        <w:jc w:val="center"/>
        <w:rPr>
          <w:rFonts w:ascii="Times New Roman" w:hAnsi="Times New Roman" w:eastAsia="宋体" w:cs="Times New Roman"/>
          <w:b/>
          <w:bCs/>
          <w:color w:val="000000" w:themeColor="text1"/>
          <w:sz w:val="44"/>
          <w:szCs w:val="44"/>
          <w14:textFill>
            <w14:solidFill>
              <w14:schemeClr w14:val="tx1"/>
            </w14:solidFill>
          </w14:textFill>
        </w:rPr>
      </w:pPr>
    </w:p>
    <w:p w14:paraId="26CAFAB5">
      <w:pPr>
        <w:spacing w:before="120" w:after="120" w:line="480" w:lineRule="auto"/>
        <w:jc w:val="center"/>
        <w:rPr>
          <w:rFonts w:ascii="Times New Roman" w:hAnsi="Times New Roman" w:eastAsia="黑体" w:cs="Times New Roman"/>
          <w:b/>
          <w:bCs/>
          <w:color w:val="000000" w:themeColor="text1"/>
          <w:sz w:val="44"/>
          <w:szCs w:val="44"/>
          <w14:textFill>
            <w14:solidFill>
              <w14:schemeClr w14:val="tx1"/>
            </w14:solidFill>
          </w14:textFill>
        </w:rPr>
      </w:pPr>
    </w:p>
    <w:p w14:paraId="086B1BE7">
      <w:pPr>
        <w:adjustRightInd w:val="0"/>
        <w:snapToGrid w:val="0"/>
        <w:spacing w:line="360" w:lineRule="auto"/>
        <w:ind w:firstLine="1124" w:firstLineChars="400"/>
        <w:jc w:val="both"/>
        <w:rPr>
          <w:rFonts w:hint="default" w:ascii="Times New Roman" w:hAnsi="Times New Roman" w:eastAsia="黑体" w:cs="Times New Roman"/>
          <w:b/>
          <w:bCs/>
          <w:color w:val="auto"/>
          <w:sz w:val="28"/>
          <w:szCs w:val="28"/>
          <w:lang w:val="en-US"/>
        </w:rPr>
      </w:pPr>
      <w:r>
        <w:rPr>
          <w:rFonts w:ascii="Times New Roman" w:hAnsi="Times New Roman" w:eastAsia="黑体" w:cs="Times New Roman"/>
          <w:b/>
          <w:bCs/>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217805</wp:posOffset>
                </wp:positionV>
                <wp:extent cx="3457575" cy="0"/>
                <wp:effectExtent l="0" t="0" r="0" b="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33.5pt;margin-top:17.15pt;height:0pt;width:272.25pt;z-index:251659264;mso-width-relative:page;mso-height-relative:page;" filled="f" stroked="t" coordsize="21600,21600" o:gfxdata="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r9D3DYAAAACQEAAA8AAAAAAAAAAQAgAAAAIgAAAGRycy9kb3ducmV2Lnht&#10;bFBLAQIUABQAAAAIAIdO4kBxmCq4+QEAAMwDAAAOAAAAAAAAAAEAIAAAACcBAABkcnMvZTJvRG9j&#10;LnhtbFBLBQYAAAAABgAGAFkBAACSBQAAAAA=&#10;">
                <v:fill on="f" focussize="0,0"/>
                <v:stroke color="#000000" joinstyle="round"/>
                <v:imagedata o:title=""/>
                <o:lock v:ext="edit" aspectratio="f"/>
              </v:shape>
            </w:pict>
          </mc:Fallback>
        </mc:AlternateContent>
      </w:r>
      <w:r>
        <w:rPr>
          <w:rFonts w:hint="eastAsia" w:ascii="Times New Roman" w:hAnsi="Times New Roman" w:eastAsia="黑体" w:cs="Times New Roman"/>
          <w:b/>
          <w:bCs/>
          <w:color w:val="auto"/>
          <w:sz w:val="28"/>
          <w:szCs w:val="28"/>
          <w:lang w:eastAsia="zh-CN"/>
        </w:rPr>
        <w:t>项目</w:t>
      </w:r>
      <w:r>
        <w:rPr>
          <w:rFonts w:ascii="Times New Roman" w:hAnsi="Times New Roman" w:eastAsia="黑体" w:cs="Times New Roman"/>
          <w:b/>
          <w:bCs/>
          <w:color w:val="auto"/>
          <w:sz w:val="28"/>
          <w:szCs w:val="28"/>
        </w:rPr>
        <w:t xml:space="preserve">名称：  </w:t>
      </w:r>
      <w:r>
        <w:rPr>
          <w:rFonts w:hint="eastAsia" w:ascii="Times New Roman" w:hAnsi="Times New Roman" w:eastAsia="黑体" w:cs="Times New Roman"/>
          <w:b/>
          <w:bCs/>
          <w:color w:val="auto"/>
          <w:sz w:val="28"/>
          <w:szCs w:val="28"/>
          <w:lang w:val="en-US" w:eastAsia="zh-CN"/>
        </w:rPr>
        <w:t>中共寻甸回族彝族自治县委员会党校</w:t>
      </w:r>
      <w:r>
        <w:rPr>
          <w:rFonts w:ascii="Times New Roman" w:hAnsi="Times New Roman" w:eastAsia="黑体" w:cs="Times New Roman"/>
          <w:b/>
          <w:bCs/>
          <w:color w:val="auto"/>
          <w:sz w:val="28"/>
          <w:szCs w:val="28"/>
        </w:rPr>
        <w:t>整体支出</w:t>
      </w:r>
    </w:p>
    <w:p w14:paraId="4A441355">
      <w:pPr>
        <w:adjustRightInd w:val="0"/>
        <w:snapToGrid w:val="0"/>
        <w:spacing w:line="360" w:lineRule="auto"/>
        <w:ind w:firstLine="1124" w:firstLineChars="400"/>
        <w:jc w:val="both"/>
        <w:rPr>
          <w:rFonts w:hint="eastAsia" w:ascii="Times New Roman" w:hAnsi="Times New Roman" w:eastAsia="黑体" w:cs="Times New Roman"/>
          <w:b/>
          <w:bCs/>
          <w:color w:val="auto"/>
          <w:sz w:val="28"/>
          <w:szCs w:val="28"/>
          <w:lang w:val="en-US" w:eastAsia="zh-CN"/>
        </w:rPr>
      </w:pPr>
      <w:r>
        <w:rPr>
          <w:rFonts w:ascii="Times New Roman" w:hAnsi="Times New Roman" w:eastAsia="黑体" w:cs="Times New Roman"/>
          <w:b/>
          <w:bCs/>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217805</wp:posOffset>
                </wp:positionV>
                <wp:extent cx="3457575"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33.5pt;margin-top:17.15pt;height:0pt;width:272.25pt;z-index:251659264;mso-width-relative:page;mso-height-relative:page;" filled="f" stroked="t" coordsize="21600,21600" o:gfxdata="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r9D3DYAAAACQEAAA8AAAAAAAAAAQAgAAAAIgAAAGRycy9kb3ducmV2Lnht&#10;bFBLAQIUABQAAAAIAIdO4kCYjr+y+QEAAMwDAAAOAAAAAAAAAAEAIAAAACcBAABkcnMvZTJvRG9j&#10;LnhtbFBLBQYAAAAABgAGAFkBAACSBQAAAAA=&#10;">
                <v:fill on="f" focussize="0,0"/>
                <v:stroke color="#000000" joinstyle="round"/>
                <v:imagedata o:title=""/>
                <o:lock v:ext="edit" aspectratio="f"/>
              </v:shape>
            </w:pict>
          </mc:Fallback>
        </mc:AlternateContent>
      </w:r>
      <w:r>
        <w:rPr>
          <w:rFonts w:ascii="Times New Roman" w:hAnsi="Times New Roman" w:eastAsia="黑体" w:cs="Times New Roman"/>
          <w:b/>
          <w:bCs/>
          <w:color w:val="auto"/>
          <w:sz w:val="28"/>
          <w:szCs w:val="28"/>
        </w:rPr>
        <w:t xml:space="preserve">部门名称：  </w:t>
      </w:r>
      <w:r>
        <w:rPr>
          <w:rFonts w:hint="eastAsia" w:ascii="Times New Roman" w:hAnsi="Times New Roman" w:eastAsia="黑体" w:cs="Times New Roman"/>
          <w:b/>
          <w:bCs/>
          <w:color w:val="auto"/>
          <w:sz w:val="28"/>
          <w:szCs w:val="28"/>
          <w:lang w:val="en-US" w:eastAsia="zh-CN"/>
        </w:rPr>
        <w:t>中共寻甸回族彝族自治县委员会党校</w:t>
      </w:r>
    </w:p>
    <w:p w14:paraId="50673E80">
      <w:pPr>
        <w:adjustRightInd w:val="0"/>
        <w:snapToGrid w:val="0"/>
        <w:spacing w:line="360" w:lineRule="auto"/>
        <w:ind w:firstLine="1124" w:firstLineChars="400"/>
        <w:jc w:val="both"/>
        <w:rPr>
          <w:rFonts w:ascii="Times New Roman" w:hAnsi="Times New Roman" w:eastAsia="黑体" w:cs="Times New Roman"/>
          <w:b/>
          <w:bCs/>
          <w:color w:val="auto"/>
          <w:sz w:val="28"/>
          <w:szCs w:val="28"/>
        </w:rPr>
      </w:pPr>
      <w:r>
        <w:rPr>
          <w:rFonts w:ascii="Times New Roman" w:hAnsi="Times New Roman" w:eastAsia="黑体" w:cs="Times New Roman"/>
          <w:b/>
          <w:bCs/>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1695450</wp:posOffset>
                </wp:positionH>
                <wp:positionV relativeFrom="paragraph">
                  <wp:posOffset>253365</wp:posOffset>
                </wp:positionV>
                <wp:extent cx="3457575" cy="0"/>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33.5pt;margin-top:19.95pt;height:0pt;width:272.25pt;z-index:251660288;mso-width-relative:page;mso-height-relative:page;" filled="f" stroked="t" coordsize="21600,21600" o:gfxdata="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BJ+CNcAAAAJAQAADwAAAAAAAAABACAAAAAiAAAAZHJzL2Rvd25yZXYueG1s&#10;UEsBAhQAFAAAAAgAh07iQKO1AK35AQAAzAMAAA4AAAAAAAAAAQAgAAAAJgEAAGRycy9lMm9Eb2Mu&#10;eG1sUEsFBgAAAAAGAAYAWQEAAJEFAAAAAA==&#10;">
                <v:fill on="f" focussize="0,0"/>
                <v:stroke color="#000000" joinstyle="round"/>
                <v:imagedata o:title=""/>
                <o:lock v:ext="edit" aspectratio="f"/>
              </v:shape>
            </w:pict>
          </mc:Fallback>
        </mc:AlternateContent>
      </w:r>
      <w:r>
        <w:rPr>
          <w:rFonts w:ascii="Times New Roman" w:hAnsi="Times New Roman" w:eastAsia="黑体" w:cs="Times New Roman"/>
          <w:b/>
          <w:bCs/>
          <w:color w:val="auto"/>
          <w:sz w:val="28"/>
          <w:szCs w:val="28"/>
        </w:rPr>
        <w:t xml:space="preserve">评价机构：  </w:t>
      </w:r>
      <w:r>
        <w:rPr>
          <w:rFonts w:hint="eastAsia" w:ascii="Times New Roman" w:hAnsi="Times New Roman" w:eastAsia="黑体" w:cs="Times New Roman"/>
          <w:b/>
          <w:bCs/>
          <w:color w:val="auto"/>
          <w:sz w:val="28"/>
          <w:szCs w:val="28"/>
          <w:lang w:val="en-US" w:eastAsia="zh-CN"/>
        </w:rPr>
        <w:t>中共寻甸回族彝族自治县委员会党校</w:t>
      </w:r>
    </w:p>
    <w:p w14:paraId="1B9B8E8A">
      <w:pPr>
        <w:spacing w:line="360" w:lineRule="auto"/>
        <w:ind w:left="1856" w:leftChars="580"/>
        <w:rPr>
          <w:rFonts w:ascii="Times New Roman" w:hAnsi="Times New Roman" w:eastAsia="黑体" w:cs="Times New Roman"/>
          <w:b/>
          <w:bCs/>
          <w:color w:val="000000" w:themeColor="text1"/>
          <w:sz w:val="28"/>
          <w:szCs w:val="28"/>
          <w14:textFill>
            <w14:solidFill>
              <w14:schemeClr w14:val="tx1"/>
            </w14:solidFill>
          </w14:textFill>
        </w:rPr>
      </w:pPr>
    </w:p>
    <w:p w14:paraId="59B1F4E2">
      <w:pPr>
        <w:spacing w:line="360" w:lineRule="auto"/>
        <w:ind w:left="1856" w:leftChars="580"/>
        <w:rPr>
          <w:rFonts w:ascii="Times New Roman" w:hAnsi="Times New Roman" w:eastAsia="黑体" w:cs="Times New Roman"/>
          <w:b/>
          <w:bCs/>
          <w:color w:val="000000" w:themeColor="text1"/>
          <w:sz w:val="28"/>
          <w:szCs w:val="28"/>
          <w14:textFill>
            <w14:solidFill>
              <w14:schemeClr w14:val="tx1"/>
            </w14:solidFill>
          </w14:textFill>
        </w:rPr>
      </w:pPr>
    </w:p>
    <w:p w14:paraId="3F68BDCE">
      <w:pPr>
        <w:spacing w:line="360" w:lineRule="auto"/>
        <w:ind w:left="1856" w:leftChars="580"/>
        <w:rPr>
          <w:rFonts w:ascii="Times New Roman" w:hAnsi="Times New Roman" w:eastAsia="黑体" w:cs="Times New Roman"/>
          <w:b/>
          <w:bCs/>
          <w:color w:val="000000" w:themeColor="text1"/>
          <w:sz w:val="28"/>
          <w:szCs w:val="28"/>
          <w14:textFill>
            <w14:solidFill>
              <w14:schemeClr w14:val="tx1"/>
            </w14:solidFill>
          </w14:textFill>
        </w:rPr>
      </w:pPr>
    </w:p>
    <w:p w14:paraId="16FF3259">
      <w:pPr>
        <w:pStyle w:val="14"/>
      </w:pPr>
    </w:p>
    <w:p w14:paraId="1D7ED117">
      <w:pPr>
        <w:jc w:val="center"/>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w:t>20</w:t>
      </w:r>
      <w:r>
        <w:rPr>
          <w:rFonts w:hint="eastAsia" w:ascii="Times New Roman" w:hAnsi="Times New Roman" w:eastAsia="黑体" w:cs="Times New Roman"/>
          <w:b/>
          <w:bCs/>
          <w:color w:val="000000" w:themeColor="text1"/>
          <w:sz w:val="28"/>
          <w:szCs w:val="28"/>
          <w:lang w:val="en-US" w:eastAsia="zh-CN"/>
          <w14:textFill>
            <w14:solidFill>
              <w14:schemeClr w14:val="tx1"/>
            </w14:solidFill>
          </w14:textFill>
        </w:rPr>
        <w:t>25</w:t>
      </w:r>
      <w:r>
        <w:rPr>
          <w:rFonts w:ascii="Times New Roman" w:hAnsi="Times New Roman" w:eastAsia="黑体" w:cs="Times New Roman"/>
          <w:b/>
          <w:bCs/>
          <w:color w:val="000000" w:themeColor="text1"/>
          <w:sz w:val="28"/>
          <w:szCs w:val="28"/>
          <w14:textFill>
            <w14:solidFill>
              <w14:schemeClr w14:val="tx1"/>
            </w14:solidFill>
          </w14:textFill>
        </w:rPr>
        <w:t>年</w:t>
      </w:r>
      <w:r>
        <w:rPr>
          <w:rFonts w:hint="eastAsia" w:ascii="Times New Roman" w:hAnsi="Times New Roman" w:eastAsia="黑体" w:cs="Times New Roman"/>
          <w:b/>
          <w:bCs/>
          <w:color w:val="000000" w:themeColor="text1"/>
          <w:sz w:val="28"/>
          <w:szCs w:val="28"/>
          <w14:textFill>
            <w14:solidFill>
              <w14:schemeClr w14:val="tx1"/>
            </w14:solidFill>
          </w14:textFill>
        </w:rPr>
        <w:t>5</w:t>
      </w:r>
      <w:r>
        <w:rPr>
          <w:rFonts w:ascii="Times New Roman" w:hAnsi="Times New Roman" w:eastAsia="黑体" w:cs="Times New Roman"/>
          <w:b/>
          <w:bCs/>
          <w:color w:val="000000" w:themeColor="text1"/>
          <w:sz w:val="28"/>
          <w:szCs w:val="28"/>
          <w14:textFill>
            <w14:solidFill>
              <w14:schemeClr w14:val="tx1"/>
            </w14:solidFill>
          </w14:textFill>
        </w:rPr>
        <w:t>月</w:t>
      </w:r>
    </w:p>
    <w:p w14:paraId="36AA7C0F">
      <w:pPr>
        <w:ind w:firstLine="420"/>
      </w:pPr>
    </w:p>
    <w:p w14:paraId="23741D50">
      <w:pPr>
        <w:ind w:firstLine="420"/>
      </w:pPr>
    </w:p>
    <w:p w14:paraId="0AE2F757">
      <w:pPr>
        <w:ind w:firstLine="420"/>
      </w:pPr>
    </w:p>
    <w:p w14:paraId="5AA0DDFC">
      <w:pPr>
        <w:ind w:firstLine="420"/>
      </w:pPr>
    </w:p>
    <w:p w14:paraId="28AF8724">
      <w:pPr>
        <w:pStyle w:val="16"/>
        <w:widowControl w:val="0"/>
        <w:spacing w:after="0" w:line="560" w:lineRule="exact"/>
        <w:jc w:val="center"/>
        <w:rPr>
          <w:rFonts w:ascii="黑体" w:hAnsi="Times New Roman" w:eastAsia="黑体" w:cs="Times New Roman"/>
          <w:kern w:val="2"/>
          <w:sz w:val="32"/>
          <w:szCs w:val="32"/>
          <w:lang w:val="zh-TW"/>
        </w:rPr>
      </w:pPr>
      <w:r>
        <w:rPr>
          <w:rFonts w:hint="eastAsia" w:ascii="黑体" w:hAnsi="Times New Roman" w:eastAsia="黑体" w:cs="Times New Roman"/>
          <w:kern w:val="2"/>
          <w:sz w:val="32"/>
          <w:szCs w:val="32"/>
          <w:lang w:val="zh-TW" w:eastAsia="zh-TW"/>
        </w:rPr>
        <w:t>评价小组成员</w:t>
      </w:r>
    </w:p>
    <w:tbl>
      <w:tblPr>
        <w:tblStyle w:val="11"/>
        <w:tblpPr w:leftFromText="180" w:rightFromText="180" w:vertAnchor="text" w:horzAnchor="margin" w:tblpX="108" w:tblpY="7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549"/>
        <w:gridCol w:w="2101"/>
        <w:gridCol w:w="1983"/>
        <w:gridCol w:w="1466"/>
      </w:tblGrid>
      <w:tr w14:paraId="55B9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2F4D94E1">
            <w:pPr>
              <w:pStyle w:val="16"/>
              <w:widowControl w:val="0"/>
              <w:spacing w:after="0" w:line="480" w:lineRule="exact"/>
              <w:jc w:val="center"/>
              <w:rPr>
                <w:rFonts w:ascii="仿宋_GB2312" w:hAnsi="Times New Roman" w:eastAsia="仿宋_GB2312" w:cs="Times New Roman"/>
                <w:kern w:val="2"/>
                <w:sz w:val="28"/>
                <w:szCs w:val="28"/>
                <w:lang w:val="zh-TW"/>
              </w:rPr>
            </w:pPr>
            <w:r>
              <w:rPr>
                <w:rFonts w:hint="eastAsia" w:ascii="仿宋_GB2312" w:hAnsi="Times New Roman" w:eastAsia="仿宋_GB2312" w:cs="Times New Roman"/>
                <w:kern w:val="2"/>
                <w:sz w:val="28"/>
                <w:szCs w:val="28"/>
                <w:lang w:val="zh-TW"/>
              </w:rPr>
              <w:t>评价小组</w:t>
            </w:r>
          </w:p>
          <w:p w14:paraId="273E78ED">
            <w:pPr>
              <w:pStyle w:val="16"/>
              <w:widowControl w:val="0"/>
              <w:spacing w:after="0" w:line="480" w:lineRule="exact"/>
              <w:jc w:val="center"/>
              <w:rPr>
                <w:rFonts w:ascii="仿宋_GB2312" w:hAnsi="Times New Roman" w:eastAsia="仿宋_GB2312" w:cs="Times New Roman"/>
                <w:kern w:val="2"/>
                <w:sz w:val="28"/>
                <w:szCs w:val="28"/>
                <w:lang w:val="zh-TW"/>
              </w:rPr>
            </w:pPr>
            <w:r>
              <w:rPr>
                <w:rFonts w:hint="eastAsia" w:ascii="仿宋_GB2312" w:hAnsi="Times New Roman" w:eastAsia="仿宋_GB2312" w:cs="Times New Roman"/>
                <w:kern w:val="2"/>
                <w:sz w:val="28"/>
                <w:szCs w:val="28"/>
                <w:lang w:val="zh-TW"/>
              </w:rPr>
              <w:t>机构职位</w:t>
            </w:r>
          </w:p>
        </w:tc>
        <w:tc>
          <w:tcPr>
            <w:tcW w:w="1549" w:type="dxa"/>
            <w:vAlign w:val="center"/>
          </w:tcPr>
          <w:p w14:paraId="73DFDE98">
            <w:pPr>
              <w:pStyle w:val="16"/>
              <w:widowControl w:val="0"/>
              <w:spacing w:after="0" w:line="480" w:lineRule="exact"/>
              <w:jc w:val="center"/>
              <w:rPr>
                <w:rFonts w:ascii="仿宋_GB2312" w:hAnsi="Times New Roman" w:eastAsia="仿宋_GB2312" w:cs="Times New Roman"/>
                <w:kern w:val="2"/>
                <w:sz w:val="28"/>
                <w:szCs w:val="28"/>
                <w:lang w:val="zh-TW"/>
              </w:rPr>
            </w:pPr>
            <w:r>
              <w:rPr>
                <w:rFonts w:hint="eastAsia" w:ascii="仿宋_GB2312" w:hAnsi="Times New Roman" w:eastAsia="仿宋_GB2312" w:cs="Times New Roman"/>
                <w:kern w:val="2"/>
                <w:sz w:val="28"/>
                <w:szCs w:val="28"/>
                <w:lang w:val="zh-TW"/>
              </w:rPr>
              <w:t>姓名</w:t>
            </w:r>
          </w:p>
        </w:tc>
        <w:tc>
          <w:tcPr>
            <w:tcW w:w="2101" w:type="dxa"/>
            <w:vAlign w:val="center"/>
          </w:tcPr>
          <w:p w14:paraId="7B4062B4">
            <w:pPr>
              <w:pStyle w:val="16"/>
              <w:widowControl w:val="0"/>
              <w:spacing w:after="0" w:line="480" w:lineRule="exact"/>
              <w:jc w:val="center"/>
              <w:rPr>
                <w:rFonts w:ascii="仿宋_GB2312" w:hAnsi="Times New Roman" w:eastAsia="仿宋_GB2312" w:cs="Times New Roman"/>
                <w:kern w:val="2"/>
                <w:sz w:val="28"/>
                <w:szCs w:val="28"/>
                <w:lang w:val="zh-TW"/>
              </w:rPr>
            </w:pPr>
            <w:r>
              <w:rPr>
                <w:rFonts w:hint="eastAsia" w:ascii="仿宋_GB2312" w:hAnsi="Times New Roman" w:eastAsia="仿宋_GB2312" w:cs="Times New Roman"/>
                <w:kern w:val="2"/>
                <w:sz w:val="28"/>
                <w:szCs w:val="28"/>
                <w:lang w:val="zh-TW"/>
              </w:rPr>
              <w:t>职务/职称</w:t>
            </w:r>
          </w:p>
        </w:tc>
        <w:tc>
          <w:tcPr>
            <w:tcW w:w="1983" w:type="dxa"/>
            <w:vAlign w:val="center"/>
          </w:tcPr>
          <w:p w14:paraId="52215D07">
            <w:pPr>
              <w:pStyle w:val="16"/>
              <w:widowControl w:val="0"/>
              <w:spacing w:after="0" w:line="480" w:lineRule="exact"/>
              <w:jc w:val="center"/>
              <w:rPr>
                <w:rFonts w:ascii="仿宋_GB2312" w:hAnsi="Times New Roman" w:eastAsia="仿宋_GB2312" w:cs="Times New Roman"/>
                <w:kern w:val="2"/>
                <w:sz w:val="28"/>
                <w:szCs w:val="28"/>
                <w:lang w:val="zh-TW"/>
              </w:rPr>
            </w:pPr>
            <w:r>
              <w:rPr>
                <w:rFonts w:hint="eastAsia" w:ascii="仿宋_GB2312" w:hAnsi="Times New Roman" w:eastAsia="仿宋_GB2312" w:cs="Times New Roman"/>
                <w:kern w:val="2"/>
                <w:sz w:val="28"/>
                <w:szCs w:val="28"/>
                <w:lang w:val="zh-TW"/>
              </w:rPr>
              <w:t>所属单位/处室</w:t>
            </w:r>
          </w:p>
        </w:tc>
        <w:tc>
          <w:tcPr>
            <w:tcW w:w="1466" w:type="dxa"/>
            <w:vAlign w:val="center"/>
          </w:tcPr>
          <w:p w14:paraId="37C3EE28">
            <w:pPr>
              <w:pStyle w:val="16"/>
              <w:widowControl w:val="0"/>
              <w:spacing w:after="0" w:line="480" w:lineRule="exact"/>
              <w:jc w:val="center"/>
              <w:rPr>
                <w:rFonts w:ascii="仿宋_GB2312" w:hAnsi="Times New Roman" w:eastAsia="仿宋_GB2312" w:cs="Times New Roman"/>
                <w:kern w:val="2"/>
                <w:sz w:val="28"/>
                <w:szCs w:val="28"/>
                <w:lang w:val="zh-TW"/>
              </w:rPr>
            </w:pPr>
            <w:r>
              <w:rPr>
                <w:rFonts w:hint="eastAsia" w:ascii="仿宋_GB2312" w:hAnsi="Times New Roman" w:eastAsia="仿宋_GB2312" w:cs="Times New Roman"/>
                <w:kern w:val="2"/>
                <w:sz w:val="28"/>
                <w:szCs w:val="28"/>
                <w:lang w:val="zh-TW"/>
              </w:rPr>
              <w:t>签字</w:t>
            </w:r>
          </w:p>
        </w:tc>
      </w:tr>
      <w:tr w14:paraId="6F41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14:paraId="2C5A1ABA">
            <w:pPr>
              <w:pStyle w:val="16"/>
              <w:widowControl w:val="0"/>
              <w:spacing w:after="0"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组  长</w:t>
            </w:r>
          </w:p>
        </w:tc>
        <w:tc>
          <w:tcPr>
            <w:tcW w:w="1549" w:type="dxa"/>
            <w:vAlign w:val="center"/>
          </w:tcPr>
          <w:p w14:paraId="0021A54D">
            <w:pPr>
              <w:pStyle w:val="16"/>
              <w:widowControl w:val="0"/>
              <w:spacing w:after="0" w:line="480" w:lineRule="exact"/>
              <w:jc w:val="center"/>
              <w:rPr>
                <w:rFonts w:hint="eastAsia" w:ascii="仿宋_GB2312" w:hAnsi="Times New Roman" w:eastAsia="仿宋_GB2312" w:cs="Times New Roman"/>
                <w:kern w:val="2"/>
                <w:sz w:val="28"/>
                <w:szCs w:val="28"/>
                <w:lang w:val="zh-TW" w:eastAsia="zh-CN"/>
              </w:rPr>
            </w:pPr>
            <w:r>
              <w:rPr>
                <w:rFonts w:hint="eastAsia" w:ascii="仿宋_GB2312" w:hAnsi="Times New Roman" w:eastAsia="仿宋_GB2312" w:cs="Times New Roman"/>
                <w:kern w:val="2"/>
                <w:sz w:val="28"/>
                <w:szCs w:val="28"/>
                <w:lang w:val="zh-TW" w:eastAsia="zh-CN"/>
              </w:rPr>
              <w:t>徐嘉良</w:t>
            </w:r>
          </w:p>
        </w:tc>
        <w:tc>
          <w:tcPr>
            <w:tcW w:w="2101" w:type="dxa"/>
            <w:vAlign w:val="center"/>
          </w:tcPr>
          <w:p w14:paraId="3E350BEF">
            <w:pPr>
              <w:pStyle w:val="16"/>
              <w:widowControl w:val="0"/>
              <w:spacing w:after="0" w:line="480" w:lineRule="exact"/>
              <w:jc w:val="center"/>
              <w:rPr>
                <w:rFonts w:ascii="仿宋_GB2312" w:hAnsi="Times New Roman" w:eastAsia="仿宋_GB2312" w:cs="Times New Roman"/>
                <w:kern w:val="2"/>
                <w:sz w:val="28"/>
                <w:szCs w:val="28"/>
                <w:lang w:val="zh-TW" w:eastAsia="zh-TW"/>
              </w:rPr>
            </w:pPr>
            <w:r>
              <w:rPr>
                <w:rFonts w:hint="eastAsia" w:ascii="仿宋_GB2312" w:hAnsi="宋体" w:eastAsia="仿宋_GB2312"/>
                <w:sz w:val="28"/>
                <w:szCs w:val="28"/>
              </w:rPr>
              <w:t>副校长</w:t>
            </w:r>
          </w:p>
        </w:tc>
        <w:tc>
          <w:tcPr>
            <w:tcW w:w="1983" w:type="dxa"/>
            <w:vAlign w:val="center"/>
          </w:tcPr>
          <w:p w14:paraId="518D7A0B">
            <w:pPr>
              <w:pStyle w:val="16"/>
              <w:widowControl w:val="0"/>
              <w:spacing w:after="0" w:line="480" w:lineRule="exact"/>
              <w:jc w:val="center"/>
              <w:rPr>
                <w:rFonts w:ascii="仿宋_GB2312" w:hAnsi="Times New Roman" w:eastAsia="仿宋_GB2312" w:cs="Times New Roman"/>
                <w:kern w:val="2"/>
                <w:sz w:val="28"/>
                <w:szCs w:val="28"/>
                <w:lang w:val="zh-TW" w:eastAsia="zh-TW"/>
              </w:rPr>
            </w:pPr>
          </w:p>
        </w:tc>
        <w:tc>
          <w:tcPr>
            <w:tcW w:w="1466" w:type="dxa"/>
            <w:vAlign w:val="center"/>
          </w:tcPr>
          <w:p w14:paraId="3A87A3A4">
            <w:pPr>
              <w:pStyle w:val="16"/>
              <w:widowControl w:val="0"/>
              <w:spacing w:after="0" w:line="480" w:lineRule="exact"/>
              <w:jc w:val="center"/>
              <w:rPr>
                <w:rFonts w:ascii="仿宋_GB2312" w:hAnsi="Times New Roman" w:eastAsia="仿宋_GB2312" w:cs="Times New Roman"/>
                <w:kern w:val="2"/>
                <w:sz w:val="28"/>
                <w:szCs w:val="28"/>
                <w:lang w:val="zh-TW" w:eastAsia="zh-TW"/>
              </w:rPr>
            </w:pPr>
          </w:p>
        </w:tc>
      </w:tr>
      <w:tr w14:paraId="6390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Merge w:val="restart"/>
            <w:vAlign w:val="center"/>
          </w:tcPr>
          <w:p w14:paraId="0C78D83C">
            <w:pPr>
              <w:pStyle w:val="16"/>
              <w:widowControl w:val="0"/>
              <w:spacing w:after="0" w:line="4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成  员</w:t>
            </w:r>
          </w:p>
        </w:tc>
        <w:tc>
          <w:tcPr>
            <w:tcW w:w="1549" w:type="dxa"/>
            <w:vAlign w:val="center"/>
          </w:tcPr>
          <w:p w14:paraId="5CFC38BB">
            <w:pPr>
              <w:ind w:firstLine="280" w:firstLineChars="100"/>
              <w:jc w:val="both"/>
              <w:rPr>
                <w:rFonts w:hint="eastAsia" w:ascii="仿宋_GB2312" w:eastAsia="仿宋_GB2312"/>
                <w:sz w:val="28"/>
                <w:szCs w:val="28"/>
                <w:lang w:val="en-US" w:eastAsia="zh-CN"/>
              </w:rPr>
            </w:pPr>
            <w:r>
              <w:rPr>
                <w:rFonts w:hint="eastAsia" w:ascii="仿宋_GB2312"/>
                <w:sz w:val="28"/>
                <w:szCs w:val="28"/>
                <w:lang w:val="en-US" w:eastAsia="zh-CN"/>
              </w:rPr>
              <w:t>全艳芝</w:t>
            </w:r>
          </w:p>
        </w:tc>
        <w:tc>
          <w:tcPr>
            <w:tcW w:w="2101" w:type="dxa"/>
            <w:vAlign w:val="center"/>
          </w:tcPr>
          <w:p w14:paraId="4EB5B3EC">
            <w:pPr>
              <w:jc w:val="center"/>
              <w:rPr>
                <w:rFonts w:hint="eastAsia" w:ascii="仿宋_GB2312" w:eastAsia="仿宋_GB2312"/>
                <w:sz w:val="28"/>
                <w:szCs w:val="28"/>
                <w:lang w:val="zh-TW" w:eastAsia="zh-CN"/>
              </w:rPr>
            </w:pPr>
            <w:r>
              <w:rPr>
                <w:rFonts w:hint="eastAsia" w:ascii="仿宋_GB2312"/>
                <w:sz w:val="28"/>
                <w:szCs w:val="28"/>
                <w:lang w:val="zh-TW" w:eastAsia="zh-CN"/>
              </w:rPr>
              <w:t>科长</w:t>
            </w:r>
          </w:p>
        </w:tc>
        <w:tc>
          <w:tcPr>
            <w:tcW w:w="1983" w:type="dxa"/>
            <w:vAlign w:val="center"/>
          </w:tcPr>
          <w:p w14:paraId="7FAF4EF2">
            <w:pPr>
              <w:jc w:val="center"/>
              <w:rPr>
                <w:rFonts w:hint="eastAsia" w:ascii="仿宋_GB2312"/>
                <w:sz w:val="28"/>
                <w:szCs w:val="28"/>
                <w:lang w:val="en-US" w:eastAsia="zh-CN"/>
              </w:rPr>
            </w:pPr>
            <w:r>
              <w:rPr>
                <w:rFonts w:hint="eastAsia" w:ascii="仿宋_GB2312"/>
                <w:sz w:val="28"/>
                <w:szCs w:val="28"/>
                <w:lang w:val="en-US" w:eastAsia="zh-CN"/>
              </w:rPr>
              <w:t>行政科</w:t>
            </w:r>
          </w:p>
        </w:tc>
        <w:tc>
          <w:tcPr>
            <w:tcW w:w="1466" w:type="dxa"/>
            <w:vAlign w:val="center"/>
          </w:tcPr>
          <w:p w14:paraId="731076A5">
            <w:pPr>
              <w:pStyle w:val="16"/>
              <w:widowControl w:val="0"/>
              <w:spacing w:after="0" w:line="480" w:lineRule="exact"/>
              <w:jc w:val="center"/>
              <w:rPr>
                <w:rFonts w:ascii="仿宋_GB2312" w:hAnsi="Times New Roman" w:eastAsia="仿宋_GB2312" w:cs="Times New Roman"/>
                <w:kern w:val="2"/>
                <w:sz w:val="28"/>
                <w:szCs w:val="28"/>
                <w:lang w:val="zh-TW" w:eastAsia="zh-TW"/>
              </w:rPr>
            </w:pPr>
          </w:p>
        </w:tc>
      </w:tr>
      <w:tr w14:paraId="31AB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Merge w:val="continue"/>
            <w:vAlign w:val="center"/>
          </w:tcPr>
          <w:p w14:paraId="05676A62">
            <w:pPr>
              <w:pStyle w:val="16"/>
              <w:widowControl w:val="0"/>
              <w:spacing w:line="480" w:lineRule="exact"/>
              <w:jc w:val="center"/>
              <w:rPr>
                <w:rFonts w:ascii="仿宋_GB2312" w:hAnsi="Times New Roman" w:eastAsia="仿宋_GB2312" w:cs="Times New Roman"/>
                <w:sz w:val="28"/>
                <w:szCs w:val="28"/>
              </w:rPr>
            </w:pPr>
          </w:p>
        </w:tc>
        <w:tc>
          <w:tcPr>
            <w:tcW w:w="1549" w:type="dxa"/>
            <w:vAlign w:val="center"/>
          </w:tcPr>
          <w:p w14:paraId="2118787D">
            <w:pPr>
              <w:ind w:firstLine="280" w:firstLineChars="100"/>
              <w:jc w:val="both"/>
              <w:rPr>
                <w:rFonts w:hint="eastAsia" w:ascii="仿宋_GB2312" w:eastAsia="仿宋_GB2312"/>
                <w:sz w:val="28"/>
                <w:szCs w:val="28"/>
                <w:lang w:val="en-US" w:eastAsia="zh-CN"/>
              </w:rPr>
            </w:pPr>
            <w:r>
              <w:rPr>
                <w:rFonts w:hint="eastAsia" w:ascii="仿宋_GB2312"/>
                <w:sz w:val="28"/>
                <w:szCs w:val="28"/>
                <w:lang w:val="en-US" w:eastAsia="zh-CN"/>
              </w:rPr>
              <w:t>阮琦雅</w:t>
            </w:r>
          </w:p>
        </w:tc>
        <w:tc>
          <w:tcPr>
            <w:tcW w:w="2101" w:type="dxa"/>
            <w:vAlign w:val="center"/>
          </w:tcPr>
          <w:p w14:paraId="47EF9D70">
            <w:pPr>
              <w:pStyle w:val="16"/>
              <w:widowControl w:val="0"/>
              <w:spacing w:after="0" w:line="480" w:lineRule="exact"/>
              <w:jc w:val="center"/>
              <w:rPr>
                <w:rFonts w:ascii="仿宋_GB2312" w:hAnsi="Times New Roman" w:eastAsia="仿宋_GB2312" w:cs="Times New Roman"/>
                <w:kern w:val="2"/>
                <w:sz w:val="28"/>
                <w:szCs w:val="28"/>
                <w:lang w:val="zh-TW" w:eastAsia="zh-TW"/>
              </w:rPr>
            </w:pPr>
            <w:r>
              <w:rPr>
                <w:rFonts w:hint="eastAsia" w:ascii="仿宋_GB2312" w:hAnsi="Times New Roman" w:eastAsia="仿宋_GB2312" w:cs="Times New Roman"/>
                <w:sz w:val="28"/>
                <w:szCs w:val="28"/>
              </w:rPr>
              <w:t>会计</w:t>
            </w:r>
          </w:p>
        </w:tc>
        <w:tc>
          <w:tcPr>
            <w:tcW w:w="1983" w:type="dxa"/>
            <w:vAlign w:val="center"/>
          </w:tcPr>
          <w:p w14:paraId="5E7E86FD">
            <w:pPr>
              <w:pStyle w:val="16"/>
              <w:widowControl w:val="0"/>
              <w:spacing w:after="0" w:line="480" w:lineRule="exact"/>
              <w:jc w:val="center"/>
              <w:rPr>
                <w:rFonts w:ascii="仿宋_GB2312" w:hAnsi="Times New Roman" w:eastAsia="仿宋_GB2312" w:cs="Times New Roman"/>
                <w:kern w:val="2"/>
                <w:sz w:val="28"/>
                <w:szCs w:val="28"/>
                <w:lang w:val="zh-TW" w:eastAsia="zh-TW"/>
              </w:rPr>
            </w:pPr>
            <w:r>
              <w:rPr>
                <w:rFonts w:hint="eastAsia" w:ascii="仿宋_GB2312" w:hAnsi="Times New Roman" w:eastAsia="仿宋_GB2312" w:cs="Times New Roman"/>
                <w:kern w:val="2"/>
                <w:sz w:val="28"/>
                <w:szCs w:val="28"/>
                <w:lang w:val="en-US" w:eastAsia="zh-CN"/>
              </w:rPr>
              <w:t>行政科</w:t>
            </w:r>
          </w:p>
        </w:tc>
        <w:tc>
          <w:tcPr>
            <w:tcW w:w="1466" w:type="dxa"/>
            <w:vAlign w:val="center"/>
          </w:tcPr>
          <w:p w14:paraId="0227F9FA">
            <w:pPr>
              <w:pStyle w:val="16"/>
              <w:widowControl w:val="0"/>
              <w:spacing w:after="0" w:line="480" w:lineRule="exact"/>
              <w:jc w:val="center"/>
              <w:rPr>
                <w:rFonts w:ascii="仿宋_GB2312" w:hAnsi="Times New Roman" w:eastAsia="仿宋_GB2312" w:cs="Times New Roman"/>
                <w:kern w:val="2"/>
                <w:sz w:val="28"/>
                <w:szCs w:val="28"/>
                <w:lang w:val="zh-TW" w:eastAsia="zh-TW"/>
              </w:rPr>
            </w:pPr>
          </w:p>
        </w:tc>
      </w:tr>
      <w:tr w14:paraId="368B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Merge w:val="continue"/>
            <w:vAlign w:val="center"/>
          </w:tcPr>
          <w:p w14:paraId="3F1ECBB3">
            <w:pPr>
              <w:pStyle w:val="16"/>
              <w:widowControl w:val="0"/>
              <w:spacing w:line="480" w:lineRule="exact"/>
              <w:jc w:val="center"/>
              <w:rPr>
                <w:rFonts w:ascii="仿宋_GB2312" w:hAnsi="Times New Roman" w:eastAsia="仿宋_GB2312" w:cs="Times New Roman"/>
                <w:sz w:val="28"/>
                <w:szCs w:val="28"/>
              </w:rPr>
            </w:pPr>
          </w:p>
        </w:tc>
        <w:tc>
          <w:tcPr>
            <w:tcW w:w="1549" w:type="dxa"/>
            <w:vAlign w:val="center"/>
          </w:tcPr>
          <w:p w14:paraId="1DDDE541">
            <w:pPr>
              <w:jc w:val="center"/>
              <w:rPr>
                <w:rFonts w:ascii="仿宋_GB2312"/>
                <w:sz w:val="28"/>
                <w:szCs w:val="28"/>
              </w:rPr>
            </w:pPr>
          </w:p>
        </w:tc>
        <w:tc>
          <w:tcPr>
            <w:tcW w:w="2101" w:type="dxa"/>
            <w:vAlign w:val="center"/>
          </w:tcPr>
          <w:p w14:paraId="24C8F23C">
            <w:pPr>
              <w:pStyle w:val="16"/>
              <w:widowControl w:val="0"/>
              <w:spacing w:after="0" w:line="480" w:lineRule="exact"/>
              <w:jc w:val="both"/>
              <w:rPr>
                <w:rFonts w:ascii="仿宋_GB2312" w:hAnsi="Times New Roman" w:eastAsia="仿宋_GB2312" w:cs="Times New Roman"/>
                <w:kern w:val="2"/>
                <w:sz w:val="28"/>
                <w:szCs w:val="28"/>
                <w:lang w:val="zh-TW" w:eastAsia="zh-TW"/>
              </w:rPr>
            </w:pPr>
          </w:p>
        </w:tc>
        <w:tc>
          <w:tcPr>
            <w:tcW w:w="1983" w:type="dxa"/>
            <w:vAlign w:val="center"/>
          </w:tcPr>
          <w:p w14:paraId="37486E6F">
            <w:pPr>
              <w:pStyle w:val="16"/>
              <w:widowControl w:val="0"/>
              <w:spacing w:after="0" w:line="480" w:lineRule="exact"/>
              <w:jc w:val="center"/>
              <w:rPr>
                <w:rFonts w:ascii="仿宋_GB2312" w:hAnsi="Times New Roman" w:eastAsia="仿宋_GB2312" w:cs="Times New Roman"/>
                <w:spacing w:val="-20"/>
                <w:kern w:val="2"/>
                <w:sz w:val="28"/>
                <w:szCs w:val="28"/>
                <w:lang w:val="zh-TW" w:eastAsia="zh-TW"/>
              </w:rPr>
            </w:pPr>
          </w:p>
        </w:tc>
        <w:tc>
          <w:tcPr>
            <w:tcW w:w="1466" w:type="dxa"/>
            <w:vAlign w:val="center"/>
          </w:tcPr>
          <w:p w14:paraId="39C3797C">
            <w:pPr>
              <w:pStyle w:val="16"/>
              <w:widowControl w:val="0"/>
              <w:spacing w:after="0" w:line="480" w:lineRule="exact"/>
              <w:jc w:val="center"/>
              <w:rPr>
                <w:rFonts w:ascii="仿宋_GB2312" w:hAnsi="Times New Roman" w:eastAsia="仿宋_GB2312" w:cs="Times New Roman"/>
                <w:kern w:val="2"/>
                <w:sz w:val="28"/>
                <w:szCs w:val="28"/>
                <w:lang w:val="zh-TW" w:eastAsia="zh-TW"/>
              </w:rPr>
            </w:pPr>
          </w:p>
        </w:tc>
      </w:tr>
      <w:tr w14:paraId="6237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8522" w:type="dxa"/>
            <w:gridSpan w:val="5"/>
          </w:tcPr>
          <w:p w14:paraId="49981769">
            <w:pPr>
              <w:pStyle w:val="16"/>
              <w:widowControl w:val="0"/>
              <w:spacing w:after="0" w:line="480" w:lineRule="exact"/>
              <w:rPr>
                <w:rFonts w:ascii="仿宋_GB2312" w:hAnsi="Times New Roman" w:eastAsia="仿宋_GB2312" w:cs="Times New Roman"/>
                <w:kern w:val="2"/>
                <w:sz w:val="28"/>
                <w:szCs w:val="28"/>
                <w:lang w:val="zh-TW"/>
              </w:rPr>
            </w:pPr>
            <w:r>
              <w:rPr>
                <w:rFonts w:hint="eastAsia" w:ascii="仿宋_GB2312" w:hAnsi="Times New Roman" w:eastAsia="仿宋_GB2312" w:cs="Times New Roman"/>
                <w:kern w:val="2"/>
                <w:sz w:val="28"/>
                <w:szCs w:val="28"/>
                <w:lang w:val="zh-TW"/>
              </w:rPr>
              <w:t>报告撰写人（签字）：</w:t>
            </w:r>
          </w:p>
          <w:p w14:paraId="791A8072">
            <w:pPr>
              <w:pStyle w:val="16"/>
              <w:widowControl w:val="0"/>
              <w:spacing w:after="0" w:line="480" w:lineRule="exact"/>
              <w:rPr>
                <w:rFonts w:ascii="仿宋_GB2312" w:hAnsi="Times New Roman" w:eastAsia="仿宋_GB2312" w:cs="Times New Roman"/>
                <w:sz w:val="28"/>
                <w:szCs w:val="28"/>
              </w:rPr>
            </w:pPr>
          </w:p>
          <w:p w14:paraId="35D81F8D">
            <w:pPr>
              <w:pStyle w:val="16"/>
              <w:widowControl w:val="0"/>
              <w:spacing w:after="0" w:line="480" w:lineRule="exact"/>
              <w:rPr>
                <w:rFonts w:ascii="仿宋_GB2312" w:hAnsi="Times New Roman" w:eastAsia="仿宋_GB2312" w:cs="Times New Roman"/>
                <w:sz w:val="28"/>
                <w:szCs w:val="28"/>
              </w:rPr>
            </w:pPr>
          </w:p>
          <w:p w14:paraId="28E25A5F">
            <w:pPr>
              <w:pStyle w:val="16"/>
              <w:widowControl w:val="0"/>
              <w:spacing w:after="0" w:line="480" w:lineRule="exact"/>
              <w:rPr>
                <w:rFonts w:ascii="仿宋_GB2312" w:hAnsi="Times New Roman" w:eastAsia="仿宋_GB2312" w:cs="Times New Roman"/>
                <w:sz w:val="28"/>
                <w:szCs w:val="28"/>
              </w:rPr>
            </w:pPr>
          </w:p>
          <w:p w14:paraId="6FE59DC3">
            <w:pPr>
              <w:pStyle w:val="16"/>
              <w:widowControl w:val="0"/>
              <w:spacing w:after="0" w:line="480" w:lineRule="exact"/>
              <w:jc w:val="right"/>
              <w:rPr>
                <w:rFonts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202</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年5月</w:t>
            </w:r>
            <w:r>
              <w:rPr>
                <w:rFonts w:hint="eastAsia" w:ascii="仿宋_GB2312" w:hAnsi="Times New Roman" w:eastAsia="仿宋_GB2312" w:cs="Times New Roman"/>
                <w:sz w:val="28"/>
                <w:szCs w:val="28"/>
                <w:lang w:val="en-US" w:eastAsia="zh-CN"/>
              </w:rPr>
              <w:t>8</w:t>
            </w:r>
            <w:r>
              <w:rPr>
                <w:rFonts w:hint="eastAsia" w:ascii="仿宋_GB2312" w:hAnsi="Times New Roman" w:eastAsia="仿宋_GB2312" w:cs="Times New Roman"/>
                <w:sz w:val="28"/>
                <w:szCs w:val="28"/>
              </w:rPr>
              <w:t>日</w:t>
            </w:r>
          </w:p>
        </w:tc>
      </w:tr>
      <w:tr w14:paraId="683C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8522" w:type="dxa"/>
            <w:gridSpan w:val="5"/>
          </w:tcPr>
          <w:p w14:paraId="10B07451">
            <w:pPr>
              <w:pStyle w:val="16"/>
              <w:widowControl w:val="0"/>
              <w:spacing w:after="0" w:line="480" w:lineRule="exact"/>
              <w:jc w:val="both"/>
              <w:rPr>
                <w:rFonts w:ascii="仿宋_GB2312" w:hAnsi="Times New Roman" w:eastAsia="仿宋_GB2312" w:cs="Times New Roman"/>
                <w:kern w:val="2"/>
                <w:sz w:val="28"/>
                <w:szCs w:val="28"/>
                <w:lang w:val="zh-TW"/>
              </w:rPr>
            </w:pPr>
            <w:r>
              <w:rPr>
                <w:rFonts w:hint="eastAsia" w:ascii="仿宋_GB2312" w:hAnsi="Times New Roman" w:eastAsia="仿宋_GB2312" w:cs="Times New Roman"/>
                <w:kern w:val="2"/>
                <w:sz w:val="28"/>
                <w:szCs w:val="28"/>
                <w:lang w:val="zh-TW"/>
              </w:rPr>
              <w:t>评价工作负责人（签字）：</w:t>
            </w:r>
          </w:p>
          <w:p w14:paraId="6E68842C">
            <w:pPr>
              <w:pStyle w:val="16"/>
              <w:widowControl w:val="0"/>
              <w:spacing w:after="0" w:line="480" w:lineRule="exact"/>
              <w:jc w:val="both"/>
              <w:rPr>
                <w:rFonts w:ascii="仿宋_GB2312" w:hAnsi="Times New Roman" w:eastAsia="仿宋_GB2312" w:cs="Times New Roman"/>
                <w:kern w:val="2"/>
                <w:sz w:val="28"/>
                <w:szCs w:val="28"/>
                <w:lang w:val="zh-TW"/>
              </w:rPr>
            </w:pPr>
          </w:p>
          <w:p w14:paraId="7337F7AA">
            <w:pPr>
              <w:pStyle w:val="16"/>
              <w:widowControl w:val="0"/>
              <w:spacing w:after="0" w:line="480" w:lineRule="exact"/>
              <w:jc w:val="both"/>
              <w:rPr>
                <w:rFonts w:ascii="仿宋_GB2312" w:hAnsi="Times New Roman" w:eastAsia="仿宋_GB2312" w:cs="Times New Roman"/>
                <w:kern w:val="2"/>
                <w:sz w:val="28"/>
                <w:szCs w:val="28"/>
                <w:lang w:val="zh-TW"/>
              </w:rPr>
            </w:pPr>
          </w:p>
          <w:p w14:paraId="6A20054E">
            <w:pPr>
              <w:pStyle w:val="16"/>
              <w:widowControl w:val="0"/>
              <w:spacing w:after="0" w:line="480" w:lineRule="exact"/>
              <w:jc w:val="both"/>
              <w:rPr>
                <w:rFonts w:ascii="仿宋_GB2312" w:hAnsi="Times New Roman" w:eastAsia="仿宋_GB2312" w:cs="Times New Roman"/>
                <w:kern w:val="2"/>
                <w:sz w:val="28"/>
                <w:szCs w:val="28"/>
                <w:lang w:val="zh-TW"/>
              </w:rPr>
            </w:pPr>
          </w:p>
          <w:p w14:paraId="5EB864D9">
            <w:pPr>
              <w:pStyle w:val="16"/>
              <w:widowControl w:val="0"/>
              <w:spacing w:after="0" w:line="480" w:lineRule="exact"/>
              <w:jc w:val="right"/>
              <w:rPr>
                <w:rFonts w:ascii="仿宋_GB2312" w:hAnsi="Times New Roman" w:eastAsia="仿宋_GB2312" w:cs="Times New Roman"/>
                <w:kern w:val="2"/>
                <w:sz w:val="28"/>
                <w:szCs w:val="28"/>
                <w:lang w:val="zh-TW"/>
              </w:rPr>
            </w:pPr>
            <w:r>
              <w:rPr>
                <w:rFonts w:hint="eastAsia" w:ascii="仿宋_GB2312" w:hAnsi="Times New Roman" w:eastAsia="仿宋_GB2312" w:cs="Times New Roman"/>
                <w:sz w:val="28"/>
                <w:szCs w:val="28"/>
                <w:lang w:eastAsia="zh-CN"/>
              </w:rPr>
              <w:t>202</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年5月</w:t>
            </w:r>
            <w:r>
              <w:rPr>
                <w:rFonts w:hint="eastAsia" w:ascii="仿宋_GB2312" w:hAnsi="Times New Roman" w:eastAsia="仿宋_GB2312" w:cs="Times New Roman"/>
                <w:sz w:val="28"/>
                <w:szCs w:val="28"/>
                <w:lang w:val="en-US" w:eastAsia="zh-CN"/>
              </w:rPr>
              <w:t>8</w:t>
            </w:r>
            <w:r>
              <w:rPr>
                <w:rFonts w:hint="eastAsia" w:ascii="仿宋_GB2312" w:hAnsi="Times New Roman" w:eastAsia="仿宋_GB2312" w:cs="Times New Roman"/>
                <w:sz w:val="28"/>
                <w:szCs w:val="28"/>
              </w:rPr>
              <w:t>日</w:t>
            </w:r>
          </w:p>
        </w:tc>
      </w:tr>
    </w:tbl>
    <w:p w14:paraId="7BA63ED4"/>
    <w:p w14:paraId="4A1256EA">
      <w:pPr>
        <w:ind w:firstLine="420"/>
      </w:pPr>
    </w:p>
    <w:p w14:paraId="221C920B">
      <w:pPr>
        <w:ind w:firstLine="420"/>
      </w:pPr>
    </w:p>
    <w:p w14:paraId="47370F1D">
      <w:pPr>
        <w:ind w:firstLine="420"/>
        <w:rPr>
          <w:rFonts w:hint="eastAsia"/>
        </w:rPr>
      </w:pPr>
    </w:p>
    <w:p w14:paraId="32CED11B">
      <w:pPr>
        <w:ind w:firstLine="420"/>
        <w:rPr>
          <w:rFonts w:hint="eastAsia"/>
        </w:rPr>
      </w:pPr>
    </w:p>
    <w:p w14:paraId="4FA1E486">
      <w:pPr>
        <w:ind w:firstLine="420"/>
        <w:rPr>
          <w:rFonts w:hint="eastAsia"/>
        </w:rPr>
      </w:pPr>
    </w:p>
    <w:p w14:paraId="4C44A16C">
      <w:pPr>
        <w:ind w:firstLine="420"/>
        <w:rPr>
          <w:rFonts w:hint="eastAsia"/>
        </w:rPr>
      </w:pPr>
    </w:p>
    <w:p w14:paraId="037680B2">
      <w:pPr>
        <w:ind w:firstLine="420"/>
        <w:rPr>
          <w:rFonts w:hint="eastAsia"/>
        </w:rPr>
      </w:pPr>
    </w:p>
    <w:p w14:paraId="19F83249">
      <w:pPr>
        <w:ind w:firstLine="420"/>
      </w:pPr>
    </w:p>
    <w:p w14:paraId="192A9C2C">
      <w:pPr>
        <w:ind w:firstLine="420"/>
      </w:pPr>
    </w:p>
    <w:p w14:paraId="1E7BBA0B">
      <w:pPr>
        <w:ind w:firstLine="420"/>
      </w:pPr>
    </w:p>
    <w:p w14:paraId="7AF90057">
      <w:pPr>
        <w:ind w:firstLine="420"/>
      </w:pPr>
    </w:p>
    <w:p w14:paraId="149D6210">
      <w:pPr>
        <w:jc w:val="center"/>
      </w:pPr>
      <w:r>
        <w:rPr>
          <w:rFonts w:hint="eastAsia"/>
        </w:rPr>
        <w:t>目录</w:t>
      </w:r>
    </w:p>
    <w:p w14:paraId="01C57EFE">
      <w:pPr>
        <w:rPr>
          <w:rFonts w:hint="eastAsia" w:ascii="仿宋_GB2312"/>
          <w:sz w:val="28"/>
          <w:szCs w:val="28"/>
        </w:rPr>
      </w:pPr>
      <w:r>
        <w:rPr>
          <w:rFonts w:hint="eastAsia" w:ascii="仿宋_GB2312"/>
          <w:sz w:val="28"/>
          <w:szCs w:val="28"/>
        </w:rPr>
        <w:t>一、部门概况</w:t>
      </w:r>
    </w:p>
    <w:p w14:paraId="66F99AFC">
      <w:pPr>
        <w:rPr>
          <w:rFonts w:hint="eastAsia" w:ascii="仿宋_GB2312"/>
          <w:sz w:val="28"/>
          <w:szCs w:val="28"/>
        </w:rPr>
      </w:pPr>
      <w:r>
        <w:rPr>
          <w:rFonts w:hint="eastAsia" w:ascii="仿宋_GB2312"/>
          <w:sz w:val="28"/>
          <w:szCs w:val="28"/>
        </w:rPr>
        <w:t>（一）部门机构设置、编制</w:t>
      </w:r>
    </w:p>
    <w:p w14:paraId="2814A12A">
      <w:pPr>
        <w:rPr>
          <w:rFonts w:hint="eastAsia" w:ascii="仿宋_GB2312"/>
          <w:sz w:val="28"/>
          <w:szCs w:val="28"/>
        </w:rPr>
      </w:pPr>
      <w:r>
        <w:rPr>
          <w:rFonts w:hint="eastAsia" w:ascii="仿宋_GB2312"/>
          <w:sz w:val="28"/>
          <w:szCs w:val="28"/>
        </w:rPr>
        <w:t>（二）部门职能</w:t>
      </w:r>
    </w:p>
    <w:p w14:paraId="5A4B47BE">
      <w:pPr>
        <w:rPr>
          <w:rFonts w:hint="eastAsia" w:ascii="仿宋_GB2312"/>
          <w:sz w:val="28"/>
          <w:szCs w:val="28"/>
        </w:rPr>
      </w:pPr>
      <w:r>
        <w:rPr>
          <w:rFonts w:hint="eastAsia" w:ascii="仿宋_GB2312"/>
          <w:sz w:val="28"/>
          <w:szCs w:val="28"/>
        </w:rPr>
        <w:t>（三）部门工作完成情况</w:t>
      </w:r>
    </w:p>
    <w:p w14:paraId="540FE7DD">
      <w:pPr>
        <w:rPr>
          <w:rFonts w:hint="eastAsia" w:ascii="仿宋_GB2312"/>
          <w:sz w:val="28"/>
          <w:szCs w:val="28"/>
        </w:rPr>
      </w:pPr>
      <w:r>
        <w:rPr>
          <w:rFonts w:hint="eastAsia" w:ascii="仿宋_GB2312"/>
          <w:sz w:val="28"/>
          <w:szCs w:val="28"/>
        </w:rPr>
        <w:t>（四）部门管理制度</w:t>
      </w:r>
    </w:p>
    <w:p w14:paraId="6EC3BA43">
      <w:pPr>
        <w:rPr>
          <w:rFonts w:hint="eastAsia" w:ascii="仿宋_GB2312"/>
          <w:sz w:val="28"/>
          <w:szCs w:val="28"/>
        </w:rPr>
      </w:pPr>
      <w:r>
        <w:rPr>
          <w:rFonts w:hint="eastAsia" w:ascii="仿宋_GB2312"/>
          <w:sz w:val="28"/>
          <w:szCs w:val="28"/>
        </w:rPr>
        <w:t>（五）部门资金来源及使用情况</w:t>
      </w:r>
    </w:p>
    <w:p w14:paraId="4F687A08">
      <w:pPr>
        <w:rPr>
          <w:rFonts w:hint="eastAsia" w:ascii="仿宋_GB2312"/>
          <w:sz w:val="28"/>
          <w:szCs w:val="28"/>
        </w:rPr>
      </w:pPr>
      <w:r>
        <w:rPr>
          <w:rFonts w:hint="eastAsia" w:ascii="仿宋_GB2312"/>
          <w:sz w:val="28"/>
          <w:szCs w:val="28"/>
        </w:rPr>
        <w:t>（六）政府采购情况</w:t>
      </w:r>
    </w:p>
    <w:p w14:paraId="451F0D81">
      <w:pPr>
        <w:rPr>
          <w:rFonts w:hint="eastAsia" w:ascii="仿宋_GB2312"/>
          <w:sz w:val="28"/>
          <w:szCs w:val="28"/>
        </w:rPr>
      </w:pPr>
      <w:r>
        <w:rPr>
          <w:rFonts w:hint="eastAsia" w:ascii="仿宋_GB2312"/>
          <w:sz w:val="28"/>
          <w:szCs w:val="28"/>
        </w:rPr>
        <w:t>（七）固定资产情况</w:t>
      </w:r>
    </w:p>
    <w:p w14:paraId="0D78E5B7">
      <w:pPr>
        <w:rPr>
          <w:rFonts w:hint="eastAsia" w:ascii="仿宋_GB2312"/>
          <w:sz w:val="28"/>
          <w:szCs w:val="28"/>
        </w:rPr>
      </w:pPr>
      <w:r>
        <w:rPr>
          <w:rFonts w:hint="eastAsia" w:ascii="仿宋_GB2312"/>
          <w:sz w:val="28"/>
          <w:szCs w:val="28"/>
        </w:rPr>
        <w:t>二、绩效目标</w:t>
      </w:r>
    </w:p>
    <w:p w14:paraId="71A69135">
      <w:pPr>
        <w:rPr>
          <w:rFonts w:hint="eastAsia" w:ascii="仿宋_GB2312"/>
          <w:sz w:val="28"/>
          <w:szCs w:val="28"/>
        </w:rPr>
      </w:pPr>
      <w:r>
        <w:rPr>
          <w:rFonts w:hint="eastAsia" w:ascii="仿宋_GB2312"/>
          <w:sz w:val="28"/>
          <w:szCs w:val="28"/>
        </w:rPr>
        <w:t>三、评价思路和过程</w:t>
      </w:r>
    </w:p>
    <w:p w14:paraId="645CDFC8">
      <w:pPr>
        <w:rPr>
          <w:rFonts w:hint="eastAsia" w:ascii="仿宋_GB2312"/>
          <w:sz w:val="28"/>
          <w:szCs w:val="28"/>
        </w:rPr>
      </w:pPr>
      <w:r>
        <w:rPr>
          <w:rFonts w:hint="eastAsia" w:ascii="仿宋_GB2312"/>
          <w:sz w:val="28"/>
          <w:szCs w:val="28"/>
        </w:rPr>
        <w:t>（一）评价思路</w:t>
      </w:r>
    </w:p>
    <w:p w14:paraId="2973571C">
      <w:pPr>
        <w:rPr>
          <w:rFonts w:hint="eastAsia" w:ascii="仿宋_GB2312"/>
          <w:sz w:val="28"/>
          <w:szCs w:val="28"/>
        </w:rPr>
      </w:pPr>
      <w:r>
        <w:rPr>
          <w:rFonts w:hint="eastAsia" w:ascii="仿宋_GB2312"/>
          <w:sz w:val="28"/>
          <w:szCs w:val="28"/>
        </w:rPr>
        <w:t>（二）评价目的</w:t>
      </w:r>
    </w:p>
    <w:p w14:paraId="2F20407D">
      <w:pPr>
        <w:rPr>
          <w:rFonts w:hint="eastAsia" w:ascii="仿宋_GB2312"/>
          <w:sz w:val="28"/>
          <w:szCs w:val="28"/>
        </w:rPr>
      </w:pPr>
      <w:r>
        <w:rPr>
          <w:rFonts w:hint="eastAsia" w:ascii="仿宋_GB2312"/>
          <w:sz w:val="28"/>
          <w:szCs w:val="28"/>
        </w:rPr>
        <w:t>（三）评价依据</w:t>
      </w:r>
    </w:p>
    <w:p w14:paraId="5E285783">
      <w:pPr>
        <w:rPr>
          <w:rFonts w:hint="eastAsia" w:ascii="仿宋_GB2312"/>
          <w:sz w:val="28"/>
          <w:szCs w:val="28"/>
        </w:rPr>
      </w:pPr>
      <w:r>
        <w:rPr>
          <w:rFonts w:hint="eastAsia" w:ascii="仿宋_GB2312"/>
          <w:sz w:val="28"/>
          <w:szCs w:val="28"/>
        </w:rPr>
        <w:t>（四）评价对象及评价时段</w:t>
      </w:r>
    </w:p>
    <w:p w14:paraId="2A9EA88A">
      <w:pPr>
        <w:rPr>
          <w:rFonts w:hint="eastAsia" w:ascii="仿宋_GB2312"/>
          <w:sz w:val="28"/>
          <w:szCs w:val="28"/>
        </w:rPr>
      </w:pPr>
      <w:r>
        <w:rPr>
          <w:rFonts w:hint="eastAsia" w:ascii="仿宋_GB2312"/>
          <w:sz w:val="28"/>
          <w:szCs w:val="28"/>
        </w:rPr>
        <w:t>四、评价结论和绩效分析</w:t>
      </w:r>
    </w:p>
    <w:p w14:paraId="116F69AB">
      <w:pPr>
        <w:rPr>
          <w:rFonts w:hint="eastAsia" w:ascii="仿宋_GB2312"/>
          <w:sz w:val="28"/>
          <w:szCs w:val="28"/>
        </w:rPr>
      </w:pPr>
      <w:r>
        <w:rPr>
          <w:rFonts w:hint="eastAsia" w:ascii="仿宋_GB2312"/>
          <w:sz w:val="28"/>
          <w:szCs w:val="28"/>
        </w:rPr>
        <w:t>（一）评价结论</w:t>
      </w:r>
    </w:p>
    <w:p w14:paraId="3CA10312">
      <w:pPr>
        <w:rPr>
          <w:rFonts w:hint="eastAsia" w:ascii="仿宋_GB2312"/>
          <w:sz w:val="28"/>
          <w:szCs w:val="28"/>
        </w:rPr>
      </w:pPr>
      <w:r>
        <w:rPr>
          <w:rFonts w:hint="eastAsia" w:ascii="仿宋_GB2312"/>
          <w:sz w:val="28"/>
          <w:szCs w:val="28"/>
        </w:rPr>
        <w:t>（二）具体绩效分析</w:t>
      </w:r>
    </w:p>
    <w:p w14:paraId="76C595E3">
      <w:pPr>
        <w:rPr>
          <w:rFonts w:hint="eastAsia" w:ascii="仿宋_GB2312"/>
          <w:sz w:val="28"/>
          <w:szCs w:val="28"/>
        </w:rPr>
      </w:pPr>
      <w:r>
        <w:rPr>
          <w:rFonts w:hint="eastAsia" w:ascii="仿宋_GB2312"/>
          <w:sz w:val="28"/>
          <w:szCs w:val="28"/>
        </w:rPr>
        <w:t>五、主要经验做法</w:t>
      </w:r>
    </w:p>
    <w:p w14:paraId="5AC3B0FB">
      <w:pPr>
        <w:rPr>
          <w:rFonts w:hint="eastAsia" w:ascii="仿宋_GB2312"/>
          <w:sz w:val="28"/>
          <w:szCs w:val="28"/>
        </w:rPr>
      </w:pPr>
      <w:r>
        <w:rPr>
          <w:rFonts w:hint="eastAsia" w:ascii="仿宋_GB2312"/>
          <w:sz w:val="28"/>
          <w:szCs w:val="28"/>
        </w:rPr>
        <w:t>六、存在的问题</w:t>
      </w:r>
    </w:p>
    <w:p w14:paraId="34B7D200">
      <w:pPr>
        <w:rPr>
          <w:rFonts w:hint="eastAsia" w:ascii="仿宋_GB2312"/>
          <w:sz w:val="28"/>
          <w:szCs w:val="28"/>
        </w:rPr>
      </w:pPr>
      <w:r>
        <w:rPr>
          <w:rFonts w:hint="eastAsia" w:ascii="仿宋_GB2312"/>
          <w:sz w:val="28"/>
          <w:szCs w:val="28"/>
        </w:rPr>
        <w:t>七、改进措施及建议</w:t>
      </w:r>
    </w:p>
    <w:p w14:paraId="5BEA0CD0">
      <w:pPr>
        <w:rPr>
          <w:rFonts w:hint="eastAsia" w:ascii="仿宋_GB2312"/>
          <w:sz w:val="28"/>
          <w:szCs w:val="28"/>
        </w:rPr>
      </w:pPr>
    </w:p>
    <w:p w14:paraId="051B0009">
      <w:pPr>
        <w:rPr>
          <w:rFonts w:hint="eastAsia" w:ascii="仿宋_GB2312"/>
          <w:sz w:val="28"/>
          <w:szCs w:val="28"/>
        </w:rPr>
      </w:pPr>
      <w:r>
        <w:rPr>
          <w:rFonts w:hint="eastAsia" w:ascii="仿宋_GB2312"/>
          <w:sz w:val="28"/>
          <w:szCs w:val="28"/>
        </w:rPr>
        <w:t>附件1 成本费用分析报告</w:t>
      </w:r>
    </w:p>
    <w:p w14:paraId="0F6C9FA8">
      <w:pPr>
        <w:rPr>
          <w:rFonts w:hint="eastAsia" w:ascii="仿宋_GB2312"/>
          <w:sz w:val="28"/>
          <w:szCs w:val="28"/>
        </w:rPr>
      </w:pPr>
      <w:r>
        <w:rPr>
          <w:rFonts w:hint="eastAsia" w:ascii="仿宋_GB2312"/>
          <w:sz w:val="28"/>
          <w:szCs w:val="28"/>
        </w:rPr>
        <w:t>附件2 部门职能分解及</w:t>
      </w:r>
      <w:r>
        <w:rPr>
          <w:rFonts w:hint="eastAsia" w:ascii="仿宋_GB2312"/>
          <w:sz w:val="28"/>
          <w:szCs w:val="28"/>
          <w:lang w:val="en-US" w:eastAsia="zh-CN"/>
        </w:rPr>
        <w:t>2024</w:t>
      </w:r>
      <w:r>
        <w:rPr>
          <w:rFonts w:hint="eastAsia" w:ascii="仿宋_GB2312"/>
          <w:sz w:val="28"/>
          <w:szCs w:val="28"/>
        </w:rPr>
        <w:t>年工作完成情况</w:t>
      </w:r>
    </w:p>
    <w:p w14:paraId="0ABC7F6F">
      <w:pPr>
        <w:rPr>
          <w:rFonts w:hint="eastAsia" w:ascii="仿宋_GB2312"/>
          <w:sz w:val="28"/>
          <w:szCs w:val="28"/>
        </w:rPr>
      </w:pPr>
      <w:r>
        <w:rPr>
          <w:rFonts w:hint="eastAsia" w:ascii="仿宋_GB2312"/>
          <w:sz w:val="28"/>
          <w:szCs w:val="28"/>
        </w:rPr>
        <w:t>附件3 评价指标体系</w:t>
      </w:r>
    </w:p>
    <w:p w14:paraId="21C3A13C">
      <w:pPr>
        <w:rPr>
          <w:rFonts w:hint="eastAsia" w:ascii="仿宋_GB2312"/>
          <w:sz w:val="28"/>
          <w:szCs w:val="28"/>
        </w:rPr>
      </w:pPr>
      <w:r>
        <w:rPr>
          <w:rFonts w:hint="eastAsia" w:ascii="仿宋_GB2312"/>
          <w:sz w:val="28"/>
          <w:szCs w:val="28"/>
        </w:rPr>
        <w:t>附件4 部门整体支出满意度测评汇总表</w:t>
      </w:r>
    </w:p>
    <w:p w14:paraId="00259A3B">
      <w:pPr>
        <w:rPr>
          <w:rFonts w:hint="eastAsia" w:ascii="仿宋_GB2312"/>
          <w:sz w:val="28"/>
          <w:szCs w:val="28"/>
        </w:rPr>
      </w:pPr>
      <w:r>
        <w:rPr>
          <w:rFonts w:hint="eastAsia" w:ascii="仿宋_GB2312"/>
          <w:sz w:val="28"/>
          <w:szCs w:val="28"/>
        </w:rPr>
        <w:t>附件5工作底稿</w:t>
      </w:r>
    </w:p>
    <w:p w14:paraId="110B4DA0">
      <w:pPr>
        <w:rPr>
          <w:rFonts w:hint="eastAsia" w:ascii="仿宋_GB2312"/>
          <w:sz w:val="28"/>
          <w:szCs w:val="28"/>
        </w:rPr>
      </w:pPr>
      <w:r>
        <w:rPr>
          <w:rFonts w:hint="eastAsia" w:ascii="仿宋_GB2312"/>
          <w:sz w:val="28"/>
          <w:szCs w:val="28"/>
        </w:rPr>
        <w:t>附件6 部门收入支出决算表</w:t>
      </w:r>
    </w:p>
    <w:p w14:paraId="7430448B">
      <w:pPr>
        <w:ind w:firstLine="420"/>
      </w:pPr>
    </w:p>
    <w:p w14:paraId="317F42B4">
      <w:pPr>
        <w:ind w:firstLine="420"/>
      </w:pPr>
    </w:p>
    <w:p w14:paraId="5EFF6E64">
      <w:pPr>
        <w:ind w:firstLine="420"/>
      </w:pPr>
    </w:p>
    <w:p w14:paraId="3EC57F05">
      <w:pPr>
        <w:ind w:firstLine="420"/>
      </w:pPr>
    </w:p>
    <w:p w14:paraId="206EA413">
      <w:pPr>
        <w:spacing w:line="660" w:lineRule="exact"/>
        <w:jc w:val="center"/>
        <w:rPr>
          <w:rFonts w:ascii="黑体" w:eastAsia="黑体"/>
          <w:sz w:val="44"/>
          <w:szCs w:val="44"/>
        </w:rPr>
      </w:pPr>
      <w:r>
        <w:rPr>
          <w:rFonts w:hint="eastAsia" w:ascii="黑体" w:eastAsia="黑体"/>
          <w:sz w:val="44"/>
          <w:szCs w:val="44"/>
        </w:rPr>
        <w:t>中共寻甸回族彝族自治县委党校</w:t>
      </w:r>
    </w:p>
    <w:p w14:paraId="3BF5F6DA">
      <w:pPr>
        <w:spacing w:line="660" w:lineRule="exact"/>
        <w:jc w:val="center"/>
        <w:rPr>
          <w:rFonts w:ascii="黑体" w:eastAsia="黑体"/>
          <w:sz w:val="44"/>
          <w:szCs w:val="44"/>
        </w:rPr>
      </w:pPr>
      <w:r>
        <w:rPr>
          <w:rFonts w:hint="eastAsia" w:ascii="黑体" w:eastAsia="黑体"/>
          <w:sz w:val="44"/>
          <w:szCs w:val="44"/>
          <w:lang w:val="en-US" w:eastAsia="zh-CN"/>
        </w:rPr>
        <w:t>2024</w:t>
      </w:r>
      <w:r>
        <w:rPr>
          <w:rFonts w:hint="eastAsia" w:ascii="黑体" w:eastAsia="黑体"/>
          <w:sz w:val="44"/>
          <w:szCs w:val="44"/>
        </w:rPr>
        <w:t>年部门整体支出绩效自评报告</w:t>
      </w:r>
    </w:p>
    <w:p w14:paraId="42BCA919">
      <w:pPr>
        <w:ind w:firstLine="640" w:firstLineChars="200"/>
        <w:jc w:val="left"/>
        <w:rPr>
          <w:rFonts w:ascii="仿宋_GB2312"/>
        </w:rPr>
      </w:pPr>
    </w:p>
    <w:p w14:paraId="236C6186">
      <w:pPr>
        <w:spacing w:line="560" w:lineRule="exact"/>
        <w:ind w:firstLine="640" w:firstLineChars="200"/>
        <w:jc w:val="left"/>
        <w:rPr>
          <w:rFonts w:ascii="仿宋_GB2312"/>
        </w:rPr>
      </w:pPr>
      <w:r>
        <w:rPr>
          <w:rFonts w:hint="eastAsia" w:ascii="仿宋_GB2312"/>
        </w:rPr>
        <w:t>根据《寻甸回族彝族自治县财政支出绩效评价管理办法》《寻甸回族彝族自治县县本级财政预算绩效目标管理暂行办法》及寻财绩〔2020〕1号文件要求，我</w:t>
      </w:r>
      <w:r>
        <w:rPr>
          <w:rFonts w:hint="eastAsia" w:ascii="仿宋_GB2312"/>
          <w:lang w:eastAsia="zh-CN"/>
        </w:rPr>
        <w:t>单位</w:t>
      </w:r>
      <w:r>
        <w:rPr>
          <w:rFonts w:hint="eastAsia" w:ascii="仿宋_GB2312"/>
        </w:rPr>
        <w:t>对</w:t>
      </w:r>
      <w:r>
        <w:rPr>
          <w:rFonts w:hint="eastAsia" w:ascii="仿宋_GB2312"/>
          <w:lang w:val="en-US" w:eastAsia="zh-CN"/>
        </w:rPr>
        <w:t>2024</w:t>
      </w:r>
      <w:r>
        <w:rPr>
          <w:rFonts w:hint="eastAsia" w:ascii="仿宋_GB2312"/>
          <w:color w:val="000000" w:themeColor="text1"/>
          <w14:textFill>
            <w14:solidFill>
              <w14:schemeClr w14:val="tx1"/>
            </w14:solidFill>
          </w14:textFill>
        </w:rPr>
        <w:t>年</w:t>
      </w:r>
      <w:r>
        <w:rPr>
          <w:rFonts w:hint="eastAsia" w:ascii="仿宋_GB2312"/>
        </w:rPr>
        <w:t>度部门整体支出的管理、使用及效益情况进行了绩效自评价。现将评价情况报告如下：</w:t>
      </w:r>
    </w:p>
    <w:p w14:paraId="57F1C809">
      <w:pPr>
        <w:spacing w:line="560" w:lineRule="exact"/>
        <w:ind w:firstLine="640" w:firstLineChars="200"/>
        <w:jc w:val="left"/>
        <w:rPr>
          <w:rFonts w:hint="eastAsia" w:ascii="黑体" w:eastAsia="黑体"/>
        </w:rPr>
      </w:pPr>
      <w:r>
        <w:rPr>
          <w:rFonts w:hint="eastAsia" w:ascii="黑体" w:eastAsia="黑体"/>
        </w:rPr>
        <w:t>一、部门概况</w:t>
      </w:r>
    </w:p>
    <w:p w14:paraId="3F951587">
      <w:pPr>
        <w:spacing w:line="560" w:lineRule="exact"/>
        <w:ind w:firstLine="640" w:firstLineChars="200"/>
        <w:jc w:val="left"/>
        <w:rPr>
          <w:rFonts w:hint="eastAsia" w:ascii="楷体_GB2312" w:eastAsia="楷体_GB2312"/>
        </w:rPr>
      </w:pPr>
      <w:r>
        <w:rPr>
          <w:rFonts w:hint="eastAsia" w:ascii="楷体_GB2312" w:eastAsia="楷体_GB2312"/>
        </w:rPr>
        <w:t>（一）部门机构设置、编制</w:t>
      </w:r>
    </w:p>
    <w:p w14:paraId="3F2C0ED8">
      <w:pPr>
        <w:spacing w:line="560" w:lineRule="exact"/>
        <w:ind w:firstLine="640" w:firstLineChars="200"/>
        <w:jc w:val="left"/>
        <w:rPr>
          <w:rFonts w:hint="eastAsia" w:ascii="仿宋_GB2312"/>
          <w:highlight w:val="none"/>
        </w:rPr>
      </w:pPr>
      <w:r>
        <w:rPr>
          <w:rFonts w:hint="eastAsia" w:ascii="仿宋_GB2312"/>
          <w:highlight w:val="none"/>
          <w:lang w:eastAsia="zh-CN"/>
        </w:rPr>
        <w:t>县委</w:t>
      </w:r>
      <w:r>
        <w:rPr>
          <w:rFonts w:hint="eastAsia" w:ascii="仿宋_GB2312"/>
          <w:highlight w:val="none"/>
        </w:rPr>
        <w:t>党校是党领导的培养党的领导干部的学校，是党委的重要部门，是培训党的各级领导干部的主渠道，是党的思想理论建设的重要阵地，是党和国家的哲学社会科学研究机构和重要智库。</w:t>
      </w:r>
    </w:p>
    <w:p w14:paraId="6BD2CAEF">
      <w:pPr>
        <w:spacing w:line="560" w:lineRule="exact"/>
        <w:ind w:firstLine="640" w:firstLineChars="200"/>
        <w:jc w:val="left"/>
        <w:rPr>
          <w:rFonts w:hint="eastAsia" w:ascii="仿宋_GB2312"/>
          <w:highlight w:val="none"/>
        </w:rPr>
      </w:pPr>
      <w:r>
        <w:rPr>
          <w:rFonts w:hint="eastAsia" w:ascii="仿宋_GB2312"/>
          <w:highlight w:val="none"/>
        </w:rPr>
        <w:t>中国共产党寻甸回族彝族自治县委员会党校</w:t>
      </w:r>
      <w:r>
        <w:rPr>
          <w:rFonts w:hint="eastAsia" w:ascii="仿宋_GB2312"/>
          <w:highlight w:val="none"/>
          <w:lang w:eastAsia="zh-CN"/>
        </w:rPr>
        <w:t>202</w:t>
      </w:r>
      <w:r>
        <w:rPr>
          <w:rFonts w:hint="eastAsia" w:ascii="仿宋_GB2312"/>
          <w:highlight w:val="none"/>
          <w:lang w:val="en-US" w:eastAsia="zh-CN"/>
        </w:rPr>
        <w:t>4</w:t>
      </w:r>
      <w:r>
        <w:rPr>
          <w:rFonts w:hint="eastAsia" w:ascii="仿宋_GB2312"/>
          <w:highlight w:val="none"/>
        </w:rPr>
        <w:t>年末实有人员编制2</w:t>
      </w:r>
      <w:r>
        <w:rPr>
          <w:rFonts w:hint="eastAsia" w:ascii="仿宋_GB2312"/>
          <w:highlight w:val="none"/>
          <w:lang w:val="en-US" w:eastAsia="zh-CN"/>
        </w:rPr>
        <w:t>7</w:t>
      </w:r>
      <w:r>
        <w:rPr>
          <w:rFonts w:hint="eastAsia" w:ascii="仿宋_GB2312"/>
          <w:highlight w:val="none"/>
        </w:rPr>
        <w:t>人。其中：行政编制人（含行政工勤编制0人），事业编制2</w:t>
      </w:r>
      <w:r>
        <w:rPr>
          <w:rFonts w:hint="eastAsia" w:ascii="仿宋_GB2312"/>
          <w:highlight w:val="none"/>
          <w:lang w:val="en-US" w:eastAsia="zh-CN"/>
        </w:rPr>
        <w:t>7</w:t>
      </w:r>
      <w:r>
        <w:rPr>
          <w:rFonts w:hint="eastAsia" w:ascii="仿宋_GB2312"/>
          <w:highlight w:val="none"/>
        </w:rPr>
        <w:t>人（含参公管理事业编制</w:t>
      </w:r>
      <w:r>
        <w:rPr>
          <w:rFonts w:hint="eastAsia" w:ascii="仿宋_GB2312"/>
          <w:highlight w:val="none"/>
          <w:lang w:val="en-US" w:eastAsia="zh-CN"/>
        </w:rPr>
        <w:t>6</w:t>
      </w:r>
      <w:r>
        <w:rPr>
          <w:rFonts w:hint="eastAsia" w:ascii="仿宋_GB2312"/>
          <w:highlight w:val="none"/>
        </w:rPr>
        <w:t>人）；在职在编实有行政人员0人（含行政工勤人员0人），事业人员</w:t>
      </w:r>
      <w:r>
        <w:rPr>
          <w:rFonts w:hint="eastAsia" w:ascii="仿宋_GB2312"/>
          <w:highlight w:val="none"/>
          <w:lang w:val="en-US" w:eastAsia="zh-CN"/>
        </w:rPr>
        <w:t>27</w:t>
      </w:r>
      <w:r>
        <w:rPr>
          <w:rFonts w:hint="eastAsia" w:ascii="仿宋_GB2312"/>
          <w:highlight w:val="none"/>
        </w:rPr>
        <w:t>人（含参公管理事业人员</w:t>
      </w:r>
      <w:r>
        <w:rPr>
          <w:rFonts w:hint="eastAsia" w:ascii="仿宋_GB2312"/>
          <w:highlight w:val="none"/>
          <w:lang w:val="en-US" w:eastAsia="zh-CN"/>
        </w:rPr>
        <w:t>6</w:t>
      </w:r>
      <w:r>
        <w:rPr>
          <w:rFonts w:hint="eastAsia" w:ascii="仿宋_GB2312"/>
          <w:highlight w:val="none"/>
        </w:rPr>
        <w:t>人）。</w:t>
      </w:r>
    </w:p>
    <w:p w14:paraId="77F23FDA">
      <w:pPr>
        <w:spacing w:line="560" w:lineRule="exact"/>
        <w:ind w:firstLine="640" w:firstLineChars="200"/>
        <w:jc w:val="left"/>
        <w:rPr>
          <w:rFonts w:hint="eastAsia" w:ascii="楷体_GB2312" w:eastAsia="楷体_GB2312"/>
        </w:rPr>
      </w:pPr>
      <w:r>
        <w:rPr>
          <w:rFonts w:hint="eastAsia" w:ascii="楷体_GB2312" w:eastAsia="楷体_GB2312"/>
        </w:rPr>
        <w:t>（二）部门职能</w:t>
      </w:r>
    </w:p>
    <w:p w14:paraId="15CEB2A9">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贯彻落实党中央、省委、市委关于党校（行政学院、社会主义学院）工作的方针政策和决策部署，贯彻《中国共产党党校（行政学院）工作条例》《社会主义学院工作条例》《干部教育培训工作条例》及相关法律法规。</w:t>
      </w:r>
    </w:p>
    <w:p w14:paraId="7A62E003">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发挥干部教育培训主阵地主渠道作用，有计划地组织开展党校和行政学校、社会主义学校范围内各级各类学员教育培训，负责对学员在培训期间的表现进行考核，提出考核意见。</w:t>
      </w:r>
    </w:p>
    <w:p w14:paraId="6081FD00">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开展马克思主义基本理论研究，重点研究宣传习近平新时代中国特色社会主义思想。</w:t>
      </w:r>
    </w:p>
    <w:p w14:paraId="715F3D44">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对学员进行马克思列宁主义、毛泽东思想、邓小平理论、“三个代表”重要思想、科学发展观、习近平新时代中国特色社会主义思想教育和党性教育。</w:t>
      </w:r>
    </w:p>
    <w:p w14:paraId="399390C8">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围绕省、市、县的重点工作，开展重大理论问题和现实问题研究，承担县委、县政府下达的调研任务，为县委、县政府决策咨询服务。</w:t>
      </w:r>
    </w:p>
    <w:p w14:paraId="38129EA8">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承办县委、县政府安排及各级部门和其他企事业单位委托举办的各类专题研讨班。</w:t>
      </w:r>
    </w:p>
    <w:p w14:paraId="75AFEABA">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开展同省市内外干部教育培训、研究机构的合作与交流。</w:t>
      </w:r>
    </w:p>
    <w:p w14:paraId="3B48B209">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参与县委、县政府关于党校工作政策以及干部培训计划的制定工作。</w:t>
      </w:r>
    </w:p>
    <w:p w14:paraId="0E71B7F8">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组织实施县委党校及乡镇（街道）党校教学计划、教学内容、师资调配、学制设置和教学考评“五统筹”的合作办学模式，对乡镇（街道）党校进行业务指导。</w:t>
      </w:r>
    </w:p>
    <w:p w14:paraId="0E33B1DA">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完成上级部门交办的其他任务。</w:t>
      </w:r>
    </w:p>
    <w:p w14:paraId="1806911E">
      <w:pPr>
        <w:spacing w:line="560" w:lineRule="exact"/>
        <w:ind w:firstLine="640" w:firstLineChars="200"/>
        <w:jc w:val="left"/>
        <w:rPr>
          <w:rFonts w:hint="eastAsia" w:ascii="楷体_GB2312" w:eastAsia="楷体_GB2312"/>
          <w:highlight w:val="none"/>
        </w:rPr>
      </w:pPr>
      <w:r>
        <w:rPr>
          <w:rFonts w:hint="eastAsia" w:ascii="楷体_GB2312" w:eastAsia="楷体_GB2312"/>
          <w:highlight w:val="none"/>
        </w:rPr>
        <w:t>（三）部门工作完成情况</w:t>
      </w:r>
    </w:p>
    <w:p w14:paraId="67466A03">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sz w:val="32"/>
          <w:szCs w:val="32"/>
        </w:rPr>
      </w:pPr>
      <w:r>
        <w:rPr>
          <w:rFonts w:hint="default" w:ascii="Times New Roman" w:hAnsi="Times New Roman" w:eastAsia="楷体_GB2312" w:cs="Times New Roman"/>
          <w:sz w:val="32"/>
          <w:szCs w:val="32"/>
        </w:rPr>
        <w:t>（一）</w:t>
      </w:r>
      <w:r>
        <w:rPr>
          <w:rFonts w:hint="eastAsia" w:ascii="Times New Roman" w:hAnsi="Times New Roman" w:eastAsia="楷体_GB2312" w:cs="Times New Roman"/>
          <w:sz w:val="32"/>
          <w:szCs w:val="32"/>
          <w:lang w:eastAsia="zh-CN"/>
        </w:rPr>
        <w:t>推动办学规模稳步提升。</w:t>
      </w:r>
      <w:r>
        <w:rPr>
          <w:rFonts w:hint="eastAsia"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年，完成各类党员干部培训</w:t>
      </w:r>
      <w:r>
        <w:rPr>
          <w:rFonts w:hint="eastAsia" w:ascii="Times New Roman" w:hAnsi="Times New Roman" w:eastAsia="仿宋_GB2312" w:cs="Times New Roman"/>
          <w:sz w:val="32"/>
          <w:szCs w:val="32"/>
          <w:lang w:val="en-US" w:eastAsia="zh-CN"/>
        </w:rPr>
        <w:t>97</w:t>
      </w:r>
      <w:r>
        <w:rPr>
          <w:rFonts w:hint="default" w:ascii="Times New Roman" w:hAnsi="Times New Roman" w:eastAsia="仿宋_GB2312" w:cs="Times New Roman"/>
          <w:sz w:val="32"/>
          <w:szCs w:val="32"/>
        </w:rPr>
        <w:t>期（场），</w:t>
      </w:r>
      <w:r>
        <w:rPr>
          <w:rFonts w:hint="default" w:ascii="Times New Roman" w:hAnsi="Times New Roman" w:eastAsia="仿宋_GB2312" w:cs="Times New Roman"/>
          <w:b w:val="0"/>
          <w:bCs w:val="0"/>
          <w:sz w:val="32"/>
          <w:szCs w:val="32"/>
        </w:rPr>
        <w:t>共计培训</w:t>
      </w:r>
      <w:r>
        <w:rPr>
          <w:rFonts w:hint="eastAsia" w:ascii="Times New Roman" w:hAnsi="Times New Roman" w:eastAsia="仿宋_GB2312" w:cs="Times New Roman"/>
          <w:b w:val="0"/>
          <w:bCs w:val="0"/>
          <w:sz w:val="32"/>
          <w:szCs w:val="32"/>
          <w:lang w:val="en-US" w:eastAsia="zh-CN"/>
        </w:rPr>
        <w:t>11891</w:t>
      </w:r>
      <w:r>
        <w:rPr>
          <w:rFonts w:hint="default" w:ascii="Times New Roman" w:hAnsi="Times New Roman" w:eastAsia="仿宋_GB2312" w:cs="Times New Roman"/>
          <w:b w:val="0"/>
          <w:bCs w:val="0"/>
          <w:sz w:val="32"/>
          <w:szCs w:val="32"/>
        </w:rPr>
        <w:t>人次。</w:t>
      </w:r>
      <w:r>
        <w:rPr>
          <w:rFonts w:hint="eastAsia" w:ascii="Times New Roman" w:hAnsi="Times New Roman" w:eastAsia="仿宋_GB2312" w:cs="Times New Roman"/>
          <w:b w:val="0"/>
          <w:bCs w:val="0"/>
          <w:sz w:val="32"/>
          <w:szCs w:val="32"/>
          <w:lang w:eastAsia="zh-CN"/>
        </w:rPr>
        <w:t>其中，</w:t>
      </w:r>
      <w:r>
        <w:rPr>
          <w:rFonts w:hint="eastAsia" w:ascii="仿宋_GB2312" w:eastAsia="仿宋_GB2312"/>
          <w:b w:val="0"/>
          <w:bCs w:val="0"/>
          <w:color w:val="000000"/>
          <w:sz w:val="32"/>
          <w:szCs w:val="32"/>
        </w:rPr>
        <w:t>主体培训班</w:t>
      </w:r>
      <w:r>
        <w:rPr>
          <w:rFonts w:hint="eastAsia" w:ascii="仿宋_GB2312" w:eastAsia="仿宋_GB2312"/>
          <w:b w:val="0"/>
          <w:bCs w:val="0"/>
          <w:color w:val="auto"/>
          <w:sz w:val="32"/>
          <w:szCs w:val="32"/>
        </w:rPr>
        <w:t>次</w:t>
      </w:r>
      <w:r>
        <w:rPr>
          <w:rFonts w:hint="eastAsia" w:ascii="仿宋_GB2312" w:eastAsia="仿宋_GB2312"/>
          <w:b w:val="0"/>
          <w:bCs w:val="0"/>
          <w:color w:val="auto"/>
          <w:sz w:val="32"/>
          <w:szCs w:val="32"/>
          <w:lang w:val="en-US" w:eastAsia="zh-CN"/>
        </w:rPr>
        <w:t>16</w:t>
      </w:r>
      <w:r>
        <w:rPr>
          <w:rFonts w:hint="eastAsia" w:ascii="仿宋_GB2312" w:eastAsia="仿宋_GB2312"/>
          <w:b w:val="0"/>
          <w:bCs w:val="0"/>
          <w:color w:val="auto"/>
          <w:sz w:val="32"/>
          <w:szCs w:val="32"/>
          <w:lang w:eastAsia="zh-CN"/>
        </w:rPr>
        <w:t>期</w:t>
      </w:r>
      <w:r>
        <w:rPr>
          <w:rFonts w:hint="eastAsia" w:ascii="仿宋_GB2312" w:eastAsia="仿宋_GB2312"/>
          <w:b w:val="0"/>
          <w:bCs w:val="0"/>
          <w:color w:val="auto"/>
          <w:sz w:val="32"/>
          <w:szCs w:val="32"/>
        </w:rPr>
        <w:t>，培训</w:t>
      </w:r>
      <w:r>
        <w:rPr>
          <w:rFonts w:hint="eastAsia" w:ascii="仿宋_GB2312" w:eastAsia="仿宋_GB2312"/>
          <w:b w:val="0"/>
          <w:bCs w:val="0"/>
          <w:color w:val="auto"/>
          <w:sz w:val="32"/>
          <w:szCs w:val="32"/>
          <w:lang w:val="en-US" w:eastAsia="zh-CN"/>
        </w:rPr>
        <w:t>1889</w:t>
      </w:r>
      <w:r>
        <w:rPr>
          <w:rFonts w:hint="eastAsia" w:ascii="仿宋_GB2312" w:eastAsia="仿宋_GB2312"/>
          <w:b w:val="0"/>
          <w:bCs w:val="0"/>
          <w:color w:val="auto"/>
          <w:sz w:val="32"/>
          <w:szCs w:val="32"/>
        </w:rPr>
        <w:t>人次</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重点培训班</w:t>
      </w:r>
      <w:r>
        <w:rPr>
          <w:rFonts w:hint="eastAsia" w:ascii="仿宋_GB2312" w:eastAsia="仿宋_GB2312"/>
          <w:b w:val="0"/>
          <w:bCs w:val="0"/>
          <w:color w:val="auto"/>
          <w:sz w:val="32"/>
          <w:szCs w:val="32"/>
          <w:lang w:val="en-US" w:eastAsia="zh-CN"/>
        </w:rPr>
        <w:t>7</w:t>
      </w:r>
      <w:r>
        <w:rPr>
          <w:rFonts w:hint="eastAsia" w:ascii="仿宋_GB2312" w:eastAsia="仿宋_GB2312"/>
          <w:b w:val="0"/>
          <w:bCs w:val="0"/>
          <w:color w:val="auto"/>
          <w:sz w:val="32"/>
          <w:szCs w:val="32"/>
          <w:lang w:eastAsia="zh-CN"/>
        </w:rPr>
        <w:t>期</w:t>
      </w:r>
      <w:r>
        <w:rPr>
          <w:rFonts w:hint="eastAsia" w:ascii="仿宋_GB2312" w:eastAsia="仿宋_GB2312"/>
          <w:b w:val="0"/>
          <w:bCs w:val="0"/>
          <w:color w:val="auto"/>
          <w:sz w:val="32"/>
          <w:szCs w:val="32"/>
        </w:rPr>
        <w:t>，培训</w:t>
      </w:r>
      <w:r>
        <w:rPr>
          <w:rFonts w:hint="eastAsia" w:ascii="仿宋_GB2312" w:eastAsia="仿宋_GB2312"/>
          <w:b w:val="0"/>
          <w:bCs w:val="0"/>
          <w:color w:val="auto"/>
          <w:sz w:val="32"/>
          <w:szCs w:val="32"/>
          <w:lang w:val="en-US" w:eastAsia="zh-CN"/>
        </w:rPr>
        <w:t>1074</w:t>
      </w:r>
      <w:r>
        <w:rPr>
          <w:rFonts w:hint="eastAsia" w:ascii="仿宋_GB2312" w:eastAsia="仿宋_GB2312"/>
          <w:b w:val="0"/>
          <w:bCs w:val="0"/>
          <w:color w:val="auto"/>
          <w:sz w:val="32"/>
          <w:szCs w:val="32"/>
        </w:rPr>
        <w:t>人</w:t>
      </w:r>
      <w:r>
        <w:rPr>
          <w:rFonts w:hint="eastAsia" w:ascii="仿宋_GB2312" w:eastAsia="仿宋_GB2312"/>
          <w:b w:val="0"/>
          <w:bCs w:val="0"/>
          <w:color w:val="auto"/>
          <w:sz w:val="32"/>
          <w:szCs w:val="32"/>
          <w:lang w:eastAsia="zh-CN"/>
        </w:rPr>
        <w:t>次。</w:t>
      </w:r>
      <w:r>
        <w:rPr>
          <w:rFonts w:hint="eastAsia" w:ascii="仿宋_GB2312" w:eastAsia="仿宋_GB2312"/>
          <w:b w:val="0"/>
          <w:bCs w:val="0"/>
          <w:color w:val="auto"/>
          <w:sz w:val="32"/>
          <w:szCs w:val="32"/>
        </w:rPr>
        <w:t>委托培训班</w:t>
      </w:r>
      <w:r>
        <w:rPr>
          <w:rFonts w:hint="eastAsia" w:ascii="仿宋_GB2312" w:eastAsia="仿宋_GB2312"/>
          <w:b w:val="0"/>
          <w:bCs w:val="0"/>
          <w:color w:val="auto"/>
          <w:sz w:val="32"/>
          <w:szCs w:val="32"/>
          <w:lang w:val="en-US" w:eastAsia="zh-CN"/>
        </w:rPr>
        <w:t>22</w:t>
      </w:r>
      <w:r>
        <w:rPr>
          <w:rFonts w:hint="eastAsia" w:ascii="仿宋_GB2312" w:eastAsia="仿宋_GB2312"/>
          <w:b w:val="0"/>
          <w:bCs w:val="0"/>
          <w:color w:val="auto"/>
          <w:sz w:val="32"/>
          <w:szCs w:val="32"/>
          <w:lang w:eastAsia="zh-CN"/>
        </w:rPr>
        <w:t>期</w:t>
      </w:r>
      <w:r>
        <w:rPr>
          <w:rFonts w:hint="eastAsia" w:ascii="仿宋_GB2312" w:eastAsia="仿宋_GB2312"/>
          <w:b w:val="0"/>
          <w:bCs w:val="0"/>
          <w:color w:val="auto"/>
          <w:sz w:val="32"/>
          <w:szCs w:val="32"/>
        </w:rPr>
        <w:t>，培训</w:t>
      </w:r>
      <w:r>
        <w:rPr>
          <w:rFonts w:hint="eastAsia" w:ascii="仿宋_GB2312" w:eastAsia="仿宋_GB2312"/>
          <w:color w:val="auto"/>
          <w:sz w:val="32"/>
          <w:szCs w:val="32"/>
          <w:lang w:val="en-US" w:eastAsia="zh-CN"/>
        </w:rPr>
        <w:t>3391</w:t>
      </w:r>
      <w:r>
        <w:rPr>
          <w:rFonts w:hint="eastAsia" w:ascii="仿宋_GB2312" w:eastAsia="仿宋_GB2312"/>
          <w:bCs/>
          <w:color w:val="auto"/>
          <w:sz w:val="32"/>
          <w:szCs w:val="32"/>
        </w:rPr>
        <w:t>人</w:t>
      </w:r>
      <w:r>
        <w:rPr>
          <w:rFonts w:hint="eastAsia" w:ascii="仿宋_GB2312" w:eastAsia="仿宋_GB2312"/>
          <w:bCs/>
          <w:color w:val="auto"/>
          <w:sz w:val="32"/>
          <w:szCs w:val="32"/>
          <w:lang w:eastAsia="zh-CN"/>
        </w:rPr>
        <w:t>次。</w:t>
      </w:r>
      <w:r>
        <w:rPr>
          <w:rFonts w:hint="eastAsia" w:ascii="仿宋_GB2312" w:eastAsia="仿宋_GB2312"/>
          <w:color w:val="auto"/>
          <w:sz w:val="32"/>
          <w:szCs w:val="32"/>
        </w:rPr>
        <w:t>完成送课上门</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场，培训</w:t>
      </w:r>
      <w:r>
        <w:rPr>
          <w:rFonts w:hint="eastAsia" w:ascii="仿宋_GB2312" w:eastAsia="仿宋_GB2312"/>
          <w:color w:val="auto"/>
          <w:sz w:val="32"/>
          <w:szCs w:val="32"/>
          <w:lang w:val="en-US" w:eastAsia="zh-CN"/>
        </w:rPr>
        <w:t>4051</w:t>
      </w:r>
      <w:r>
        <w:rPr>
          <w:rFonts w:hint="eastAsia" w:ascii="仿宋_GB2312" w:eastAsia="仿宋_GB2312"/>
          <w:color w:val="auto"/>
          <w:sz w:val="32"/>
          <w:szCs w:val="32"/>
        </w:rPr>
        <w:t>人次</w:t>
      </w:r>
      <w:r>
        <w:rPr>
          <w:rFonts w:hint="eastAsia" w:ascii="仿宋_GB2312" w:eastAsia="仿宋_GB2312"/>
          <w:color w:val="auto"/>
          <w:sz w:val="32"/>
          <w:szCs w:val="32"/>
          <w:lang w:eastAsia="zh-CN"/>
        </w:rPr>
        <w:t>，包括</w:t>
      </w:r>
      <w:r>
        <w:rPr>
          <w:rFonts w:hint="eastAsia" w:ascii="仿宋_GB2312" w:eastAsia="仿宋_GB2312"/>
          <w:color w:val="auto"/>
          <w:sz w:val="32"/>
          <w:szCs w:val="32"/>
          <w:lang w:val="en-US" w:eastAsia="zh-CN"/>
        </w:rPr>
        <w:t>县直各单位11场1989人次、乡镇及村委3场265人次、企业（学校）3场412人次，异地送课9场1385人次。</w:t>
      </w:r>
      <w:r>
        <w:rPr>
          <w:rFonts w:hint="eastAsia" w:ascii="仿宋_GB2312" w:hAnsi="宋体" w:eastAsia="仿宋_GB2312" w:cs="宋体"/>
          <w:color w:val="auto"/>
          <w:kern w:val="0"/>
          <w:sz w:val="32"/>
          <w:szCs w:val="32"/>
          <w:lang w:eastAsia="zh-CN"/>
        </w:rPr>
        <w:t>协助</w:t>
      </w:r>
      <w:r>
        <w:rPr>
          <w:rFonts w:hint="eastAsia" w:ascii="仿宋_GB2312" w:hAnsi="宋体" w:eastAsia="仿宋_GB2312" w:cs="宋体"/>
          <w:color w:val="auto"/>
          <w:kern w:val="0"/>
          <w:sz w:val="32"/>
          <w:szCs w:val="32"/>
        </w:rPr>
        <w:t>完成云南省时代前沿知识讲座</w:t>
      </w:r>
      <w:r>
        <w:rPr>
          <w:rFonts w:hint="eastAsia" w:ascii="仿宋_GB2312" w:eastAsia="仿宋_GB2312"/>
          <w:color w:val="auto"/>
          <w:sz w:val="32"/>
          <w:szCs w:val="32"/>
        </w:rPr>
        <w:t>领导干部集体学习</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次</w:t>
      </w:r>
      <w:r>
        <w:rPr>
          <w:rFonts w:hint="eastAsia" w:ascii="仿宋_GB2312" w:eastAsia="仿宋_GB2312"/>
          <w:color w:val="auto"/>
          <w:sz w:val="32"/>
          <w:szCs w:val="32"/>
          <w:lang w:val="en-US" w:eastAsia="zh-CN"/>
        </w:rPr>
        <w:t>846</w:t>
      </w:r>
      <w:r>
        <w:rPr>
          <w:rFonts w:hint="eastAsia" w:ascii="仿宋_GB2312" w:eastAsia="仿宋_GB2312"/>
          <w:color w:val="auto"/>
          <w:sz w:val="32"/>
          <w:szCs w:val="32"/>
        </w:rPr>
        <w:t>人次。</w:t>
      </w:r>
      <w:r>
        <w:rPr>
          <w:rFonts w:hint="eastAsia" w:ascii="仿宋_GB2312" w:eastAsia="仿宋_GB2312"/>
          <w:color w:val="auto"/>
          <w:sz w:val="32"/>
          <w:szCs w:val="32"/>
          <w:lang w:eastAsia="zh-CN"/>
        </w:rPr>
        <w:t>开展</w:t>
      </w:r>
      <w:r>
        <w:rPr>
          <w:rFonts w:hint="eastAsia" w:ascii="仿宋_GB2312" w:eastAsia="仿宋_GB2312"/>
          <w:bCs/>
          <w:color w:val="000000"/>
          <w:sz w:val="32"/>
          <w:szCs w:val="32"/>
          <w:lang w:eastAsia="zh-CN"/>
        </w:rPr>
        <w:t>党的二十届三中全会精神</w:t>
      </w:r>
      <w:r>
        <w:rPr>
          <w:rFonts w:hint="eastAsia" w:ascii="仿宋_GB2312" w:eastAsia="仿宋_GB2312"/>
          <w:bCs/>
          <w:color w:val="000000"/>
          <w:sz w:val="32"/>
          <w:szCs w:val="32"/>
        </w:rPr>
        <w:t>宣讲</w:t>
      </w:r>
      <w:r>
        <w:rPr>
          <w:rFonts w:hint="eastAsia" w:ascii="仿宋_GB2312" w:eastAsia="仿宋_GB2312"/>
          <w:bCs/>
          <w:color w:val="000000"/>
          <w:sz w:val="32"/>
          <w:szCs w:val="32"/>
          <w:lang w:eastAsia="zh-CN"/>
        </w:rPr>
        <w:t>13场</w:t>
      </w:r>
      <w:r>
        <w:rPr>
          <w:rFonts w:hint="eastAsia" w:ascii="仿宋_GB2312" w:eastAsia="仿宋_GB2312"/>
          <w:bCs/>
          <w:color w:val="000000"/>
          <w:sz w:val="32"/>
          <w:szCs w:val="32"/>
          <w:lang w:val="en-US" w:eastAsia="zh-CN"/>
        </w:rPr>
        <w:t>783</w:t>
      </w:r>
      <w:r>
        <w:rPr>
          <w:rFonts w:hint="eastAsia" w:ascii="仿宋_GB2312" w:eastAsia="仿宋_GB2312"/>
          <w:bCs/>
          <w:color w:val="000000"/>
          <w:sz w:val="32"/>
          <w:szCs w:val="32"/>
          <w:lang w:eastAsia="zh-CN"/>
        </w:rPr>
        <w:t>人。</w:t>
      </w:r>
      <w:r>
        <w:rPr>
          <w:rFonts w:hint="eastAsia" w:ascii="仿宋_GB2312" w:hAnsi="宋体" w:eastAsia="仿宋_GB2312" w:cs="宋体"/>
          <w:kern w:val="0"/>
          <w:sz w:val="32"/>
          <w:szCs w:val="32"/>
          <w:lang w:val="en-US" w:eastAsia="zh-CN"/>
        </w:rPr>
        <w:t>秋季学期招录新生88人，分为3个班级：农村行政管理（初起专）5年制、农村行政管理（高起专）3年制、农林经济管理（专升本）3年制。全部新生已完成报名并全部被云南开放大学录取。</w:t>
      </w:r>
    </w:p>
    <w:p w14:paraId="3707558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val="0"/>
          <w:bCs w:val="0"/>
          <w:color w:val="auto"/>
          <w:sz w:val="32"/>
          <w:szCs w:val="32"/>
          <w:lang w:val="en-US" w:eastAsia="zh-CN"/>
        </w:rPr>
        <w:t>（二）实现学历教育再次起步。</w:t>
      </w:r>
      <w:r>
        <w:rPr>
          <w:rStyle w:val="13"/>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承接云南开发大学的教学任务，主要对象是村（社区）干部，目前有8个班359名学员在读。今年春季学期新招录学员89名，其中专升本（三年制）农林经济管理46人，高起专（三年制）行政管理（农村行政管理方向）28人，初起专（5年制）行政管理（农村行政管理方向）15人。课程分为专业能力课、文化基础课、履职能力课、政治理论课和综合实践课，本科专业有27门课程，专科专业分别有26、30和39门课程。师资方面，设有项目管理员3人，课程辅导教师27人，综合实践教学指导教师4人。教学组织管理方面，通过“四个课堂”即空中课堂（线上学习）、固定课堂（面授辅导）、流动课堂（小组交流讨论）、田间课堂（实践教学基地参观学习），</w:t>
      </w:r>
      <w:r>
        <w:rPr>
          <w:rFonts w:hint="eastAsia" w:ascii="Times New Roman" w:hAnsi="Times New Roman" w:eastAsia="仿宋_GB2312" w:cs="Times New Roman"/>
          <w:color w:val="000000"/>
          <w:sz w:val="32"/>
          <w:szCs w:val="32"/>
          <w:lang w:val="en-US" w:eastAsia="zh-CN"/>
        </w:rPr>
        <w:t>不断搭建适合农村基层干部的学习机制。</w:t>
      </w:r>
    </w:p>
    <w:p w14:paraId="54415D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强化</w:t>
      </w:r>
      <w:r>
        <w:rPr>
          <w:rFonts w:hint="default" w:ascii="Times New Roman" w:hAnsi="Times New Roman" w:eastAsia="楷体_GB2312" w:cs="Times New Roman"/>
          <w:sz w:val="32"/>
          <w:szCs w:val="32"/>
        </w:rPr>
        <w:t>科研资政</w:t>
      </w:r>
      <w:r>
        <w:rPr>
          <w:rFonts w:hint="eastAsia" w:ascii="Times New Roman" w:hAnsi="Times New Roman" w:eastAsia="楷体_GB2312" w:cs="Times New Roman"/>
          <w:sz w:val="32"/>
          <w:szCs w:val="32"/>
          <w:lang w:eastAsia="zh-CN"/>
        </w:rPr>
        <w:t>能力建设。</w:t>
      </w:r>
      <w:r>
        <w:rPr>
          <w:rStyle w:val="13"/>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围绕干部培训目标，推动课程体系建设，在现有课程基础上，规划马克思主义理论等5大板块167门课程，其中本校课程110门。发挥寻甸特有资源优势，形成红色党性教育、绿色生态产业、乡村振兴等优质现场教学线路4条。聚焦课程体系需要，</w:t>
      </w:r>
      <w:r>
        <w:rPr>
          <w:rFonts w:hint="eastAsia" w:ascii="仿宋_GB2312" w:hAnsi="仿宋_GB2312" w:eastAsia="仿宋_GB2312" w:cs="仿宋_GB2312"/>
          <w:kern w:val="2"/>
          <w:sz w:val="32"/>
          <w:szCs w:val="32"/>
          <w:lang w:val="en-US" w:eastAsia="zh-CN" w:bidi="ar-SA"/>
        </w:rPr>
        <w:t>构建以习近平新时代中国特色社会主义思想为中心内容的马克思主义理论学科，以党史党建为主要内容的党性教育学科，以统战和文化、公共管理和县域经济为特色的3个履职能力学科。</w:t>
      </w:r>
      <w:r>
        <w:rPr>
          <w:rFonts w:hint="eastAsia" w:ascii="仿宋_GB2312" w:hAnsi="仿宋_GB2312" w:eastAsia="仿宋_GB2312" w:cs="仿宋_GB2312"/>
          <w:i w:val="0"/>
          <w:caps w:val="0"/>
          <w:color w:val="auto"/>
          <w:spacing w:val="0"/>
          <w:sz w:val="32"/>
          <w:szCs w:val="32"/>
          <w:shd w:val="clear" w:color="auto" w:fill="FFFFFF"/>
          <w:lang w:val="en-US" w:eastAsia="zh-CN"/>
        </w:rPr>
        <w:t>明确各学科组负责人及成员，</w:t>
      </w:r>
      <w:r>
        <w:rPr>
          <w:rFonts w:hint="eastAsia" w:ascii="仿宋_GB2312" w:hAnsi="仿宋_GB2312" w:eastAsia="仿宋_GB2312" w:cs="仿宋_GB2312"/>
          <w:kern w:val="2"/>
          <w:sz w:val="32"/>
          <w:szCs w:val="32"/>
          <w:lang w:val="en-US" w:eastAsia="zh-CN" w:bidi="ar-SA"/>
        </w:rPr>
        <w:t>推动学科建设起步前行。认真</w:t>
      </w:r>
      <w:r>
        <w:rPr>
          <w:rFonts w:hint="eastAsia" w:ascii="Times New Roman" w:hAnsi="Times New Roman" w:eastAsia="仿宋_GB2312" w:cs="Times New Roman"/>
          <w:sz w:val="32"/>
          <w:szCs w:val="32"/>
          <w:lang w:val="en-US" w:eastAsia="zh-CN"/>
        </w:rPr>
        <w:t>开展集体备课、课程体系建设研讨、新课试讲及说课等教研活动9场次，</w:t>
      </w:r>
      <w:r>
        <w:rPr>
          <w:rFonts w:hint="default" w:ascii="Times New Roman" w:hAnsi="Times New Roman" w:eastAsia="仿宋_GB2312" w:cs="Times New Roman"/>
          <w:sz w:val="32"/>
          <w:szCs w:val="32"/>
        </w:rPr>
        <w:t>完成课题申报</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个，获得立项</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个，其中省委党校</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市委党校</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w:t>
      </w:r>
      <w:r>
        <w:rPr>
          <w:rFonts w:hint="eastAsia" w:ascii="Times New Roman" w:hAnsi="Times New Roman" w:eastAsia="仿宋_GB2312" w:cs="Times New Roman"/>
          <w:sz w:val="32"/>
          <w:szCs w:val="32"/>
          <w:lang w:eastAsia="zh-CN"/>
        </w:rPr>
        <w:t>。积极接入优质教学资源，与华理马克思主义学院顺利签订共建协议，与市委党校民族文化和统战教研部形成结对帮扶关系。</w:t>
      </w:r>
      <w:r>
        <w:rPr>
          <w:rFonts w:hint="eastAsia" w:ascii="Times New Roman" w:hAnsi="Times New Roman" w:eastAsia="仿宋_GB2312" w:cs="Times New Roman"/>
          <w:sz w:val="32"/>
          <w:szCs w:val="32"/>
          <w:lang w:val="en-US" w:eastAsia="zh-CN"/>
        </w:rPr>
        <w:t>健全教学组织管理机制，围绕办学重要环节，建立教学管理、外聘教师管理、学员管理等制度措施6项，推动教育培训工作制度化、规范化和科学化。</w:t>
      </w:r>
    </w:p>
    <w:p w14:paraId="43990D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抓好全面从严治党和各项考核任务落</w:t>
      </w:r>
      <w:r>
        <w:rPr>
          <w:rFonts w:hint="eastAsia" w:ascii="Times New Roman" w:hAnsi="Times New Roman" w:eastAsia="仿宋_GB2312" w:cs="Times New Roman"/>
          <w:sz w:val="32"/>
          <w:szCs w:val="32"/>
          <w:lang w:eastAsia="zh-CN"/>
        </w:rPr>
        <w:t>实。一是</w:t>
      </w:r>
      <w:r>
        <w:rPr>
          <w:rFonts w:hint="default" w:ascii="Times New Roman" w:hAnsi="Times New Roman" w:eastAsia="仿宋_GB2312" w:cs="Times New Roman"/>
          <w:sz w:val="32"/>
          <w:szCs w:val="32"/>
          <w:lang w:eastAsia="zh-CN"/>
        </w:rPr>
        <w:t>“当好排头兵”大讨论大竞赛活动</w:t>
      </w:r>
      <w:r>
        <w:rPr>
          <w:rFonts w:hint="eastAsia" w:ascii="Times New Roman" w:hAnsi="Times New Roman" w:eastAsia="仿宋_GB2312" w:cs="Times New Roman"/>
          <w:sz w:val="32"/>
          <w:szCs w:val="32"/>
          <w:lang w:eastAsia="zh-CN"/>
        </w:rPr>
        <w:t>方面</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结合</w:t>
      </w:r>
      <w:r>
        <w:rPr>
          <w:rFonts w:hint="default" w:ascii="Times New Roman" w:hAnsi="Times New Roman" w:eastAsia="仿宋_GB2312" w:cs="Times New Roman"/>
          <w:sz w:val="32"/>
          <w:szCs w:val="32"/>
          <w:lang w:eastAsia="zh-CN"/>
        </w:rPr>
        <w:t>干部队伍“作风能力提升年”活动要求，县委党校制定《教职工“岗位大练兵、业务大比武”活动实施方案（试行）》，让县委党校全体教职工在“学”中掌握政策方法，在“练”中提升工作能力，在“比”中检视工作成效、交流经验做法，从而实现稳步提高专业素质、有效提升工作效率、切实转变工作作风等目标。</w:t>
      </w:r>
      <w:r>
        <w:rPr>
          <w:rFonts w:hint="eastAsia" w:ascii="Times New Roman" w:hAnsi="Times New Roman" w:eastAsia="仿宋_GB2312" w:cs="Times New Roman"/>
          <w:sz w:val="32"/>
          <w:szCs w:val="32"/>
          <w:lang w:eastAsia="zh-CN"/>
        </w:rPr>
        <w:t>积极报送信息，征求</w:t>
      </w:r>
      <w:r>
        <w:rPr>
          <w:rFonts w:hint="default" w:ascii="Times New Roman" w:hAnsi="Times New Roman" w:eastAsia="仿宋_GB2312" w:cs="Times New Roman"/>
          <w:sz w:val="32"/>
          <w:szCs w:val="32"/>
          <w:lang w:eastAsia="zh-CN"/>
        </w:rPr>
        <w:t>工作成效突出被选树为正面典型</w:t>
      </w:r>
      <w:r>
        <w:rPr>
          <w:rFonts w:hint="eastAsia"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lang w:eastAsia="zh-CN"/>
        </w:rPr>
        <w:t>党风廉政建设</w:t>
      </w:r>
      <w:r>
        <w:rPr>
          <w:rFonts w:hint="eastAsia" w:ascii="Times New Roman" w:hAnsi="Times New Roman" w:eastAsia="仿宋_GB2312" w:cs="Times New Roman"/>
          <w:sz w:val="32"/>
          <w:szCs w:val="32"/>
          <w:lang w:eastAsia="zh-CN"/>
        </w:rPr>
        <w:t>方面</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召开党风廉政专题会议2次，研究部署党风廉政</w:t>
      </w:r>
      <w:r>
        <w:rPr>
          <w:rFonts w:hint="eastAsia" w:ascii="仿宋_GB2312" w:hAnsi="仿宋" w:eastAsia="仿宋_GB2312" w:cs="Times New Roman"/>
          <w:sz w:val="32"/>
          <w:szCs w:val="32"/>
          <w:lang w:val="en-US" w:eastAsia="zh-CN"/>
        </w:rPr>
        <w:t>工作中的重要问题，并结合单位实际深刻分析研判政治生态环境。做好党风廉政建设和反腐败工作主要任务分解，制定了分解方案并以党校红头文件下发。开展宣传教育7场次，其中警示教育4场次，家庭家教家风宣传教育1次。党支部书记、副书记讲授党风廉政建设专题党课2场次。开展谈话提醒3人次。抓好中央八项规定落实，按照市、县相关规定做好受处分人员教育管理工作。三是机关</w:t>
      </w:r>
      <w:r>
        <w:rPr>
          <w:rFonts w:hint="default" w:ascii="仿宋_GB2312" w:hAnsi="仿宋" w:eastAsia="仿宋_GB2312" w:cs="Times New Roman"/>
          <w:sz w:val="32"/>
          <w:szCs w:val="32"/>
          <w:lang w:val="en-US" w:eastAsia="zh-CN"/>
        </w:rPr>
        <w:t>党建</w:t>
      </w:r>
      <w:r>
        <w:rPr>
          <w:rFonts w:hint="eastAsia" w:ascii="仿宋_GB2312" w:hAnsi="仿宋" w:eastAsia="仿宋_GB2312" w:cs="Times New Roman"/>
          <w:sz w:val="32"/>
          <w:szCs w:val="32"/>
          <w:lang w:val="en-US" w:eastAsia="zh-CN"/>
        </w:rPr>
        <w:t>方面</w:t>
      </w:r>
      <w:r>
        <w:rPr>
          <w:rFonts w:hint="default" w:ascii="仿宋_GB2312" w:hAnsi="仿宋" w:eastAsia="仿宋_GB2312" w:cs="Times New Roman"/>
          <w:sz w:val="32"/>
          <w:szCs w:val="32"/>
          <w:lang w:val="en-US" w:eastAsia="zh-CN"/>
        </w:rPr>
        <w:t>。推动党纪学习教育走深走实</w:t>
      </w:r>
      <w:r>
        <w:rPr>
          <w:rFonts w:hint="eastAsia" w:ascii="仿宋_GB2312" w:hAnsi="仿宋" w:eastAsia="仿宋_GB2312" w:cs="Times New Roman"/>
          <w:sz w:val="32"/>
          <w:szCs w:val="32"/>
          <w:lang w:val="en-US" w:eastAsia="zh-CN"/>
        </w:rPr>
        <w:t>，</w:t>
      </w:r>
      <w:r>
        <w:rPr>
          <w:rFonts w:hint="default" w:ascii="仿宋_GB2312" w:hAnsi="仿宋" w:eastAsia="仿宋_GB2312" w:cs="Times New Roman"/>
          <w:sz w:val="32"/>
          <w:szCs w:val="32"/>
          <w:lang w:val="en-US" w:eastAsia="zh-CN"/>
        </w:rPr>
        <w:t>通过“三会一课”开展党纪学习教育2次，党支部书记讲授党纪学习教育专题党课2次。严格落实“第一议题”制度，共召开支委会10次，党员大会8次，讲授专题党课3次，开展主题党日活动10次。组织开展党建带妇建、带工建活动2次，入村开展志愿服务活动4次，春节慰问老党员2人次</w:t>
      </w:r>
      <w:r>
        <w:rPr>
          <w:rFonts w:hint="eastAsia" w:ascii="仿宋_GB2312" w:hAnsi="仿宋" w:eastAsia="仿宋_GB2312" w:cs="Times New Roman"/>
          <w:sz w:val="32"/>
          <w:szCs w:val="32"/>
          <w:lang w:val="en-US" w:eastAsia="zh-CN"/>
        </w:rPr>
        <w:t>。四是</w:t>
      </w:r>
      <w:r>
        <w:rPr>
          <w:rFonts w:hint="default" w:ascii="仿宋_GB2312" w:hAnsi="仿宋" w:eastAsia="仿宋_GB2312" w:cs="Times New Roman"/>
          <w:sz w:val="32"/>
          <w:szCs w:val="32"/>
          <w:lang w:val="en-US" w:eastAsia="zh-CN"/>
        </w:rPr>
        <w:t>意识形态工作</w:t>
      </w:r>
      <w:r>
        <w:rPr>
          <w:rFonts w:hint="eastAsia" w:ascii="仿宋_GB2312" w:hAnsi="仿宋" w:eastAsia="仿宋_GB2312" w:cs="Times New Roman"/>
          <w:sz w:val="32"/>
          <w:szCs w:val="32"/>
          <w:lang w:val="en-US" w:eastAsia="zh-CN"/>
        </w:rPr>
        <w:t>方面</w:t>
      </w:r>
      <w:r>
        <w:rPr>
          <w:rFonts w:hint="default" w:ascii="仿宋_GB2312" w:hAnsi="仿宋" w:eastAsia="仿宋_GB2312" w:cs="Times New Roman"/>
          <w:sz w:val="32"/>
          <w:szCs w:val="32"/>
          <w:lang w:val="en-US" w:eastAsia="zh-CN"/>
        </w:rPr>
        <w:t>。</w:t>
      </w:r>
      <w:r>
        <w:rPr>
          <w:rFonts w:hint="eastAsia" w:ascii="仿宋_GB2312" w:hAnsi="仿宋" w:eastAsia="仿宋_GB2312" w:cs="Times New Roman"/>
          <w:sz w:val="32"/>
          <w:szCs w:val="32"/>
          <w:lang w:val="en-US" w:eastAsia="zh-CN"/>
        </w:rPr>
        <w:t>加强对习近平新时代中国特色社会主义思想的学习研究，构建以习近平新时代中国特色社会主义思想为中心内容的马克思主义理论学科，持续强化理论工作。严把教师政治关，县委组织部和县委党校联发《关于建立寻甸县党员干部教育培训师资库的通知》，严格按照入选师资库的基本条件、核心条件审核把关，推选一批素质优良、经验丰富的师资队伍，确保党校课堂质量。与外请外聘教师签订《严格遵守“十严禁”政治纪律承诺书》，维护课堂政治纪律。每季度都要开展新课试讲，开展“课件净化”专项行动，排查课件6050页、讲稿96.6万字，认真审查教师讲稿和课件，确保党校课堂符合纪律规矩。五是统一战线和民族宗教</w:t>
      </w:r>
      <w:r>
        <w:rPr>
          <w:rFonts w:hint="default" w:ascii="仿宋_GB2312" w:hAnsi="仿宋" w:eastAsia="仿宋_GB2312" w:cs="Times New Roman"/>
          <w:sz w:val="32"/>
          <w:szCs w:val="32"/>
          <w:lang w:val="en-US" w:eastAsia="zh-CN"/>
        </w:rPr>
        <w:t>工作</w:t>
      </w:r>
      <w:r>
        <w:rPr>
          <w:rFonts w:hint="eastAsia" w:ascii="仿宋_GB2312" w:hAnsi="仿宋" w:eastAsia="仿宋_GB2312" w:cs="Times New Roman"/>
          <w:sz w:val="32"/>
          <w:szCs w:val="32"/>
          <w:lang w:val="en-US" w:eastAsia="zh-CN"/>
        </w:rPr>
        <w:t>方面</w:t>
      </w:r>
      <w:r>
        <w:rPr>
          <w:rFonts w:hint="default" w:ascii="仿宋_GB2312" w:hAnsi="仿宋" w:eastAsia="仿宋_GB2312" w:cs="Times New Roman"/>
          <w:sz w:val="32"/>
          <w:szCs w:val="32"/>
          <w:lang w:val="en-US" w:eastAsia="zh-CN"/>
        </w:rPr>
        <w:t>。专题研究本单位、本部门统战工作2次，开展统一战线领域意识形态工作进行分析研判2次。</w:t>
      </w:r>
      <w:r>
        <w:rPr>
          <w:rFonts w:hint="eastAsia" w:ascii="仿宋_GB2312" w:hAnsi="仿宋" w:eastAsia="仿宋_GB2312" w:cs="Times New Roman"/>
          <w:sz w:val="32"/>
          <w:szCs w:val="32"/>
          <w:lang w:val="en-US" w:eastAsia="zh-CN"/>
        </w:rPr>
        <w:t>将统战和民宗纳入学习、培训工作计划</w:t>
      </w:r>
      <w:r>
        <w:rPr>
          <w:rFonts w:hint="eastAsia" w:ascii="仿宋" w:hAnsi="仿宋" w:eastAsia="仿宋"/>
          <w:sz w:val="32"/>
          <w:szCs w:val="32"/>
        </w:rPr>
        <w:t>和党政领导班子年度考核，开展了1次统战和民宗理论政策中心组专题学习，开展了1期基层统战联络员培训班。</w:t>
      </w:r>
      <w:r>
        <w:rPr>
          <w:rFonts w:hint="eastAsia" w:ascii="仿宋_GB2312" w:hAnsi="仿宋" w:eastAsia="仿宋_GB2312"/>
          <w:sz w:val="32"/>
          <w:szCs w:val="32"/>
        </w:rPr>
        <w:t>开展“民营企业进机关”活动 2次，加</w:t>
      </w:r>
      <w:r>
        <w:rPr>
          <w:rFonts w:hint="eastAsia" w:ascii="仿宋_GB2312" w:hAnsi="仿宋" w:eastAsia="仿宋_GB2312" w:cs="Times New Roman"/>
          <w:sz w:val="32"/>
          <w:szCs w:val="32"/>
          <w:lang w:val="en-US" w:eastAsia="zh-CN"/>
        </w:rPr>
        <w:t>强与无党派人士和党外知识分子联系交流，开展谈心谈话1次。六是平安寻甸建设及</w:t>
      </w:r>
      <w:r>
        <w:rPr>
          <w:rFonts w:hint="default" w:ascii="仿宋_GB2312" w:hAnsi="仿宋" w:eastAsia="仿宋_GB2312" w:cs="Times New Roman"/>
          <w:sz w:val="32"/>
          <w:szCs w:val="32"/>
          <w:lang w:val="en-US" w:eastAsia="zh-CN"/>
        </w:rPr>
        <w:t>法治建设工作</w:t>
      </w:r>
      <w:r>
        <w:rPr>
          <w:rFonts w:hint="eastAsia" w:ascii="仿宋_GB2312" w:hAnsi="仿宋" w:eastAsia="仿宋_GB2312" w:cs="Times New Roman"/>
          <w:sz w:val="32"/>
          <w:szCs w:val="32"/>
          <w:lang w:val="en-US" w:eastAsia="zh-CN"/>
        </w:rPr>
        <w:t>方面</w:t>
      </w:r>
      <w:r>
        <w:rPr>
          <w:rFonts w:hint="default" w:ascii="仿宋_GB2312" w:hAnsi="仿宋" w:eastAsia="仿宋_GB2312" w:cs="Times New Roman"/>
          <w:sz w:val="32"/>
          <w:szCs w:val="32"/>
          <w:lang w:val="en-US" w:eastAsia="zh-CN"/>
        </w:rPr>
        <w:t>。</w:t>
      </w:r>
      <w:r>
        <w:rPr>
          <w:rFonts w:hint="eastAsia" w:ascii="仿宋_GB2312" w:hAnsi="仿宋" w:eastAsia="仿宋_GB2312" w:cs="Times New Roman"/>
          <w:sz w:val="32"/>
          <w:szCs w:val="32"/>
          <w:lang w:val="en-US" w:eastAsia="zh-CN"/>
        </w:rPr>
        <w:t>开展</w:t>
      </w:r>
      <w:r>
        <w:rPr>
          <w:rFonts w:hint="default" w:ascii="仿宋_GB2312" w:hAnsi="仿宋" w:eastAsia="仿宋_GB2312" w:cs="Times New Roman"/>
          <w:sz w:val="32"/>
          <w:szCs w:val="32"/>
          <w:lang w:val="en-US" w:eastAsia="zh-CN"/>
        </w:rPr>
        <w:t>《中国共产党纪律处分条例》</w:t>
      </w:r>
      <w:r>
        <w:rPr>
          <w:rFonts w:hint="eastAsia" w:ascii="仿宋_GB2312" w:hAnsi="仿宋" w:eastAsia="仿宋_GB2312" w:cs="Times New Roman"/>
          <w:sz w:val="32"/>
          <w:szCs w:val="32"/>
          <w:lang w:val="en-US" w:eastAsia="zh-CN"/>
        </w:rPr>
        <w:t>专题培训6期，开设了《推进信访工作法制化》《统计法律法规讲解》等法律法规专题课。七是其他工作方面。</w:t>
      </w:r>
      <w:r>
        <w:rPr>
          <w:rFonts w:hint="default" w:ascii="仿宋_GB2312" w:hAnsi="仿宋" w:eastAsia="仿宋_GB2312" w:cs="Times New Roman"/>
          <w:sz w:val="32"/>
          <w:szCs w:val="32"/>
          <w:lang w:val="en-US" w:eastAsia="zh-CN"/>
        </w:rPr>
        <w:t>收集整理上报县简报信息</w:t>
      </w:r>
      <w:r>
        <w:rPr>
          <w:rFonts w:hint="eastAsia" w:ascii="仿宋_GB2312" w:hAnsi="仿宋" w:eastAsia="仿宋_GB2312" w:cs="Times New Roman"/>
          <w:sz w:val="32"/>
          <w:szCs w:val="32"/>
          <w:lang w:val="en-US" w:eastAsia="zh-CN"/>
        </w:rPr>
        <w:t>35</w:t>
      </w:r>
      <w:r>
        <w:rPr>
          <w:rFonts w:hint="default" w:ascii="仿宋_GB2312" w:hAnsi="仿宋" w:eastAsia="仿宋_GB2312" w:cs="Times New Roman"/>
          <w:sz w:val="32"/>
          <w:szCs w:val="32"/>
          <w:lang w:val="en-US" w:eastAsia="zh-CN"/>
        </w:rPr>
        <w:t>篇，问题类信息上报6篇，其中县委信息约稿2篇，被县委信息科采用4篇，被市委采用2篇</w:t>
      </w:r>
      <w:r>
        <w:rPr>
          <w:rFonts w:hint="eastAsia" w:ascii="仿宋_GB2312" w:hAnsi="仿宋" w:eastAsia="仿宋_GB2312" w:cs="Times New Roman"/>
          <w:sz w:val="32"/>
          <w:szCs w:val="32"/>
          <w:lang w:val="en-US" w:eastAsia="zh-CN"/>
        </w:rPr>
        <w:t>。</w:t>
      </w:r>
      <w:r>
        <w:rPr>
          <w:rFonts w:hint="default" w:ascii="仿宋_GB2312" w:hAnsi="仿宋" w:eastAsia="仿宋_GB2312" w:cs="Times New Roman"/>
          <w:sz w:val="32"/>
          <w:szCs w:val="32"/>
          <w:lang w:val="en-US" w:eastAsia="zh-CN"/>
        </w:rPr>
        <w:t>安排2名驻村队员到党校挂钩联系点羊街镇大刘所进行驻村帮扶</w:t>
      </w:r>
      <w:r>
        <w:rPr>
          <w:rFonts w:hint="eastAsia" w:ascii="仿宋_GB2312" w:hAnsi="仿宋" w:eastAsia="仿宋_GB2312" w:cs="Times New Roman"/>
          <w:sz w:val="32"/>
          <w:szCs w:val="32"/>
          <w:lang w:val="en-US" w:eastAsia="zh-CN"/>
        </w:rPr>
        <w:t>。</w:t>
      </w:r>
      <w:r>
        <w:rPr>
          <w:rFonts w:hint="default" w:ascii="仿宋_GB2312" w:hAnsi="仿宋" w:eastAsia="仿宋_GB2312" w:cs="Times New Roman"/>
          <w:sz w:val="32"/>
          <w:szCs w:val="32"/>
          <w:lang w:val="en-US" w:eastAsia="zh-CN"/>
        </w:rPr>
        <w:t>领导班子分批带队到大刘所村开展“河</w:t>
      </w:r>
      <w:r>
        <w:rPr>
          <w:rFonts w:hint="default" w:ascii="Times New Roman" w:hAnsi="Times New Roman" w:eastAsia="仿宋_GB2312" w:cs="Times New Roman"/>
          <w:sz w:val="32"/>
          <w:szCs w:val="32"/>
        </w:rPr>
        <w:t>长清河”专项行动3次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推荐上报4名教师作为家庭教育讲师团的补充力量，助力家庭教育工作纵深发展。</w:t>
      </w:r>
      <w:r>
        <w:rPr>
          <w:rFonts w:hint="default" w:ascii="Times New Roman" w:hAnsi="Times New Roman" w:eastAsia="仿宋_GB2312" w:cs="Times New Roman"/>
          <w:sz w:val="32"/>
          <w:szCs w:val="32"/>
        </w:rPr>
        <w:t>全面做好深化改革工作，积极开拓创新，按照目标任务，制定党校深化改革总体思路及重点改革事项，</w:t>
      </w:r>
      <w:r>
        <w:rPr>
          <w:rFonts w:hint="eastAsia" w:ascii="Times New Roman" w:hAnsi="Times New Roman" w:eastAsia="仿宋_GB2312" w:cs="Times New Roman"/>
          <w:sz w:val="32"/>
          <w:szCs w:val="32"/>
          <w:lang w:eastAsia="zh-CN"/>
        </w:rPr>
        <w:t>深入</w:t>
      </w:r>
      <w:r>
        <w:rPr>
          <w:rFonts w:hint="default" w:ascii="Times New Roman" w:hAnsi="Times New Roman" w:eastAsia="仿宋_GB2312" w:cs="Times New Roman"/>
          <w:sz w:val="32"/>
          <w:szCs w:val="32"/>
        </w:rPr>
        <w:t>开展调查研究</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，及时上报信息，全面抓好深化改革各项工作。</w:t>
      </w:r>
    </w:p>
    <w:p w14:paraId="1204146D">
      <w:pPr>
        <w:numPr>
          <w:ilvl w:val="0"/>
          <w:numId w:val="1"/>
        </w:numPr>
        <w:spacing w:line="560" w:lineRule="exact"/>
        <w:ind w:firstLine="640" w:firstLineChars="200"/>
        <w:jc w:val="left"/>
        <w:rPr>
          <w:rFonts w:hint="eastAsia" w:ascii="楷体_GB2312" w:hAnsi="宋体" w:eastAsia="楷体_GB2312" w:cs="宋体"/>
          <w:highlight w:val="none"/>
        </w:rPr>
      </w:pPr>
      <w:r>
        <w:rPr>
          <w:rFonts w:hint="eastAsia" w:ascii="楷体_GB2312" w:hAnsi="宋体" w:eastAsia="楷体_GB2312" w:cs="宋体"/>
          <w:highlight w:val="none"/>
        </w:rPr>
        <w:t>部门管理制度</w:t>
      </w:r>
    </w:p>
    <w:p w14:paraId="3E24A4E7">
      <w:pPr>
        <w:pStyle w:val="4"/>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 w:eastAsia="仿宋_GB2312" w:cs="宋体"/>
          <w:color w:val="0E0C15"/>
          <w:kern w:val="2"/>
          <w:sz w:val="32"/>
          <w:szCs w:val="32"/>
          <w:lang w:val="en-US" w:eastAsia="zh-CN" w:bidi="ar-SA"/>
        </w:rPr>
      </w:pPr>
      <w:r>
        <w:rPr>
          <w:rFonts w:hint="eastAsia" w:ascii="仿宋_GB2312" w:hAnsi="仿宋" w:eastAsia="仿宋_GB2312" w:cs="宋体"/>
          <w:color w:val="0E0C15"/>
          <w:kern w:val="2"/>
          <w:sz w:val="32"/>
          <w:szCs w:val="32"/>
          <w:lang w:val="en-US" w:eastAsia="zh-CN" w:bidi="ar-SA"/>
        </w:rPr>
        <w:t>资金管理使用过程中，根据单位实际情况和行业特点，认真执行《中华人民共和国会计法》、《中华人民共和国预算法》、政府会计制度》、现行的财务制度、规定。加强资金使用管理的力度，严格执行各项财务制度，独立核算。</w:t>
      </w:r>
    </w:p>
    <w:p w14:paraId="7C08E258">
      <w:pPr>
        <w:spacing w:line="560" w:lineRule="exact"/>
        <w:ind w:firstLine="640" w:firstLineChars="200"/>
        <w:jc w:val="left"/>
        <w:rPr>
          <w:rFonts w:hint="eastAsia" w:ascii="楷体_GB2312" w:eastAsia="楷体_GB2312"/>
        </w:rPr>
      </w:pPr>
      <w:r>
        <w:rPr>
          <w:rFonts w:hint="eastAsia" w:ascii="楷体_GB2312" w:eastAsia="楷体_GB2312"/>
        </w:rPr>
        <w:t xml:space="preserve"> (五）部门资金来源及使用情况</w:t>
      </w:r>
    </w:p>
    <w:p w14:paraId="033BA9DB">
      <w:pPr>
        <w:spacing w:line="560" w:lineRule="exact"/>
        <w:ind w:firstLine="640" w:firstLineChars="200"/>
        <w:jc w:val="left"/>
        <w:rPr>
          <w:rFonts w:ascii="仿宋_GB2312"/>
          <w:highlight w:val="none"/>
        </w:rPr>
      </w:pPr>
      <w:r>
        <w:rPr>
          <w:rFonts w:hint="eastAsia" w:ascii="仿宋_GB2312"/>
          <w:highlight w:val="none"/>
        </w:rPr>
        <w:t>1.</w:t>
      </w:r>
      <w:r>
        <w:rPr>
          <w:rFonts w:hint="eastAsia" w:ascii="仿宋_GB2312"/>
          <w:highlight w:val="none"/>
          <w:lang w:val="en-US" w:eastAsia="zh-CN"/>
        </w:rPr>
        <w:t>2024</w:t>
      </w:r>
      <w:r>
        <w:rPr>
          <w:rFonts w:hint="eastAsia" w:ascii="仿宋_GB2312"/>
          <w:highlight w:val="none"/>
        </w:rPr>
        <w:t>年资金收入总体情况。</w:t>
      </w:r>
    </w:p>
    <w:p w14:paraId="48D93A7A">
      <w:pPr>
        <w:snapToGrid w:val="0"/>
        <w:spacing w:line="520" w:lineRule="exact"/>
        <w:ind w:firstLine="640" w:firstLineChars="200"/>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pPr>
      <w:r>
        <w:rPr>
          <w:rFonts w:hint="eastAsia" w:ascii="仿宋_GB2312" w:hAnsi="仿宋"/>
          <w:color w:val="000000" w:themeColor="text1"/>
          <w:sz w:val="32"/>
          <w:szCs w:val="32"/>
          <w:highlight w:val="none"/>
          <w:lang w:val="en-US" w:eastAsia="zh-CN"/>
          <w14:textFill>
            <w14:solidFill>
              <w14:schemeClr w14:val="tx1"/>
            </w14:solidFill>
          </w14:textFill>
        </w:rPr>
        <w:t>2024</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年度收入合</w:t>
      </w: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计756.79万元，其中财政拨款收入560.16万元，占总收入74.02%；其中事业收入194.15万元，占总收入25.65%，其他收入2.48万元，占总收入0.33%。</w:t>
      </w:r>
    </w:p>
    <w:p w14:paraId="603EBD0D">
      <w:pPr>
        <w:snapToGrid w:val="0"/>
        <w:spacing w:line="520" w:lineRule="exact"/>
        <w:ind w:firstLine="640" w:firstLineChars="200"/>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上年结转5.27万元，其中：基本支出结转0万元。</w:t>
      </w:r>
    </w:p>
    <w:p w14:paraId="60D370EF">
      <w:pPr>
        <w:spacing w:line="560" w:lineRule="exact"/>
        <w:ind w:firstLine="640" w:firstLineChars="200"/>
        <w:jc w:val="left"/>
        <w:rPr>
          <w:rFonts w:ascii="仿宋_GB2312"/>
          <w:color w:val="auto"/>
        </w:rPr>
      </w:pPr>
      <w:r>
        <w:rPr>
          <w:rFonts w:hint="eastAsia" w:ascii="仿宋_GB2312"/>
          <w:color w:val="auto"/>
        </w:rPr>
        <w:t>2. 资金支出总体情况。</w:t>
      </w:r>
    </w:p>
    <w:p w14:paraId="658FABAB">
      <w:pPr>
        <w:spacing w:line="560" w:lineRule="exact"/>
        <w:ind w:firstLine="640" w:firstLineChars="200"/>
        <w:jc w:val="left"/>
        <w:rPr>
          <w:rFonts w:hint="eastAsia" w:ascii="仿宋_GB2312" w:hAnsi="宋体" w:cs="宋体"/>
          <w:color w:val="auto"/>
        </w:rPr>
      </w:pPr>
      <w:r>
        <w:rPr>
          <w:rFonts w:hint="eastAsia" w:ascii="仿宋_GB2312"/>
          <w:color w:val="auto"/>
          <w:highlight w:val="none"/>
        </w:rPr>
        <w:t>按部门预算支出经济分类科目分，</w:t>
      </w:r>
      <w:r>
        <w:rPr>
          <w:rFonts w:hint="eastAsia" w:ascii="仿宋_GB2312"/>
          <w:color w:val="auto"/>
          <w:highlight w:val="none"/>
          <w:lang w:val="en-US" w:eastAsia="zh-CN"/>
        </w:rPr>
        <w:t>2024</w:t>
      </w:r>
      <w:r>
        <w:rPr>
          <w:rFonts w:hint="eastAsia" w:ascii="仿宋_GB2312"/>
          <w:color w:val="auto"/>
          <w:highlight w:val="none"/>
        </w:rPr>
        <w:t>年总支出</w:t>
      </w:r>
      <w:r>
        <w:rPr>
          <w:rFonts w:hint="eastAsia" w:ascii="仿宋_GB2312" w:hAnsi="宋体" w:cs="宋体"/>
          <w:color w:val="auto"/>
          <w:lang w:val="en-US" w:eastAsia="zh-CN"/>
        </w:rPr>
        <w:t>642.64</w:t>
      </w:r>
      <w:r>
        <w:rPr>
          <w:rFonts w:hint="eastAsia" w:ascii="仿宋_GB2312" w:hAnsi="宋体" w:cs="宋体"/>
          <w:color w:val="auto"/>
        </w:rPr>
        <w:t>万元。其中：工资福利支出</w:t>
      </w:r>
      <w:r>
        <w:rPr>
          <w:rFonts w:hint="eastAsia" w:ascii="仿宋_GB2312" w:hAnsi="宋体" w:cs="宋体"/>
          <w:color w:val="auto"/>
          <w:lang w:val="en-US" w:eastAsia="zh-CN"/>
        </w:rPr>
        <w:t>434.50</w:t>
      </w:r>
      <w:r>
        <w:rPr>
          <w:rFonts w:hint="eastAsia" w:ascii="仿宋_GB2312" w:hAnsi="宋体" w:cs="宋体"/>
          <w:color w:val="auto"/>
        </w:rPr>
        <w:t>万元，占</w:t>
      </w:r>
      <w:r>
        <w:rPr>
          <w:rFonts w:hint="eastAsia" w:ascii="仿宋_GB2312" w:hAnsi="宋体" w:cs="宋体"/>
          <w:color w:val="auto"/>
          <w:lang w:val="en-US" w:eastAsia="zh-CN"/>
        </w:rPr>
        <w:t>67.66</w:t>
      </w:r>
      <w:r>
        <w:rPr>
          <w:rFonts w:hint="eastAsia" w:ascii="仿宋_GB2312" w:hAnsi="宋体" w:cs="宋体"/>
          <w:color w:val="auto"/>
        </w:rPr>
        <w:t>%；商品和服务支出</w:t>
      </w:r>
      <w:r>
        <w:rPr>
          <w:rFonts w:hint="eastAsia" w:ascii="仿宋_GB2312" w:hAnsi="宋体" w:cs="宋体"/>
          <w:color w:val="auto"/>
          <w:lang w:val="en-US" w:eastAsia="zh-CN"/>
        </w:rPr>
        <w:t>205.2</w:t>
      </w:r>
      <w:r>
        <w:rPr>
          <w:rFonts w:hint="eastAsia" w:ascii="仿宋_GB2312" w:hAnsi="宋体" w:cs="宋体"/>
          <w:color w:val="auto"/>
        </w:rPr>
        <w:t>万元，占</w:t>
      </w:r>
      <w:r>
        <w:rPr>
          <w:rFonts w:hint="eastAsia" w:ascii="仿宋_GB2312" w:hAnsi="宋体" w:cs="宋体"/>
          <w:color w:val="auto"/>
          <w:lang w:val="en-US" w:eastAsia="zh-CN"/>
        </w:rPr>
        <w:t>31.93</w:t>
      </w:r>
      <w:r>
        <w:rPr>
          <w:rFonts w:hint="eastAsia" w:ascii="仿宋_GB2312" w:hAnsi="宋体" w:cs="宋体"/>
          <w:color w:val="auto"/>
        </w:rPr>
        <w:t>%；对个人和家庭的补助</w:t>
      </w:r>
      <w:r>
        <w:rPr>
          <w:rFonts w:hint="eastAsia" w:ascii="仿宋_GB2312" w:hAnsi="宋体" w:cs="宋体"/>
          <w:color w:val="auto"/>
          <w:lang w:val="en-US" w:eastAsia="zh-CN"/>
        </w:rPr>
        <w:t>2.64</w:t>
      </w:r>
      <w:r>
        <w:rPr>
          <w:rFonts w:hint="eastAsia" w:ascii="仿宋_GB2312" w:hAnsi="宋体" w:cs="宋体"/>
          <w:color w:val="auto"/>
        </w:rPr>
        <w:t>万元，占</w:t>
      </w:r>
      <w:r>
        <w:rPr>
          <w:rFonts w:hint="eastAsia" w:ascii="仿宋_GB2312" w:hAnsi="宋体" w:cs="宋体"/>
          <w:color w:val="auto"/>
          <w:lang w:val="en-US" w:eastAsia="zh-CN"/>
        </w:rPr>
        <w:t>0.41</w:t>
      </w:r>
      <w:r>
        <w:rPr>
          <w:rFonts w:hint="eastAsia" w:ascii="仿宋_GB2312" w:hAnsi="宋体" w:cs="宋体"/>
          <w:color w:val="auto"/>
        </w:rPr>
        <w:t>%。</w:t>
      </w:r>
    </w:p>
    <w:p w14:paraId="4655A0CC">
      <w:pPr>
        <w:spacing w:line="560" w:lineRule="exact"/>
        <w:ind w:firstLine="640" w:firstLineChars="200"/>
        <w:jc w:val="left"/>
        <w:rPr>
          <w:rFonts w:hint="eastAsia" w:ascii="仿宋_GB2312" w:hAnsi="宋体" w:cs="宋体"/>
          <w:color w:val="auto"/>
        </w:rPr>
      </w:pPr>
      <w:r>
        <w:rPr>
          <w:rFonts w:hint="eastAsia" w:ascii="仿宋_GB2312" w:hAnsi="宋体" w:cs="宋体"/>
          <w:color w:val="auto"/>
        </w:rPr>
        <w:t>一般公共预算支出功能分类科目，本年支出</w:t>
      </w:r>
      <w:r>
        <w:rPr>
          <w:rFonts w:hint="eastAsia" w:ascii="仿宋_GB2312" w:hAnsi="宋体" w:cs="宋体"/>
          <w:color w:val="auto"/>
          <w:lang w:val="en-US" w:eastAsia="zh-CN"/>
        </w:rPr>
        <w:t>642.63</w:t>
      </w:r>
      <w:r>
        <w:rPr>
          <w:rFonts w:hint="eastAsia" w:ascii="仿宋_GB2312" w:hAnsi="宋体" w:cs="宋体"/>
          <w:color w:val="auto"/>
        </w:rPr>
        <w:t>万元，其中：205类教育支出</w:t>
      </w:r>
      <w:r>
        <w:rPr>
          <w:rFonts w:hint="eastAsia" w:ascii="仿宋_GB2312" w:hAnsi="宋体" w:cs="宋体"/>
          <w:color w:val="auto"/>
          <w:lang w:val="en-US" w:eastAsia="zh-CN"/>
        </w:rPr>
        <w:t>516.67</w:t>
      </w:r>
      <w:r>
        <w:rPr>
          <w:rFonts w:hint="eastAsia" w:ascii="仿宋_GB2312" w:hAnsi="宋体" w:cs="宋体"/>
          <w:color w:val="auto"/>
        </w:rPr>
        <w:t>万元，占</w:t>
      </w:r>
      <w:r>
        <w:rPr>
          <w:rFonts w:hint="eastAsia" w:ascii="仿宋_GB2312" w:hAnsi="宋体" w:cs="宋体"/>
          <w:color w:val="auto"/>
          <w:lang w:val="en-US" w:eastAsia="zh-CN"/>
        </w:rPr>
        <w:t>80.40</w:t>
      </w:r>
      <w:r>
        <w:rPr>
          <w:rFonts w:hint="eastAsia" w:ascii="仿宋_GB2312" w:hAnsi="宋体" w:cs="宋体"/>
          <w:color w:val="auto"/>
        </w:rPr>
        <w:t>%； 208类社会保障和就业支出</w:t>
      </w:r>
      <w:r>
        <w:rPr>
          <w:rFonts w:hint="eastAsia" w:ascii="仿宋_GB2312" w:hAnsi="宋体" w:cs="宋体"/>
          <w:color w:val="auto"/>
          <w:lang w:val="en-US" w:eastAsia="zh-CN"/>
        </w:rPr>
        <w:t>50.37</w:t>
      </w:r>
      <w:r>
        <w:rPr>
          <w:rFonts w:hint="eastAsia" w:ascii="仿宋_GB2312" w:hAnsi="宋体" w:cs="宋体"/>
          <w:color w:val="auto"/>
        </w:rPr>
        <w:t>万元，占</w:t>
      </w:r>
      <w:r>
        <w:rPr>
          <w:rFonts w:hint="eastAsia" w:ascii="仿宋_GB2312" w:hAnsi="宋体" w:cs="宋体"/>
          <w:color w:val="auto"/>
          <w:lang w:val="en-US" w:eastAsia="zh-CN"/>
        </w:rPr>
        <w:t>7.84</w:t>
      </w:r>
      <w:r>
        <w:rPr>
          <w:rFonts w:hint="eastAsia" w:ascii="仿宋_GB2312" w:hAnsi="宋体" w:cs="宋体"/>
          <w:color w:val="auto"/>
        </w:rPr>
        <w:t>%；</w:t>
      </w:r>
      <w:r>
        <w:rPr>
          <w:rFonts w:hint="eastAsia" w:ascii="仿宋_GB2312" w:hAnsi="宋体" w:cs="宋体"/>
          <w:color w:val="auto"/>
          <w:lang w:val="en-US" w:eastAsia="zh-CN"/>
        </w:rPr>
        <w:t>210类卫生健康支出40.79万元，占6.35%；</w:t>
      </w:r>
      <w:r>
        <w:rPr>
          <w:rFonts w:hint="eastAsia" w:ascii="仿宋_GB2312" w:hAnsi="宋体" w:cs="宋体"/>
          <w:color w:val="auto"/>
        </w:rPr>
        <w:t>221类住房保障支出</w:t>
      </w:r>
      <w:r>
        <w:rPr>
          <w:rFonts w:hint="eastAsia" w:ascii="仿宋_GB2312" w:hAnsi="宋体" w:cs="宋体"/>
          <w:color w:val="auto"/>
          <w:lang w:val="en-US" w:eastAsia="zh-CN"/>
        </w:rPr>
        <w:t>34.81</w:t>
      </w:r>
      <w:r>
        <w:rPr>
          <w:rFonts w:hint="eastAsia" w:ascii="仿宋_GB2312" w:hAnsi="宋体" w:cs="宋体"/>
          <w:color w:val="auto"/>
        </w:rPr>
        <w:t>万元，占</w:t>
      </w:r>
      <w:r>
        <w:rPr>
          <w:rFonts w:hint="eastAsia" w:ascii="仿宋_GB2312" w:hAnsi="宋体" w:cs="宋体"/>
          <w:color w:val="auto"/>
          <w:lang w:val="en-US" w:eastAsia="zh-CN"/>
        </w:rPr>
        <w:t>5.41</w:t>
      </w:r>
      <w:r>
        <w:rPr>
          <w:rFonts w:hint="eastAsia" w:ascii="仿宋_GB2312" w:hAnsi="宋体" w:cs="宋体"/>
          <w:color w:val="auto"/>
        </w:rPr>
        <w:t>%。</w:t>
      </w:r>
    </w:p>
    <w:p w14:paraId="65B66318">
      <w:pPr>
        <w:spacing w:line="560" w:lineRule="exact"/>
        <w:ind w:firstLine="640" w:firstLineChars="200"/>
        <w:jc w:val="left"/>
        <w:rPr>
          <w:rFonts w:ascii="仿宋_GB2312"/>
          <w:color w:val="auto"/>
        </w:rPr>
      </w:pPr>
      <w:r>
        <w:rPr>
          <w:rFonts w:hint="eastAsia" w:ascii="仿宋_GB2312"/>
          <w:color w:val="auto"/>
        </w:rPr>
        <w:t>3.预算资金管理情况。</w:t>
      </w:r>
    </w:p>
    <w:p w14:paraId="3210913D">
      <w:pPr>
        <w:spacing w:line="560" w:lineRule="exact"/>
        <w:ind w:firstLine="640" w:firstLineChars="200"/>
        <w:jc w:val="left"/>
        <w:rPr>
          <w:rFonts w:ascii="仿宋_GB2312"/>
          <w:color w:val="auto"/>
        </w:rPr>
      </w:pPr>
      <w:r>
        <w:rPr>
          <w:rFonts w:hint="eastAsia" w:ascii="仿宋_GB2312"/>
          <w:color w:val="auto"/>
        </w:rPr>
        <w:t>（1）预算管理状况。</w:t>
      </w:r>
    </w:p>
    <w:p w14:paraId="5C4E8EAC">
      <w:pPr>
        <w:spacing w:line="560" w:lineRule="exact"/>
        <w:ind w:firstLine="640" w:firstLineChars="200"/>
        <w:jc w:val="left"/>
        <w:rPr>
          <w:rFonts w:ascii="仿宋_GB2312"/>
          <w:color w:val="auto"/>
        </w:rPr>
      </w:pPr>
      <w:r>
        <w:rPr>
          <w:rFonts w:hint="eastAsia" w:ascii="仿宋_GB2312"/>
          <w:color w:val="auto"/>
        </w:rPr>
        <w:t>中共寻甸县委党校严格按照年初预算执行，预算管理基本到位，预算完成率较高。</w:t>
      </w:r>
      <w:r>
        <w:rPr>
          <w:rFonts w:hint="eastAsia" w:ascii="仿宋_GB2312"/>
          <w:color w:val="auto"/>
          <w:lang w:val="en-US" w:eastAsia="zh-CN"/>
        </w:rPr>
        <w:t>2024</w:t>
      </w:r>
      <w:r>
        <w:rPr>
          <w:rFonts w:hint="eastAsia" w:ascii="仿宋_GB2312"/>
          <w:color w:val="auto"/>
        </w:rPr>
        <w:t>年三公经费实际支出</w:t>
      </w:r>
      <w:r>
        <w:rPr>
          <w:rFonts w:hint="eastAsia" w:ascii="仿宋_GB2312"/>
          <w:color w:val="auto"/>
          <w:lang w:val="en-US" w:eastAsia="zh-CN"/>
        </w:rPr>
        <w:t>0</w:t>
      </w:r>
      <w:r>
        <w:rPr>
          <w:rFonts w:hint="eastAsia" w:ascii="仿宋_GB2312"/>
          <w:color w:val="auto"/>
        </w:rPr>
        <w:t>万元，比</w:t>
      </w:r>
      <w:r>
        <w:rPr>
          <w:rFonts w:hint="eastAsia" w:ascii="仿宋_GB2312"/>
          <w:color w:val="auto"/>
          <w:lang w:val="en-US" w:eastAsia="zh-CN"/>
        </w:rPr>
        <w:t>2023</w:t>
      </w:r>
      <w:r>
        <w:rPr>
          <w:rFonts w:hint="eastAsia" w:ascii="仿宋_GB2312"/>
          <w:color w:val="auto"/>
        </w:rPr>
        <w:t>年三公经费实际支出</w:t>
      </w:r>
      <w:r>
        <w:rPr>
          <w:rFonts w:hint="eastAsia" w:ascii="仿宋_GB2312"/>
          <w:color w:val="auto"/>
          <w:lang w:val="en-US" w:eastAsia="zh-CN"/>
        </w:rPr>
        <w:t>0</w:t>
      </w:r>
      <w:r>
        <w:rPr>
          <w:rFonts w:hint="eastAsia" w:ascii="仿宋_GB2312"/>
          <w:color w:val="auto"/>
        </w:rPr>
        <w:t>万元。本年三公经费支出</w:t>
      </w:r>
      <w:r>
        <w:rPr>
          <w:rFonts w:hint="eastAsia" w:ascii="仿宋_GB2312"/>
          <w:color w:val="auto"/>
          <w:lang w:eastAsia="zh-CN"/>
        </w:rPr>
        <w:t>减少</w:t>
      </w:r>
      <w:r>
        <w:rPr>
          <w:rFonts w:hint="eastAsia" w:ascii="仿宋_GB2312"/>
          <w:color w:val="auto"/>
          <w:lang w:val="en-US" w:eastAsia="zh-CN"/>
        </w:rPr>
        <w:t>0万元</w:t>
      </w:r>
      <w:r>
        <w:rPr>
          <w:rFonts w:hint="eastAsia" w:ascii="仿宋_GB2312"/>
          <w:color w:val="auto"/>
        </w:rPr>
        <w:t>。</w:t>
      </w:r>
    </w:p>
    <w:p w14:paraId="5F6D489E">
      <w:pPr>
        <w:spacing w:line="560" w:lineRule="exact"/>
        <w:ind w:firstLine="640" w:firstLineChars="200"/>
        <w:jc w:val="left"/>
        <w:rPr>
          <w:rFonts w:ascii="仿宋_GB2312"/>
          <w:color w:val="auto"/>
        </w:rPr>
      </w:pPr>
      <w:r>
        <w:rPr>
          <w:rFonts w:hint="eastAsia" w:ascii="仿宋_GB2312"/>
          <w:color w:val="auto"/>
        </w:rPr>
        <w:t>（2）制度建设及执行状况。</w:t>
      </w:r>
    </w:p>
    <w:p w14:paraId="289CA13F">
      <w:pPr>
        <w:spacing w:line="560" w:lineRule="exact"/>
        <w:ind w:firstLine="640" w:firstLineChars="200"/>
        <w:jc w:val="left"/>
        <w:rPr>
          <w:rFonts w:ascii="仿宋_GB2312"/>
          <w:color w:val="auto"/>
        </w:rPr>
      </w:pPr>
      <w:r>
        <w:rPr>
          <w:rFonts w:hint="eastAsia" w:ascii="仿宋_GB2312"/>
          <w:color w:val="auto"/>
        </w:rPr>
        <w:t>中共寻甸县委党校对公务外出差旅费、公务接待费提出了具体标准和要求，对会议费等公用费用进一步规范审批流程，不断规范费用管理。</w:t>
      </w:r>
    </w:p>
    <w:p w14:paraId="61534E76">
      <w:pPr>
        <w:spacing w:line="560" w:lineRule="exact"/>
        <w:ind w:firstLine="640" w:firstLineChars="200"/>
        <w:jc w:val="left"/>
        <w:rPr>
          <w:rFonts w:ascii="仿宋_GB2312"/>
          <w:color w:val="auto"/>
        </w:rPr>
      </w:pPr>
      <w:r>
        <w:rPr>
          <w:rFonts w:hint="eastAsia" w:ascii="仿宋_GB2312"/>
          <w:color w:val="auto"/>
        </w:rPr>
        <w:t>中共寻甸县委党校日常公用经费管理能严格执行相关制度，费用报销按照报账流程审核审批。</w:t>
      </w:r>
    </w:p>
    <w:p w14:paraId="553F1A56">
      <w:pPr>
        <w:spacing w:line="560" w:lineRule="exact"/>
        <w:ind w:firstLine="640" w:firstLineChars="200"/>
        <w:jc w:val="left"/>
        <w:rPr>
          <w:rFonts w:hint="eastAsia" w:ascii="楷体_GB2312" w:eastAsia="楷体_GB2312"/>
          <w:color w:val="auto"/>
        </w:rPr>
      </w:pPr>
      <w:r>
        <w:rPr>
          <w:rFonts w:hint="eastAsia" w:ascii="楷体_GB2312" w:eastAsia="楷体_GB2312"/>
          <w:color w:val="auto"/>
        </w:rPr>
        <w:t>（六）政府采购情况</w:t>
      </w:r>
    </w:p>
    <w:p w14:paraId="5769EA7D">
      <w:pPr>
        <w:spacing w:line="560" w:lineRule="exact"/>
        <w:ind w:firstLine="640" w:firstLineChars="200"/>
        <w:jc w:val="left"/>
        <w:rPr>
          <w:rFonts w:ascii="仿宋_GB2312"/>
          <w:color w:val="auto"/>
        </w:rPr>
      </w:pPr>
      <w:r>
        <w:rPr>
          <w:rFonts w:hint="eastAsia" w:ascii="仿宋_GB2312"/>
          <w:color w:val="auto"/>
        </w:rPr>
        <w:t>中共寻甸县委党校</w:t>
      </w:r>
      <w:r>
        <w:rPr>
          <w:rFonts w:hint="eastAsia" w:ascii="仿宋_GB2312"/>
          <w:color w:val="auto"/>
          <w:lang w:val="en-US" w:eastAsia="zh-CN"/>
        </w:rPr>
        <w:t>2024</w:t>
      </w:r>
      <w:r>
        <w:rPr>
          <w:rFonts w:hint="eastAsia" w:ascii="仿宋_GB2312"/>
          <w:color w:val="auto"/>
        </w:rPr>
        <w:t>年度政府采购</w:t>
      </w:r>
      <w:r>
        <w:rPr>
          <w:rFonts w:hint="eastAsia" w:ascii="仿宋_GB2312" w:hAnsi="宋体" w:cs="宋体"/>
          <w:color w:val="auto"/>
          <w:lang w:val="en-US" w:eastAsia="zh-CN"/>
        </w:rPr>
        <w:t>9.45万</w:t>
      </w:r>
      <w:r>
        <w:rPr>
          <w:rFonts w:hint="eastAsia" w:ascii="仿宋_GB2312"/>
          <w:color w:val="auto"/>
          <w:lang w:val="en-US" w:eastAsia="zh-CN"/>
        </w:rPr>
        <w:t>元</w:t>
      </w:r>
      <w:r>
        <w:rPr>
          <w:rFonts w:hint="eastAsia" w:ascii="仿宋_GB2312"/>
          <w:color w:val="auto"/>
        </w:rPr>
        <w:t>。</w:t>
      </w:r>
    </w:p>
    <w:p w14:paraId="1173B716">
      <w:pPr>
        <w:spacing w:line="560" w:lineRule="exact"/>
        <w:ind w:firstLine="640" w:firstLineChars="200"/>
        <w:jc w:val="left"/>
        <w:rPr>
          <w:rFonts w:hint="eastAsia" w:ascii="楷体_GB2312" w:eastAsia="楷体_GB2312"/>
          <w:color w:val="auto"/>
        </w:rPr>
      </w:pPr>
      <w:r>
        <w:rPr>
          <w:rFonts w:hint="eastAsia" w:ascii="楷体_GB2312" w:eastAsia="楷体_GB2312"/>
          <w:color w:val="auto"/>
        </w:rPr>
        <w:t>（七）固定资产情况</w:t>
      </w:r>
    </w:p>
    <w:p w14:paraId="3B8776CE">
      <w:pPr>
        <w:spacing w:line="560" w:lineRule="exact"/>
        <w:ind w:firstLine="640" w:firstLineChars="200"/>
        <w:jc w:val="left"/>
        <w:rPr>
          <w:rFonts w:hint="eastAsia" w:ascii="仿宋_GB2312" w:hAnsi="宋体" w:cs="宋体"/>
          <w:color w:val="auto"/>
          <w:lang w:val="en-US" w:eastAsia="zh-CN"/>
        </w:rPr>
      </w:pPr>
      <w:r>
        <w:rPr>
          <w:rFonts w:hint="eastAsia" w:ascii="仿宋_GB2312"/>
          <w:color w:val="auto"/>
        </w:rPr>
        <w:t>截至</w:t>
      </w:r>
      <w:r>
        <w:rPr>
          <w:rFonts w:hint="eastAsia" w:ascii="仿宋_GB2312"/>
          <w:color w:val="auto"/>
          <w:lang w:eastAsia="zh-CN"/>
        </w:rPr>
        <w:t>202</w:t>
      </w:r>
      <w:r>
        <w:rPr>
          <w:rFonts w:hint="eastAsia" w:ascii="仿宋_GB2312"/>
          <w:color w:val="auto"/>
          <w:lang w:val="en-US" w:eastAsia="zh-CN"/>
        </w:rPr>
        <w:t>4</w:t>
      </w:r>
      <w:r>
        <w:rPr>
          <w:rFonts w:hint="eastAsia" w:ascii="仿宋_GB2312"/>
          <w:color w:val="auto"/>
        </w:rPr>
        <w:t>年12月31日，中共寻甸县委党校资产年末数</w:t>
      </w:r>
      <w:r>
        <w:rPr>
          <w:rFonts w:hint="eastAsia" w:ascii="仿宋_GB2312" w:hAnsi="宋体" w:cs="宋体"/>
          <w:color w:val="auto"/>
          <w:lang w:val="en-US" w:eastAsia="zh-CN"/>
        </w:rPr>
        <w:t>为706.1万元，其中货币资金121.14万元；固定资产年末净值数为40.28万元，无形资产年末净值数为44.68万元；预付账款500万元；应付职工薪酬0万元，其他应交税费1.54万元，其他应付款0.1万元，应缴财政款0.05万元。净资产合计704.41万元。</w:t>
      </w:r>
    </w:p>
    <w:p w14:paraId="388FDE2A">
      <w:pPr>
        <w:spacing w:line="560" w:lineRule="exact"/>
        <w:ind w:firstLine="640" w:firstLineChars="200"/>
        <w:jc w:val="left"/>
        <w:rPr>
          <w:rFonts w:hint="eastAsia" w:ascii="黑体" w:eastAsia="黑体"/>
        </w:rPr>
      </w:pPr>
      <w:r>
        <w:rPr>
          <w:rFonts w:hint="eastAsia" w:ascii="黑体" w:eastAsia="黑体"/>
        </w:rPr>
        <w:t>二、绩效目标</w:t>
      </w:r>
    </w:p>
    <w:p w14:paraId="4489DD22">
      <w:pPr>
        <w:spacing w:line="560" w:lineRule="exact"/>
        <w:ind w:firstLine="640" w:firstLineChars="200"/>
        <w:jc w:val="left"/>
        <w:rPr>
          <w:rFonts w:hint="eastAsia" w:ascii="楷体_GB2312" w:eastAsia="楷体_GB2312"/>
        </w:rPr>
      </w:pPr>
      <w:r>
        <w:rPr>
          <w:rFonts w:hint="eastAsia" w:ascii="楷体_GB2312" w:eastAsia="楷体_GB2312"/>
        </w:rPr>
        <w:t>（一）部门总目标</w:t>
      </w:r>
    </w:p>
    <w:p w14:paraId="0B00CE32">
      <w:pPr>
        <w:spacing w:line="560" w:lineRule="exact"/>
        <w:ind w:firstLine="640" w:firstLineChars="200"/>
        <w:jc w:val="left"/>
        <w:rPr>
          <w:rFonts w:ascii="仿宋_GB2312"/>
        </w:rPr>
      </w:pPr>
      <w:r>
        <w:rPr>
          <w:rFonts w:hint="eastAsia" w:ascii="仿宋_GB2312"/>
        </w:rPr>
        <w:t>1.按预算规划执行基本支出经费，保障单位人员及科室正常开展工作。</w:t>
      </w:r>
    </w:p>
    <w:p w14:paraId="00856DB4">
      <w:pPr>
        <w:spacing w:line="560" w:lineRule="exact"/>
        <w:ind w:firstLine="640" w:firstLineChars="200"/>
        <w:jc w:val="left"/>
        <w:rPr>
          <w:rFonts w:ascii="仿宋_GB2312"/>
        </w:rPr>
      </w:pPr>
      <w:r>
        <w:rPr>
          <w:rFonts w:hint="eastAsia" w:ascii="仿宋_GB2312"/>
        </w:rPr>
        <w:t>2.完成项目预算培训经费涉及的工作任务，全面高效完成培训任务。</w:t>
      </w:r>
    </w:p>
    <w:p w14:paraId="7B94FFC0">
      <w:pPr>
        <w:spacing w:line="560" w:lineRule="exact"/>
        <w:ind w:firstLine="640" w:firstLineChars="200"/>
        <w:jc w:val="left"/>
        <w:rPr>
          <w:rFonts w:ascii="仿宋_GB2312"/>
        </w:rPr>
      </w:pPr>
      <w:r>
        <w:rPr>
          <w:rFonts w:hint="eastAsia" w:ascii="仿宋_GB2312"/>
          <w:lang w:val="en-US" w:eastAsia="zh-CN"/>
        </w:rPr>
        <w:t>3</w:t>
      </w:r>
      <w:r>
        <w:rPr>
          <w:rFonts w:hint="eastAsia" w:ascii="仿宋_GB2312"/>
        </w:rPr>
        <w:t>.完成上级党校及</w:t>
      </w:r>
      <w:r>
        <w:rPr>
          <w:rFonts w:hint="eastAsia" w:ascii="仿宋_GB2312"/>
          <w:lang w:eastAsia="zh-CN"/>
        </w:rPr>
        <w:t>县委、县政府</w:t>
      </w:r>
      <w:r>
        <w:rPr>
          <w:rFonts w:hint="eastAsia" w:ascii="仿宋_GB2312"/>
        </w:rPr>
        <w:t>安排的工作任务。</w:t>
      </w:r>
    </w:p>
    <w:p w14:paraId="6F72FDF5">
      <w:pPr>
        <w:spacing w:line="560" w:lineRule="exact"/>
        <w:ind w:firstLine="640" w:firstLineChars="200"/>
        <w:jc w:val="left"/>
        <w:rPr>
          <w:rFonts w:hint="eastAsia" w:ascii="楷体_GB2312" w:eastAsia="楷体_GB2312"/>
        </w:rPr>
      </w:pPr>
      <w:r>
        <w:rPr>
          <w:rFonts w:hint="eastAsia" w:ascii="楷体_GB2312" w:eastAsia="楷体_GB2312"/>
        </w:rPr>
        <w:t>（二）部门项目具体计划目标</w:t>
      </w:r>
    </w:p>
    <w:p w14:paraId="6914FE82">
      <w:pPr>
        <w:spacing w:line="560" w:lineRule="exact"/>
        <w:ind w:firstLine="640" w:firstLineChars="200"/>
        <w:jc w:val="left"/>
        <w:rPr>
          <w:rFonts w:ascii="仿宋_GB2312"/>
        </w:rPr>
      </w:pPr>
      <w:r>
        <w:rPr>
          <w:rFonts w:hint="eastAsia" w:ascii="仿宋_GB2312"/>
          <w:lang w:val="en-US" w:eastAsia="zh-CN"/>
        </w:rPr>
        <w:t>2024</w:t>
      </w:r>
      <w:r>
        <w:rPr>
          <w:rFonts w:hint="eastAsia" w:ascii="仿宋_GB2312"/>
        </w:rPr>
        <w:t>年年初县级未安排纳入项目绩效评价的专项资金。</w:t>
      </w:r>
    </w:p>
    <w:p w14:paraId="3F97C520">
      <w:pPr>
        <w:spacing w:line="560" w:lineRule="exact"/>
        <w:ind w:firstLine="640" w:firstLineChars="200"/>
        <w:jc w:val="left"/>
        <w:rPr>
          <w:rFonts w:hint="eastAsia" w:ascii="黑体" w:eastAsia="黑体"/>
        </w:rPr>
      </w:pPr>
      <w:r>
        <w:rPr>
          <w:rFonts w:hint="eastAsia" w:ascii="黑体" w:eastAsia="黑体"/>
        </w:rPr>
        <w:t>三、评价思路和过程</w:t>
      </w:r>
    </w:p>
    <w:p w14:paraId="4F924113">
      <w:pPr>
        <w:spacing w:line="560" w:lineRule="exact"/>
        <w:ind w:firstLine="640" w:firstLineChars="200"/>
        <w:jc w:val="left"/>
        <w:rPr>
          <w:rFonts w:ascii="仿宋_GB2312"/>
        </w:rPr>
      </w:pPr>
      <w:r>
        <w:rPr>
          <w:rFonts w:hint="eastAsia" w:ascii="楷体_GB2312" w:eastAsia="楷体_GB2312"/>
        </w:rPr>
        <w:t>（一）评价思路</w:t>
      </w:r>
      <w:r>
        <w:rPr>
          <w:rFonts w:hint="eastAsia" w:ascii="仿宋_GB2312"/>
        </w:rPr>
        <w:t>。确认当年度部门整体支出的绩效目标→梳理部门内部管理制度及存量资源→分析确定当年度部门整体支出的评价重点→构建绩效评价指标体系。</w:t>
      </w:r>
    </w:p>
    <w:p w14:paraId="7DCB2F5C">
      <w:pPr>
        <w:spacing w:line="560" w:lineRule="exact"/>
        <w:ind w:firstLine="640" w:firstLineChars="200"/>
        <w:jc w:val="left"/>
        <w:rPr>
          <w:rFonts w:ascii="仿宋_GB2312"/>
        </w:rPr>
      </w:pPr>
      <w:r>
        <w:rPr>
          <w:rFonts w:hint="eastAsia" w:ascii="楷体_GB2312" w:eastAsia="楷体_GB2312"/>
        </w:rPr>
        <w:t>（二）评价目的。</w:t>
      </w:r>
      <w:r>
        <w:rPr>
          <w:rFonts w:hint="eastAsia" w:ascii="仿宋_GB2312"/>
        </w:rPr>
        <w:t>通过收集部门（单位）基本情况、预算制定与明细、部门中长期规划目标及组织架构等信息，分析部门（单位）资源配置的合理性及中长期规划目标完成与履职情况，总结经验做法，找出预算绩效管理中的薄弱环节，提出改进建议，提高财政资金的使用效益。</w:t>
      </w:r>
    </w:p>
    <w:p w14:paraId="50CACC3D">
      <w:pPr>
        <w:spacing w:line="560" w:lineRule="exact"/>
        <w:ind w:firstLine="640" w:firstLineChars="200"/>
        <w:jc w:val="left"/>
        <w:rPr>
          <w:rFonts w:hint="eastAsia" w:ascii="楷体_GB2312" w:eastAsia="楷体_GB2312"/>
        </w:rPr>
      </w:pPr>
      <w:r>
        <w:rPr>
          <w:rFonts w:hint="eastAsia" w:ascii="楷体_GB2312" w:eastAsia="楷体_GB2312"/>
        </w:rPr>
        <w:t>（三）评价依据</w:t>
      </w:r>
    </w:p>
    <w:p w14:paraId="0FC737F7">
      <w:pPr>
        <w:spacing w:line="560" w:lineRule="exact"/>
        <w:ind w:firstLine="640" w:firstLineChars="200"/>
        <w:jc w:val="left"/>
        <w:rPr>
          <w:rFonts w:ascii="仿宋_GB2312"/>
        </w:rPr>
      </w:pPr>
      <w:r>
        <w:rPr>
          <w:rFonts w:hint="eastAsia" w:ascii="仿宋_GB2312"/>
        </w:rPr>
        <w:t>1.《中华人民共和国预算法》；2.《财政部关于印发〈财政支出绩效评价管理暂行办法〉的通知》（财预〔2011〕285号）；3.《昆明市人民政府办公厅关于全面推进预算绩效管理的实施意见》（昆政办〔2013〕72号）；4.《昆明市人民政府关于全面推进预算绩效管理改革的实施意见》（昆政发〔2016〕12号）；5.《寻甸回族彝族自治县财政局关于印发《寻甸回族彝族自治县本级部门预算绩效自评管理暂行办法》的通知》（寻财绩〔2018〕9号）；6.《寻甸回族彝族自治县财政局关于印发《寻甸回族彝族自治县县本级财政支出预算事前绩效评估管理暂行办法》的通知》（寻财〔2018〕30号）；7.《寻甸回族彝族自治县财政局关于印发寻甸回族彝族自治县县本级预算绩效跟踪管理暂行办法的通知》（寻财绩〔2019〕1号）；8.寻甸回族彝族自治县财政局提供的基础资料；9.评价工作人员通过现场调查、核实等获得的资料等。</w:t>
      </w:r>
    </w:p>
    <w:p w14:paraId="64FBC068">
      <w:pPr>
        <w:spacing w:line="560" w:lineRule="exact"/>
        <w:ind w:firstLine="640" w:firstLineChars="200"/>
        <w:jc w:val="left"/>
        <w:rPr>
          <w:rFonts w:hint="eastAsia" w:ascii="楷体_GB2312" w:eastAsia="楷体_GB2312"/>
        </w:rPr>
      </w:pPr>
      <w:r>
        <w:rPr>
          <w:rFonts w:hint="eastAsia" w:ascii="楷体_GB2312" w:eastAsia="楷体_GB2312"/>
        </w:rPr>
        <w:t>（四）评价对象及评价时段</w:t>
      </w:r>
    </w:p>
    <w:p w14:paraId="34C768A1">
      <w:pPr>
        <w:spacing w:line="560" w:lineRule="exact"/>
        <w:ind w:firstLine="640" w:firstLineChars="200"/>
        <w:jc w:val="left"/>
        <w:rPr>
          <w:rFonts w:ascii="仿宋_GB2312"/>
          <w:color w:val="auto"/>
        </w:rPr>
      </w:pPr>
      <w:r>
        <w:rPr>
          <w:rFonts w:hint="eastAsia" w:ascii="仿宋_GB2312"/>
        </w:rPr>
        <w:t>本次评价对象为中共寻甸县委党校部门整体支出，评价时段为</w:t>
      </w:r>
      <w:r>
        <w:rPr>
          <w:rFonts w:hint="eastAsia" w:ascii="仿宋_GB2312"/>
          <w:color w:val="auto"/>
          <w:lang w:eastAsia="zh-CN"/>
        </w:rPr>
        <w:t>202</w:t>
      </w:r>
      <w:r>
        <w:rPr>
          <w:rFonts w:hint="eastAsia" w:ascii="仿宋_GB2312"/>
          <w:color w:val="auto"/>
          <w:lang w:val="en-US" w:eastAsia="zh-CN"/>
        </w:rPr>
        <w:t>4</w:t>
      </w:r>
      <w:r>
        <w:rPr>
          <w:rFonts w:hint="eastAsia" w:ascii="仿宋_GB2312"/>
          <w:color w:val="auto"/>
        </w:rPr>
        <w:t>年1月1日至</w:t>
      </w:r>
      <w:r>
        <w:rPr>
          <w:rFonts w:hint="eastAsia" w:ascii="仿宋_GB2312"/>
          <w:color w:val="auto"/>
          <w:lang w:val="en-US" w:eastAsia="zh-CN"/>
        </w:rPr>
        <w:t>2024</w:t>
      </w:r>
      <w:r>
        <w:rPr>
          <w:rFonts w:hint="eastAsia" w:ascii="仿宋_GB2312"/>
          <w:color w:val="auto"/>
        </w:rPr>
        <w:t>年12月31日。</w:t>
      </w:r>
    </w:p>
    <w:p w14:paraId="57FDA12D">
      <w:pPr>
        <w:spacing w:line="560" w:lineRule="exact"/>
        <w:ind w:firstLine="640" w:firstLineChars="200"/>
        <w:jc w:val="left"/>
        <w:rPr>
          <w:rFonts w:hint="eastAsia" w:ascii="黑体" w:eastAsia="黑体"/>
        </w:rPr>
      </w:pPr>
      <w:r>
        <w:rPr>
          <w:rFonts w:hint="eastAsia" w:ascii="黑体" w:eastAsia="黑体"/>
        </w:rPr>
        <w:t>四、评价结论和绩效分析</w:t>
      </w:r>
    </w:p>
    <w:p w14:paraId="3B433B2A">
      <w:pPr>
        <w:spacing w:line="560" w:lineRule="exact"/>
        <w:ind w:firstLine="640" w:firstLineChars="200"/>
        <w:jc w:val="left"/>
        <w:rPr>
          <w:rFonts w:hint="eastAsia" w:ascii="楷体_GB2312" w:eastAsia="楷体_GB2312"/>
        </w:rPr>
      </w:pPr>
      <w:r>
        <w:rPr>
          <w:rFonts w:hint="eastAsia" w:ascii="楷体_GB2312" w:eastAsia="楷体_GB2312"/>
        </w:rPr>
        <w:t>（一）评价结论</w:t>
      </w:r>
    </w:p>
    <w:p w14:paraId="1567D36A">
      <w:pPr>
        <w:spacing w:line="560" w:lineRule="exact"/>
        <w:ind w:firstLine="640" w:firstLineChars="200"/>
        <w:jc w:val="left"/>
        <w:rPr>
          <w:rFonts w:hint="eastAsia" w:ascii="仿宋_GB2312"/>
        </w:rPr>
      </w:pPr>
      <w:r>
        <w:rPr>
          <w:rFonts w:hint="eastAsia" w:ascii="仿宋_GB2312"/>
        </w:rPr>
        <w:t>1.评价结果。</w:t>
      </w:r>
    </w:p>
    <w:p w14:paraId="6774288B">
      <w:pPr>
        <w:spacing w:line="560" w:lineRule="exact"/>
        <w:ind w:firstLine="640" w:firstLineChars="200"/>
        <w:jc w:val="left"/>
        <w:rPr>
          <w:rFonts w:hint="eastAsia" w:ascii="仿宋_GB2312"/>
        </w:rPr>
      </w:pPr>
      <w:r>
        <w:rPr>
          <w:rFonts w:hint="eastAsia" w:ascii="仿宋_GB2312"/>
          <w:lang w:val="en-US" w:eastAsia="zh-CN"/>
        </w:rPr>
        <w:t>2024</w:t>
      </w:r>
      <w:r>
        <w:rPr>
          <w:rFonts w:hint="eastAsia" w:ascii="仿宋_GB2312"/>
        </w:rPr>
        <w:t>年，中共寻甸县委党校认真落实县委县政府决策部署，按照保进度、重质量、求实效的要求，全面推进各项重点工作，较好地完成了各项目标任务。根据《中共寻甸县委党校部门整体支出绩效评价指标体系》评分，中共寻甸县委党校得分</w:t>
      </w:r>
      <w:r>
        <w:rPr>
          <w:rFonts w:hint="eastAsia" w:ascii="仿宋_GB2312"/>
          <w:lang w:val="en-US" w:eastAsia="zh-CN"/>
        </w:rPr>
        <w:t>96</w:t>
      </w:r>
      <w:r>
        <w:rPr>
          <w:rFonts w:hint="eastAsia" w:ascii="仿宋_GB2312"/>
        </w:rPr>
        <w:t>分，部门整体支出绩效为“优秀”。</w:t>
      </w:r>
    </w:p>
    <w:p w14:paraId="11BA3EB9">
      <w:pPr>
        <w:spacing w:line="560" w:lineRule="exact"/>
        <w:ind w:firstLine="640" w:firstLineChars="200"/>
        <w:jc w:val="left"/>
        <w:rPr>
          <w:rFonts w:hint="eastAsia" w:ascii="楷体_GB2312" w:eastAsia="楷体_GB2312"/>
        </w:rPr>
      </w:pPr>
      <w:r>
        <w:rPr>
          <w:rFonts w:hint="eastAsia" w:ascii="楷体_GB2312" w:eastAsia="楷体_GB2312"/>
        </w:rPr>
        <w:t>2.主要绩效。</w:t>
      </w:r>
    </w:p>
    <w:p w14:paraId="70D81D2C">
      <w:pPr>
        <w:spacing w:line="560" w:lineRule="exact"/>
        <w:ind w:firstLine="640" w:firstLineChars="200"/>
        <w:jc w:val="left"/>
        <w:rPr>
          <w:rFonts w:ascii="仿宋_GB2312"/>
        </w:rPr>
      </w:pPr>
      <w:r>
        <w:rPr>
          <w:rFonts w:hint="eastAsia" w:ascii="仿宋_GB2312"/>
        </w:rPr>
        <w:t>严格按财经法规及制度使用、管理资金,成效明显,主要体现在以下几个方面：</w:t>
      </w:r>
    </w:p>
    <w:p w14:paraId="056631F6">
      <w:pPr>
        <w:spacing w:line="560" w:lineRule="exact"/>
        <w:ind w:firstLine="640" w:firstLineChars="200"/>
        <w:jc w:val="left"/>
        <w:rPr>
          <w:rFonts w:ascii="仿宋_GB2312"/>
          <w:highlight w:val="none"/>
        </w:rPr>
      </w:pPr>
      <w:r>
        <w:rPr>
          <w:rFonts w:hint="eastAsia" w:ascii="仿宋_GB2312"/>
        </w:rPr>
        <w:t>一是资</w:t>
      </w:r>
      <w:r>
        <w:rPr>
          <w:rFonts w:hint="eastAsia" w:ascii="仿宋_GB2312"/>
          <w:highlight w:val="none"/>
        </w:rPr>
        <w:t>金使用效益高。表现在:1保障职工工资、津补贴和各项应发工资及时足额发放，没有出现拖欠职工工资、离退休费用等现象；2保障职工社会保险费、公积金及时缴纳；3资金使用列支合理。</w:t>
      </w:r>
    </w:p>
    <w:p w14:paraId="194656E4">
      <w:pPr>
        <w:spacing w:line="560" w:lineRule="exact"/>
        <w:ind w:firstLine="640" w:firstLineChars="200"/>
        <w:jc w:val="left"/>
        <w:rPr>
          <w:rFonts w:ascii="仿宋_GB2312"/>
          <w:highlight w:val="none"/>
        </w:rPr>
      </w:pPr>
      <w:r>
        <w:rPr>
          <w:rFonts w:hint="eastAsia" w:ascii="仿宋_GB2312"/>
          <w:highlight w:val="none"/>
        </w:rPr>
        <w:t>二是资金使用社会效益好。保障各项工作的顺利进行；完成了上级及县委、县政府部门交办的工作任务。</w:t>
      </w:r>
    </w:p>
    <w:p w14:paraId="4DA6A299">
      <w:pPr>
        <w:spacing w:line="560" w:lineRule="exact"/>
        <w:ind w:firstLine="640" w:firstLineChars="200"/>
        <w:jc w:val="left"/>
        <w:rPr>
          <w:rFonts w:hint="eastAsia" w:ascii="楷体_GB2312" w:eastAsia="楷体_GB2312"/>
          <w:highlight w:val="none"/>
        </w:rPr>
      </w:pPr>
      <w:r>
        <w:rPr>
          <w:rFonts w:hint="eastAsia" w:ascii="楷体_GB2312" w:eastAsia="楷体_GB2312"/>
          <w:highlight w:val="none"/>
        </w:rPr>
        <w:t xml:space="preserve"> (二)具体绩效</w:t>
      </w:r>
    </w:p>
    <w:p w14:paraId="436F2FBD">
      <w:pPr>
        <w:spacing w:line="560" w:lineRule="exact"/>
        <w:ind w:firstLine="640" w:firstLineChars="200"/>
        <w:jc w:val="left"/>
        <w:rPr>
          <w:rFonts w:ascii="仿宋_GB2312"/>
          <w:highlight w:val="none"/>
        </w:rPr>
      </w:pPr>
      <w:r>
        <w:rPr>
          <w:rFonts w:hint="eastAsia" w:ascii="仿宋_GB2312"/>
          <w:highlight w:val="none"/>
        </w:rPr>
        <w:t>1.部门决策方面：部门决策设立部门目标、部门职能、资源配置3个二级指标。</w:t>
      </w:r>
    </w:p>
    <w:p w14:paraId="28FB0883">
      <w:pPr>
        <w:spacing w:line="560" w:lineRule="exact"/>
        <w:ind w:firstLine="640" w:firstLineChars="200"/>
        <w:rPr>
          <w:highlight w:val="none"/>
        </w:rPr>
      </w:pPr>
      <w:r>
        <w:rPr>
          <w:rFonts w:hint="eastAsia"/>
          <w:highlight w:val="none"/>
        </w:rPr>
        <w:t>（1）部门目标设立部门中长期规划目标的明确性与合理性、年度工作目标的明确性与合理性、年度工作计划与年度工作目标的一致性、绩效目标合理性、绩效指标明确性5个三级指标。经过评价分析，中共寻甸县委党校设立了部门中长期规划，中长期规划目标明确，并发布实施，得2分；年度工作目标以与县政府签订的《目标责任书》为准，具有明确性与合理性，得2分；年度工作计划与年度工作目标基本一致，得2分；中共寻甸县委党校已编制整体支出绩效目标申报表，设定了绩效目标，但绩效目标合理性、绩效指标明确性与年度工作任务不完全匹配，扣</w:t>
      </w:r>
      <w:r>
        <w:rPr>
          <w:rFonts w:hint="eastAsia"/>
          <w:highlight w:val="none"/>
          <w:lang w:val="en-US" w:eastAsia="zh-CN"/>
        </w:rPr>
        <w:t>1</w:t>
      </w:r>
      <w:r>
        <w:rPr>
          <w:rFonts w:hint="eastAsia"/>
          <w:highlight w:val="none"/>
        </w:rPr>
        <w:t>分，得</w:t>
      </w:r>
      <w:r>
        <w:rPr>
          <w:rFonts w:hint="eastAsia"/>
          <w:highlight w:val="none"/>
          <w:lang w:val="en-US" w:eastAsia="zh-CN"/>
        </w:rPr>
        <w:t>5分</w:t>
      </w:r>
      <w:r>
        <w:rPr>
          <w:rFonts w:hint="eastAsia"/>
          <w:highlight w:val="none"/>
        </w:rPr>
        <w:t>。部门决策总评价分12分，自评得分</w:t>
      </w:r>
      <w:r>
        <w:rPr>
          <w:rFonts w:hint="eastAsia"/>
          <w:highlight w:val="none"/>
          <w:lang w:val="en-US" w:eastAsia="zh-CN"/>
        </w:rPr>
        <w:t>11</w:t>
      </w:r>
      <w:r>
        <w:rPr>
          <w:rFonts w:hint="eastAsia"/>
          <w:highlight w:val="none"/>
        </w:rPr>
        <w:t>分。</w:t>
      </w:r>
    </w:p>
    <w:p w14:paraId="090E35E8">
      <w:pPr>
        <w:spacing w:line="560" w:lineRule="exact"/>
        <w:ind w:firstLine="640" w:firstLineChars="200"/>
        <w:rPr>
          <w:highlight w:val="none"/>
        </w:rPr>
      </w:pPr>
      <w:r>
        <w:rPr>
          <w:rFonts w:hint="eastAsia"/>
          <w:highlight w:val="none"/>
        </w:rPr>
        <w:t>（2)部门职能设立部门职能的明确性与科学性、年度工作目标与部门职能的适应性、年度具体工作与部门职能的匹配性、部门内设科室职责的明确性4个三级指标。经过评价分析，中共寻甸县委党校设定以“三定”方案为准，职能描述明确，设定依据充分，得1分；年度工作目标明确，均在“三定”方案明确的范围内，得4分；部门年度各类具体工作与部门职能相匹配，得4分；制定了具体科室岗位职责，得1分。部门职能总评价分10分，自评得分10分。</w:t>
      </w:r>
    </w:p>
    <w:p w14:paraId="505D433D">
      <w:pPr>
        <w:spacing w:line="560" w:lineRule="exact"/>
        <w:ind w:firstLine="640" w:firstLineChars="200"/>
        <w:rPr>
          <w:rFonts w:hAnsi="仿宋" w:cs="仿宋"/>
          <w:highlight w:val="none"/>
        </w:rPr>
      </w:pPr>
      <w:r>
        <w:rPr>
          <w:rFonts w:hint="eastAsia"/>
          <w:highlight w:val="none"/>
        </w:rPr>
        <w:t>（3）资源配置设立基本支出预算合理性、项目支出预算合理性、人力资源投入合理性、办公资源投入合理性、重点项目资源分配合理性5个三级指标。经过评价分析，中共寻甸县委党校年初预算人员编制基数按</w:t>
      </w:r>
      <w:r>
        <w:rPr>
          <w:rFonts w:hint="eastAsia"/>
          <w:highlight w:val="none"/>
          <w:lang w:val="en-US" w:eastAsia="zh-CN"/>
        </w:rPr>
        <w:t>2023</w:t>
      </w:r>
      <w:r>
        <w:rPr>
          <w:rFonts w:hint="eastAsia"/>
          <w:highlight w:val="none"/>
        </w:rPr>
        <w:t>年实有在编人员</w:t>
      </w:r>
      <w:r>
        <w:rPr>
          <w:rFonts w:hint="eastAsia"/>
          <w:highlight w:val="none"/>
          <w:lang w:val="en-US" w:eastAsia="zh-CN"/>
        </w:rPr>
        <w:t>19</w:t>
      </w:r>
      <w:r>
        <w:rPr>
          <w:rFonts w:hint="eastAsia"/>
          <w:highlight w:val="none"/>
        </w:rPr>
        <w:t>人编制，基本支出根据县财政局给定的标准计算，基本支出预算编制基本合理，得2分；项目支出按县财政局下达的预算编制文件上报了预算编审表，经县财政局对预算编制进行了审核，预算程序合理，预算依据充分，符合资金使用范围，不存在违规资金的情况，得4分；根据人力资源配置合理性调查问卷，大部分员工认为工作任务偏重，且存在普遍加班的现象，扣1分，得分1分；根据固定资产卡片账，办公资源基本能满足办公需要，配置基本合理，得2分；本年度重点项目全部完成，得3分。</w:t>
      </w:r>
      <w:r>
        <w:rPr>
          <w:rFonts w:hint="eastAsia" w:hAnsi="仿宋" w:cs="仿宋"/>
          <w:color w:val="000000" w:themeColor="text1"/>
          <w:highlight w:val="none"/>
          <w14:textFill>
            <w14:solidFill>
              <w14:schemeClr w14:val="tx1"/>
            </w14:solidFill>
          </w14:textFill>
        </w:rPr>
        <w:t>资源配置总评价分14分，实际得分12分。 部门决策总评价分36分，</w:t>
      </w:r>
      <w:r>
        <w:rPr>
          <w:rFonts w:hint="eastAsia" w:hAnsi="仿宋" w:cs="仿宋"/>
          <w:highlight w:val="none"/>
        </w:rPr>
        <w:t>自评</w:t>
      </w:r>
      <w:r>
        <w:rPr>
          <w:rFonts w:hint="eastAsia" w:hAnsi="仿宋" w:cs="仿宋"/>
          <w:color w:val="000000" w:themeColor="text1"/>
          <w:highlight w:val="none"/>
          <w14:textFill>
            <w14:solidFill>
              <w14:schemeClr w14:val="tx1"/>
            </w14:solidFill>
          </w14:textFill>
        </w:rPr>
        <w:t>得分3</w:t>
      </w:r>
      <w:r>
        <w:rPr>
          <w:rFonts w:hint="eastAsia" w:hAnsi="仿宋" w:cs="仿宋"/>
          <w:color w:val="000000" w:themeColor="text1"/>
          <w:highlight w:val="none"/>
          <w:lang w:val="en-US" w:eastAsia="zh-CN"/>
          <w14:textFill>
            <w14:solidFill>
              <w14:schemeClr w14:val="tx1"/>
            </w14:solidFill>
          </w14:textFill>
        </w:rPr>
        <w:t>3</w:t>
      </w:r>
      <w:r>
        <w:rPr>
          <w:rFonts w:hint="eastAsia" w:hAnsi="仿宋" w:cs="仿宋"/>
          <w:highlight w:val="none"/>
        </w:rPr>
        <w:t>分。</w:t>
      </w:r>
    </w:p>
    <w:p w14:paraId="29A13C71">
      <w:pPr>
        <w:spacing w:line="560" w:lineRule="exact"/>
        <w:ind w:firstLine="640" w:firstLineChars="200"/>
        <w:rPr>
          <w:rFonts w:hAnsi="仿宋" w:cs="仿宋"/>
          <w:highlight w:val="none"/>
        </w:rPr>
      </w:pPr>
      <w:r>
        <w:rPr>
          <w:rFonts w:hint="eastAsia" w:hAnsi="仿宋" w:cs="仿宋"/>
          <w:highlight w:val="none"/>
        </w:rPr>
        <w:t>2. 部门管理方面：部门管理设立预算管理、财务管理、人力资源管理、资产管理、业务管理5个二级指标。</w:t>
      </w:r>
    </w:p>
    <w:p w14:paraId="61CF4C77">
      <w:pPr>
        <w:spacing w:line="560" w:lineRule="exact"/>
        <w:ind w:firstLine="640" w:firstLineChars="200"/>
        <w:rPr>
          <w:rFonts w:hAnsi="仿宋" w:cs="仿宋"/>
          <w:color w:val="000000" w:themeColor="text1"/>
          <w:highlight w:val="none"/>
          <w14:textFill>
            <w14:solidFill>
              <w14:schemeClr w14:val="tx1"/>
            </w14:solidFill>
          </w14:textFill>
        </w:rPr>
      </w:pPr>
      <w:r>
        <w:rPr>
          <w:rFonts w:hint="eastAsia" w:hAnsi="仿宋" w:cs="仿宋"/>
          <w:color w:val="000000" w:themeColor="text1"/>
          <w:highlight w:val="none"/>
          <w14:textFill>
            <w14:solidFill>
              <w14:schemeClr w14:val="tx1"/>
            </w14:solidFill>
          </w14:textFill>
        </w:rPr>
        <w:t>（1)预算管理设立基本支出预算执行率、项目支出预算执行率、“三公经费”控制率、预算调整情况4个三级指标。经过评价分析，中共寻甸县委党校</w:t>
      </w:r>
      <w:r>
        <w:rPr>
          <w:rFonts w:hint="eastAsia" w:hAnsi="仿宋" w:cs="仿宋"/>
          <w:color w:val="000000" w:themeColor="text1"/>
          <w:highlight w:val="none"/>
          <w:lang w:val="en-US" w:eastAsia="zh-CN"/>
          <w14:textFill>
            <w14:solidFill>
              <w14:schemeClr w14:val="tx1"/>
            </w14:solidFill>
          </w14:textFill>
        </w:rPr>
        <w:t>2023</w:t>
      </w:r>
      <w:r>
        <w:rPr>
          <w:rFonts w:hint="eastAsia" w:hAnsi="仿宋" w:cs="仿宋"/>
          <w:color w:val="000000" w:themeColor="text1"/>
          <w:highlight w:val="none"/>
          <w14:textFill>
            <w14:solidFill>
              <w14:schemeClr w14:val="tx1"/>
            </w14:solidFill>
          </w14:textFill>
        </w:rPr>
        <w:t>年度按规定标准预算，得</w:t>
      </w:r>
      <w:r>
        <w:rPr>
          <w:rFonts w:hint="eastAsia" w:hAnsi="仿宋" w:cs="仿宋"/>
          <w:color w:val="000000" w:themeColor="text1"/>
          <w:highlight w:val="none"/>
          <w:lang w:val="en-US" w:eastAsia="zh-CN"/>
          <w14:textFill>
            <w14:solidFill>
              <w14:schemeClr w14:val="tx1"/>
            </w14:solidFill>
          </w14:textFill>
        </w:rPr>
        <w:t>1</w:t>
      </w:r>
      <w:r>
        <w:rPr>
          <w:rFonts w:hint="eastAsia" w:hAnsi="仿宋" w:cs="仿宋"/>
          <w:color w:val="000000" w:themeColor="text1"/>
          <w:highlight w:val="none"/>
          <w14:textFill>
            <w14:solidFill>
              <w14:schemeClr w14:val="tx1"/>
            </w14:solidFill>
          </w14:textFill>
        </w:rPr>
        <w:t>分；</w:t>
      </w:r>
      <w:r>
        <w:rPr>
          <w:rFonts w:hint="eastAsia" w:hAnsi="仿宋" w:cs="仿宋"/>
          <w:color w:val="auto"/>
          <w:highlight w:val="none"/>
          <w:lang w:val="en-US" w:eastAsia="zh-CN"/>
        </w:rPr>
        <w:t>2023</w:t>
      </w:r>
      <w:r>
        <w:rPr>
          <w:rFonts w:hint="eastAsia" w:hAnsi="仿宋" w:cs="仿宋"/>
          <w:color w:val="auto"/>
          <w:highlight w:val="none"/>
        </w:rPr>
        <w:t>年本级财政项目支出预算数</w:t>
      </w:r>
      <w:r>
        <w:rPr>
          <w:rFonts w:hint="eastAsia" w:hAnsi="仿宋" w:cs="仿宋"/>
          <w:color w:val="auto"/>
          <w:highlight w:val="none"/>
          <w:lang w:val="en-US" w:eastAsia="zh-CN"/>
        </w:rPr>
        <w:t>20</w:t>
      </w:r>
      <w:r>
        <w:rPr>
          <w:rFonts w:hint="eastAsia" w:hAnsi="仿宋" w:cs="仿宋"/>
          <w:color w:val="auto"/>
          <w:highlight w:val="none"/>
        </w:rPr>
        <w:t>万元，实际支出</w:t>
      </w:r>
      <w:r>
        <w:rPr>
          <w:rFonts w:hint="eastAsia" w:hAnsi="仿宋" w:cs="仿宋"/>
          <w:color w:val="auto"/>
          <w:highlight w:val="none"/>
          <w:lang w:val="en-US" w:eastAsia="zh-CN"/>
        </w:rPr>
        <w:t>18.18</w:t>
      </w:r>
      <w:r>
        <w:rPr>
          <w:rFonts w:hint="eastAsia" w:hAnsi="仿宋" w:cs="仿宋"/>
          <w:color w:val="auto"/>
          <w:highlight w:val="none"/>
        </w:rPr>
        <w:t>万元，预算执行率</w:t>
      </w:r>
      <w:r>
        <w:rPr>
          <w:rFonts w:hint="eastAsia" w:hAnsi="仿宋" w:cs="仿宋"/>
          <w:color w:val="auto"/>
          <w:highlight w:val="none"/>
          <w:lang w:val="en-US" w:eastAsia="zh-CN"/>
        </w:rPr>
        <w:t>90.9</w:t>
      </w:r>
      <w:r>
        <w:rPr>
          <w:rFonts w:hint="eastAsia" w:hAnsi="仿宋" w:cs="仿宋"/>
          <w:color w:val="auto"/>
          <w:highlight w:val="none"/>
        </w:rPr>
        <w:t>%，得</w:t>
      </w:r>
      <w:r>
        <w:rPr>
          <w:rFonts w:hint="eastAsia" w:hAnsi="仿宋" w:cs="仿宋"/>
          <w:color w:val="auto"/>
          <w:highlight w:val="none"/>
          <w:lang w:val="en-US" w:eastAsia="zh-CN"/>
        </w:rPr>
        <w:t>3.5</w:t>
      </w:r>
      <w:r>
        <w:rPr>
          <w:rFonts w:hint="eastAsia" w:hAnsi="仿宋" w:cs="仿宋"/>
          <w:color w:val="auto"/>
          <w:highlight w:val="none"/>
        </w:rPr>
        <w:t>分</w:t>
      </w:r>
      <w:r>
        <w:rPr>
          <w:rFonts w:hint="eastAsia" w:hAnsi="仿宋" w:cs="仿宋"/>
          <w:color w:val="000000" w:themeColor="text1"/>
          <w:highlight w:val="none"/>
          <w14:textFill>
            <w14:solidFill>
              <w14:schemeClr w14:val="tx1"/>
            </w14:solidFill>
          </w14:textFill>
        </w:rPr>
        <w:t>。中共寻甸县委党校</w:t>
      </w:r>
      <w:r>
        <w:rPr>
          <w:rFonts w:hint="eastAsia" w:hAnsi="仿宋" w:cs="仿宋"/>
          <w:color w:val="000000" w:themeColor="text1"/>
          <w:highlight w:val="none"/>
          <w:lang w:val="en-US" w:eastAsia="zh-CN"/>
          <w14:textFill>
            <w14:solidFill>
              <w14:schemeClr w14:val="tx1"/>
            </w14:solidFill>
          </w14:textFill>
        </w:rPr>
        <w:t>2023</w:t>
      </w:r>
      <w:r>
        <w:rPr>
          <w:rFonts w:hint="eastAsia" w:hAnsi="仿宋" w:cs="仿宋"/>
          <w:color w:val="000000" w:themeColor="text1"/>
          <w:highlight w:val="none"/>
          <w14:textFill>
            <w14:solidFill>
              <w14:schemeClr w14:val="tx1"/>
            </w14:solidFill>
          </w14:textFill>
        </w:rPr>
        <w:t>年度“三公”经费实际支出比</w:t>
      </w:r>
      <w:r>
        <w:rPr>
          <w:rFonts w:hint="eastAsia" w:hAnsi="仿宋" w:cs="仿宋"/>
          <w:color w:val="000000" w:themeColor="text1"/>
          <w:highlight w:val="none"/>
          <w:lang w:val="en-US" w:eastAsia="zh-CN"/>
          <w14:textFill>
            <w14:solidFill>
              <w14:schemeClr w14:val="tx1"/>
            </w14:solidFill>
          </w14:textFill>
        </w:rPr>
        <w:t>2021</w:t>
      </w:r>
      <w:r>
        <w:rPr>
          <w:rFonts w:hint="eastAsia" w:hAnsi="仿宋" w:cs="仿宋"/>
          <w:color w:val="000000" w:themeColor="text1"/>
          <w:highlight w:val="none"/>
          <w14:textFill>
            <w14:solidFill>
              <w14:schemeClr w14:val="tx1"/>
            </w14:solidFill>
          </w14:textFill>
        </w:rPr>
        <w:t>年</w:t>
      </w:r>
      <w:r>
        <w:rPr>
          <w:rFonts w:hint="eastAsia" w:hAnsi="仿宋" w:cs="仿宋"/>
          <w:color w:val="000000" w:themeColor="text1"/>
          <w:highlight w:val="none"/>
          <w:lang w:eastAsia="zh-CN"/>
          <w14:textFill>
            <w14:solidFill>
              <w14:schemeClr w14:val="tx1"/>
            </w14:solidFill>
          </w14:textFill>
        </w:rPr>
        <w:t>减少</w:t>
      </w:r>
      <w:r>
        <w:rPr>
          <w:rFonts w:hint="eastAsia" w:hAnsi="仿宋" w:cs="仿宋"/>
          <w:color w:val="000000" w:themeColor="text1"/>
          <w:highlight w:val="none"/>
          <w:lang w:val="en-US" w:eastAsia="zh-CN"/>
          <w14:textFill>
            <w14:solidFill>
              <w14:schemeClr w14:val="tx1"/>
            </w14:solidFill>
          </w14:textFill>
        </w:rPr>
        <w:t>0</w:t>
      </w:r>
      <w:r>
        <w:rPr>
          <w:rFonts w:hint="eastAsia" w:hAnsi="仿宋" w:cs="仿宋"/>
          <w:color w:val="000000" w:themeColor="text1"/>
          <w:highlight w:val="none"/>
          <w14:textFill>
            <w14:solidFill>
              <w14:schemeClr w14:val="tx1"/>
            </w14:solidFill>
          </w14:textFill>
        </w:rPr>
        <w:t>万元。</w:t>
      </w:r>
      <w:r>
        <w:rPr>
          <w:rFonts w:hint="eastAsia" w:hAnsi="仿宋" w:cs="仿宋"/>
          <w:color w:val="000000" w:themeColor="text1"/>
          <w:highlight w:val="none"/>
          <w:lang w:eastAsia="zh-CN"/>
          <w14:textFill>
            <w14:solidFill>
              <w14:schemeClr w14:val="tx1"/>
            </w14:solidFill>
          </w14:textFill>
        </w:rPr>
        <w:t>得</w:t>
      </w:r>
      <w:r>
        <w:rPr>
          <w:rFonts w:hint="eastAsia" w:hAnsi="仿宋" w:cs="仿宋"/>
          <w:color w:val="000000" w:themeColor="text1"/>
          <w:highlight w:val="none"/>
          <w:lang w:val="en-US" w:eastAsia="zh-CN"/>
          <w14:textFill>
            <w14:solidFill>
              <w14:schemeClr w14:val="tx1"/>
            </w14:solidFill>
          </w14:textFill>
        </w:rPr>
        <w:t>1</w:t>
      </w:r>
      <w:r>
        <w:rPr>
          <w:rFonts w:hint="eastAsia" w:hAnsi="仿宋" w:cs="仿宋"/>
          <w:color w:val="000000" w:themeColor="text1"/>
          <w:highlight w:val="none"/>
          <w14:textFill>
            <w14:solidFill>
              <w14:schemeClr w14:val="tx1"/>
            </w14:solidFill>
          </w14:textFill>
        </w:rPr>
        <w:t>分；中共寻甸县委党校预算调整均根据预算执行情况进行调整，且上报了预算追加手续，调整程序规范，得1分。预算管理评价得分7分，自评得分</w:t>
      </w:r>
      <w:r>
        <w:rPr>
          <w:rFonts w:hint="eastAsia" w:hAnsi="仿宋" w:cs="仿宋"/>
          <w:color w:val="000000" w:themeColor="text1"/>
          <w:highlight w:val="none"/>
          <w:lang w:val="en-US" w:eastAsia="zh-CN"/>
          <w14:textFill>
            <w14:solidFill>
              <w14:schemeClr w14:val="tx1"/>
            </w14:solidFill>
          </w14:textFill>
        </w:rPr>
        <w:t>6.5</w:t>
      </w:r>
      <w:r>
        <w:rPr>
          <w:rFonts w:hint="eastAsia" w:hAnsi="仿宋" w:cs="仿宋"/>
          <w:color w:val="000000" w:themeColor="text1"/>
          <w:highlight w:val="none"/>
          <w14:textFill>
            <w14:solidFill>
              <w14:schemeClr w14:val="tx1"/>
            </w14:solidFill>
          </w14:textFill>
        </w:rPr>
        <w:t>分。</w:t>
      </w:r>
    </w:p>
    <w:p w14:paraId="6D4B16AF">
      <w:pPr>
        <w:spacing w:line="560" w:lineRule="exact"/>
        <w:ind w:firstLine="640" w:firstLineChars="200"/>
        <w:rPr>
          <w:rFonts w:hAnsi="仿宋" w:cs="仿宋"/>
          <w:highlight w:val="none"/>
        </w:rPr>
      </w:pPr>
      <w:r>
        <w:rPr>
          <w:rFonts w:hint="eastAsia" w:hAnsi="仿宋" w:cs="仿宋"/>
          <w:color w:val="000000"/>
          <w:highlight w:val="none"/>
        </w:rPr>
        <w:t>（2）财务管理设立财务管理制度健全性及执行情况、资金</w:t>
      </w:r>
      <w:r>
        <w:rPr>
          <w:rFonts w:hint="eastAsia" w:hAnsi="仿宋" w:cs="仿宋"/>
          <w:highlight w:val="none"/>
        </w:rPr>
        <w:t>使用合规性、财务监控的有效性3个三级指标。经过评价分析，中共寻甸县委党校在《中华人民共和国会计法》、《中华人民共和国预算法》、《行政单位财务规则》、《行政单位会计制度》的基础上，制定了相关的规定，基本得到有效执行，得1分；中共寻甸县委党校资金使用经单位负责人审批，重大资金支出均经集体决策；中共寻甸县委党校预算资金的使用符合预算资金的用途，未发现在截留、挤占、挪用、虚列支出等情况，得4分；财务监控方面，中共寻甸县委党校财务人员对单据审核后支付，得1分。财务管理总评价分6分，自评得分6分。</w:t>
      </w:r>
    </w:p>
    <w:p w14:paraId="7958C042">
      <w:pPr>
        <w:spacing w:line="560" w:lineRule="exact"/>
        <w:ind w:firstLine="640" w:firstLineChars="200"/>
        <w:rPr>
          <w:highlight w:val="none"/>
        </w:rPr>
      </w:pPr>
      <w:r>
        <w:rPr>
          <w:rFonts w:hint="eastAsia"/>
          <w:highlight w:val="none"/>
        </w:rPr>
        <w:t>（3）人力资源管理设置在职人员控制率、人力资源管理执行情况2个三级指标。经过评价分析，中共寻甸县委党校实际在编人数1</w:t>
      </w:r>
      <w:r>
        <w:rPr>
          <w:rFonts w:hint="eastAsia"/>
          <w:highlight w:val="none"/>
          <w:lang w:val="en-US" w:eastAsia="zh-CN"/>
        </w:rPr>
        <w:t>9</w:t>
      </w:r>
      <w:r>
        <w:rPr>
          <w:rFonts w:hint="eastAsia"/>
          <w:highlight w:val="none"/>
        </w:rPr>
        <w:t>人，低于核定编制</w:t>
      </w:r>
      <w:r>
        <w:rPr>
          <w:rFonts w:hint="eastAsia"/>
          <w:highlight w:val="none"/>
          <w:lang w:val="en-US" w:eastAsia="zh-CN"/>
        </w:rPr>
        <w:t>22</w:t>
      </w:r>
      <w:r>
        <w:rPr>
          <w:rFonts w:hint="eastAsia"/>
          <w:highlight w:val="none"/>
        </w:rPr>
        <w:t>人，得1分；中共寻甸县委党校现行的财务制度，每年度根据《昆明市公务员考核实施办法（试行）》、中共寻甸县委党校工作内部管理制度对单位工作人员进行考核，得1分。人力资源管理总评价分2分，实际得分2分。</w:t>
      </w:r>
    </w:p>
    <w:p w14:paraId="370F0275">
      <w:pPr>
        <w:spacing w:line="560" w:lineRule="exact"/>
        <w:ind w:firstLine="640" w:firstLineChars="200"/>
        <w:rPr>
          <w:highlight w:val="none"/>
        </w:rPr>
      </w:pPr>
      <w:r>
        <w:rPr>
          <w:rFonts w:hint="eastAsia"/>
          <w:highlight w:val="none"/>
        </w:rPr>
        <w:t>（4）资产管理设立资产管理制度健全性及执行情况、固定资产在用率2个三级指标。经过评价分析，中共寻甸县委党校建立了财产物资管理制度，制度符合相关法律法规规定，得1分；中共寻甸县委党校固定资产在用率100%，得1分。资产管理总评价分2分，自评得分2分。</w:t>
      </w:r>
    </w:p>
    <w:p w14:paraId="450D7AB9">
      <w:pPr>
        <w:spacing w:line="560" w:lineRule="exact"/>
        <w:ind w:firstLine="640" w:firstLineChars="200"/>
        <w:rPr>
          <w:highlight w:val="none"/>
        </w:rPr>
      </w:pPr>
      <w:r>
        <w:rPr>
          <w:rFonts w:hint="eastAsia"/>
          <w:highlight w:val="none"/>
        </w:rPr>
        <w:t>（5）业务管理设立业务管理制度健全性及执行情况、政府采购规范性、监督考核情况3个三级指标。经过评价分析，中共寻甸县委党校制定了相关的制度，并得到执行，得1分；政府采购向县财政局上报了采购计划，按批准的采购方式组织采购，采购方式、采购程序规范，得1分；在监督考核方面，中共寻甸县委党校将目标责任分解落实下达，并进行了考核打分，得1分。业务管理总评价分3分，自评得分3分。</w:t>
      </w:r>
    </w:p>
    <w:p w14:paraId="46EA6BBA">
      <w:pPr>
        <w:spacing w:line="560" w:lineRule="exact"/>
        <w:ind w:firstLine="640" w:firstLineChars="200"/>
        <w:rPr>
          <w:highlight w:val="none"/>
        </w:rPr>
      </w:pPr>
      <w:r>
        <w:rPr>
          <w:rFonts w:hint="eastAsia"/>
          <w:highlight w:val="none"/>
        </w:rPr>
        <w:t>部门管理总评价分20分，自评得分</w:t>
      </w:r>
      <w:r>
        <w:rPr>
          <w:rFonts w:hint="eastAsia"/>
          <w:highlight w:val="none"/>
          <w:lang w:val="en-US" w:eastAsia="zh-CN"/>
        </w:rPr>
        <w:t>19.5</w:t>
      </w:r>
      <w:r>
        <w:rPr>
          <w:rFonts w:hint="eastAsia"/>
          <w:highlight w:val="none"/>
        </w:rPr>
        <w:t>分。</w:t>
      </w:r>
    </w:p>
    <w:p w14:paraId="4C9E130C">
      <w:pPr>
        <w:spacing w:line="560" w:lineRule="exact"/>
        <w:ind w:firstLine="640" w:firstLineChars="200"/>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具体绩效总分56分，自评得分5</w:t>
      </w:r>
      <w:r>
        <w:rPr>
          <w:rFonts w:hint="eastAsia"/>
          <w:color w:val="000000" w:themeColor="text1"/>
          <w:highlight w:val="none"/>
          <w:lang w:val="en-US" w:eastAsia="zh-CN"/>
          <w14:textFill>
            <w14:solidFill>
              <w14:schemeClr w14:val="tx1"/>
            </w14:solidFill>
          </w14:textFill>
        </w:rPr>
        <w:t>2.5</w:t>
      </w:r>
      <w:r>
        <w:rPr>
          <w:rFonts w:hint="eastAsia"/>
          <w:color w:val="000000" w:themeColor="text1"/>
          <w:highlight w:val="none"/>
          <w14:textFill>
            <w14:solidFill>
              <w14:schemeClr w14:val="tx1"/>
            </w14:solidFill>
          </w14:textFill>
        </w:rPr>
        <w:t>分。</w:t>
      </w:r>
    </w:p>
    <w:p w14:paraId="11676D80">
      <w:pPr>
        <w:spacing w:line="560" w:lineRule="exact"/>
        <w:ind w:firstLine="640" w:firstLineChars="200"/>
        <w:rPr>
          <w:rFonts w:hint="eastAsia" w:ascii="楷体_GB2312" w:hAnsi="Times New Roman" w:eastAsia="楷体_GB2312" w:cs="Times New Roman"/>
          <w:color w:val="000000" w:themeColor="text1"/>
          <w:highlight w:val="none"/>
          <w14:textFill>
            <w14:solidFill>
              <w14:schemeClr w14:val="tx1"/>
            </w14:solidFill>
          </w14:textFill>
        </w:rPr>
      </w:pPr>
      <w:r>
        <w:rPr>
          <w:rFonts w:hint="eastAsia" w:ascii="楷体_GB2312" w:hAnsi="Times New Roman" w:eastAsia="楷体_GB2312" w:cs="Times New Roman"/>
          <w:color w:val="000000" w:themeColor="text1"/>
          <w:highlight w:val="none"/>
          <w14:textFill>
            <w14:solidFill>
              <w14:schemeClr w14:val="tx1"/>
            </w14:solidFill>
          </w14:textFill>
        </w:rPr>
        <w:t>（三）部门绩效</w:t>
      </w:r>
    </w:p>
    <w:p w14:paraId="068A2878">
      <w:pPr>
        <w:spacing w:line="560" w:lineRule="exact"/>
        <w:ind w:firstLine="640" w:firstLineChars="200"/>
        <w:rPr>
          <w:rFonts w:hAnsi="Times New Roman" w:cs="Times New Roman"/>
          <w:color w:val="000000" w:themeColor="text1"/>
          <w:highlight w:val="none"/>
          <w14:textFill>
            <w14:solidFill>
              <w14:schemeClr w14:val="tx1"/>
            </w14:solidFill>
          </w14:textFill>
        </w:rPr>
      </w:pPr>
      <w:r>
        <w:rPr>
          <w:rFonts w:hint="eastAsia" w:hAnsi="Times New Roman" w:cs="Times New Roman"/>
          <w:color w:val="000000" w:themeColor="text1"/>
          <w:highlight w:val="none"/>
          <w14:textFill>
            <w14:solidFill>
              <w14:schemeClr w14:val="tx1"/>
            </w14:solidFill>
          </w14:textFill>
        </w:rPr>
        <w:t>1.</w:t>
      </w:r>
      <w:r>
        <w:rPr>
          <w:rFonts w:hint="eastAsia"/>
          <w:highlight w:val="none"/>
        </w:rPr>
        <w:t xml:space="preserve"> </w:t>
      </w:r>
      <w:r>
        <w:rPr>
          <w:rFonts w:hint="eastAsia" w:hAnsi="Times New Roman" w:cs="Times New Roman"/>
          <w:color w:val="000000" w:themeColor="text1"/>
          <w:highlight w:val="none"/>
          <w14:textFill>
            <w14:solidFill>
              <w14:schemeClr w14:val="tx1"/>
            </w14:solidFill>
          </w14:textFill>
        </w:rPr>
        <w:t>部门产出8项指标24分。单位任务完成、项目实施、培训完成情况及人数、县本级项目经费预算执行时间、项目完成时间、人员经费及公用经费使用、保障县本级人员经费基本支出预算、项目成本控制率。</w:t>
      </w:r>
      <w:r>
        <w:rPr>
          <w:rFonts w:hint="eastAsia"/>
          <w:highlight w:val="none"/>
        </w:rPr>
        <w:t>经过评价分析，中共寻甸县委党校完成了年度目标工作任务，完成培训任务，按时支付项目资金，职工工资纳入统发、社保缴费及时。自评得分24分。</w:t>
      </w:r>
    </w:p>
    <w:p w14:paraId="07EB9280">
      <w:pPr>
        <w:spacing w:line="560" w:lineRule="exact"/>
        <w:ind w:firstLine="640" w:firstLineChars="200"/>
        <w:rPr>
          <w:rFonts w:hAnsi="Times New Roman" w:cs="Times New Roman"/>
          <w:color w:val="000000" w:themeColor="text1"/>
          <w:highlight w:val="none"/>
          <w14:textFill>
            <w14:solidFill>
              <w14:schemeClr w14:val="tx1"/>
            </w14:solidFill>
          </w14:textFill>
        </w:rPr>
      </w:pPr>
      <w:r>
        <w:rPr>
          <w:rFonts w:hint="eastAsia" w:hAnsi="Times New Roman" w:cs="Times New Roman"/>
          <w:color w:val="000000" w:themeColor="text1"/>
          <w:highlight w:val="none"/>
          <w14:textFill>
            <w14:solidFill>
              <w14:schemeClr w14:val="tx1"/>
            </w14:solidFill>
          </w14:textFill>
        </w:rPr>
        <w:t>2.</w:t>
      </w:r>
      <w:r>
        <w:rPr>
          <w:rFonts w:hint="eastAsia"/>
          <w:highlight w:val="none"/>
        </w:rPr>
        <w:t xml:space="preserve"> </w:t>
      </w:r>
      <w:r>
        <w:rPr>
          <w:rFonts w:hint="eastAsia" w:hAnsi="Times New Roman" w:cs="Times New Roman"/>
          <w:color w:val="000000" w:themeColor="text1"/>
          <w:highlight w:val="none"/>
          <w14:textFill>
            <w14:solidFill>
              <w14:schemeClr w14:val="tx1"/>
            </w14:solidFill>
          </w14:textFill>
        </w:rPr>
        <w:t>部门效果8项指标14分。单位无欠债，职工收入较上年有所增加、全年培训人数达标率、行风评议在60%以上名次、干部培训保障、扶贫工作成效宣传、单位及住宿区绿化率40%以上，排污达标，无卫生死角，单位职工工作环境生活条件有所改善、继续做到无欠债。</w:t>
      </w:r>
      <w:r>
        <w:rPr>
          <w:rFonts w:hint="eastAsia"/>
          <w:highlight w:val="none"/>
        </w:rPr>
        <w:t>经过评价分析，中共寻甸县委党校</w:t>
      </w:r>
      <w:r>
        <w:rPr>
          <w:rFonts w:hint="eastAsia" w:hAnsi="Times New Roman" w:cs="Times New Roman"/>
          <w:color w:val="000000" w:themeColor="text1"/>
          <w:highlight w:val="none"/>
          <w14:textFill>
            <w14:solidFill>
              <w14:schemeClr w14:val="tx1"/>
            </w14:solidFill>
          </w14:textFill>
        </w:rPr>
        <w:t>无欠债，职工收入较上年有所增加、全年培训人数达标率100%、行风评议在60%以上名次、干部培训保障得到保障、扶贫工作成效宣传效果较好，单位做到继续做到无欠债。由校园内有经营性餐厅，不时出现环境卫生问题。部门效果8项指标14分，自评1</w:t>
      </w:r>
      <w:r>
        <w:rPr>
          <w:rFonts w:hint="eastAsia" w:hAnsi="Times New Roman" w:cs="Times New Roman"/>
          <w:color w:val="000000" w:themeColor="text1"/>
          <w:highlight w:val="none"/>
          <w:lang w:val="en-US" w:eastAsia="zh-CN"/>
          <w14:textFill>
            <w14:solidFill>
              <w14:schemeClr w14:val="tx1"/>
            </w14:solidFill>
          </w14:textFill>
        </w:rPr>
        <w:t>3.5</w:t>
      </w:r>
      <w:r>
        <w:rPr>
          <w:rFonts w:hint="eastAsia" w:hAnsi="Times New Roman" w:cs="Times New Roman"/>
          <w:color w:val="000000" w:themeColor="text1"/>
          <w:highlight w:val="none"/>
          <w14:textFill>
            <w14:solidFill>
              <w14:schemeClr w14:val="tx1"/>
            </w14:solidFill>
          </w14:textFill>
        </w:rPr>
        <w:t xml:space="preserve">分。 </w:t>
      </w:r>
    </w:p>
    <w:p w14:paraId="49E723A7">
      <w:pPr>
        <w:spacing w:line="560" w:lineRule="exact"/>
        <w:ind w:firstLine="640" w:firstLineChars="200"/>
        <w:rPr>
          <w:rFonts w:hAnsi="Times New Roman" w:cs="Times New Roman"/>
          <w:color w:val="000000" w:themeColor="text1"/>
          <w:highlight w:val="none"/>
          <w14:textFill>
            <w14:solidFill>
              <w14:schemeClr w14:val="tx1"/>
            </w14:solidFill>
          </w14:textFill>
        </w:rPr>
      </w:pPr>
      <w:r>
        <w:rPr>
          <w:rFonts w:hint="eastAsia" w:hAnsi="Times New Roman" w:cs="Times New Roman"/>
          <w:color w:val="000000" w:themeColor="text1"/>
          <w:highlight w:val="none"/>
          <w14:textFill>
            <w14:solidFill>
              <w14:schemeClr w14:val="tx1"/>
            </w14:solidFill>
          </w14:textFill>
        </w:rPr>
        <w:t>3.</w:t>
      </w:r>
      <w:r>
        <w:rPr>
          <w:rFonts w:hint="eastAsia"/>
          <w:highlight w:val="none"/>
        </w:rPr>
        <w:t xml:space="preserve"> </w:t>
      </w:r>
      <w:r>
        <w:rPr>
          <w:rFonts w:hint="eastAsia" w:hAnsi="Times New Roman" w:cs="Times New Roman"/>
          <w:color w:val="000000" w:themeColor="text1"/>
          <w:highlight w:val="none"/>
          <w14:textFill>
            <w14:solidFill>
              <w14:schemeClr w14:val="tx1"/>
            </w14:solidFill>
          </w14:textFill>
        </w:rPr>
        <w:t>满意度指标1项指标6分。职工满意度。</w:t>
      </w:r>
      <w:r>
        <w:rPr>
          <w:rFonts w:hint="eastAsia"/>
          <w:highlight w:val="none"/>
        </w:rPr>
        <w:t>经过评价分析，</w:t>
      </w:r>
      <w:r>
        <w:rPr>
          <w:rFonts w:hint="eastAsia" w:hAnsi="Times New Roman" w:cs="Times New Roman"/>
          <w:color w:val="000000" w:themeColor="text1"/>
          <w:highlight w:val="none"/>
          <w14:textFill>
            <w14:solidFill>
              <w14:schemeClr w14:val="tx1"/>
            </w14:solidFill>
          </w14:textFill>
        </w:rPr>
        <w:t>职工满意度90%以上，自评得分6分。</w:t>
      </w:r>
    </w:p>
    <w:p w14:paraId="499D1868">
      <w:pPr>
        <w:spacing w:line="560" w:lineRule="exact"/>
        <w:ind w:firstLine="640" w:firstLineChars="200"/>
        <w:rPr>
          <w:rFonts w:hint="eastAsia" w:hAnsi="Times New Roman" w:cs="Times New Roman"/>
          <w:color w:val="000000" w:themeColor="text1"/>
          <w:highlight w:val="none"/>
          <w14:textFill>
            <w14:solidFill>
              <w14:schemeClr w14:val="tx1"/>
            </w14:solidFill>
          </w14:textFill>
        </w:rPr>
      </w:pPr>
      <w:r>
        <w:rPr>
          <w:rFonts w:hint="eastAsia" w:hAnsi="Times New Roman" w:cs="Times New Roman"/>
          <w:color w:val="000000" w:themeColor="text1"/>
          <w:highlight w:val="none"/>
          <w14:textFill>
            <w14:solidFill>
              <w14:schemeClr w14:val="tx1"/>
            </w14:solidFill>
          </w14:textFill>
        </w:rPr>
        <w:t>部门绩效总分44分，自评得分4</w:t>
      </w:r>
      <w:r>
        <w:rPr>
          <w:rFonts w:hint="eastAsia" w:hAnsi="Times New Roman" w:cs="Times New Roman"/>
          <w:color w:val="000000" w:themeColor="text1"/>
          <w:highlight w:val="none"/>
          <w:lang w:val="en-US" w:eastAsia="zh-CN"/>
          <w14:textFill>
            <w14:solidFill>
              <w14:schemeClr w14:val="tx1"/>
            </w14:solidFill>
          </w14:textFill>
        </w:rPr>
        <w:t>3.5</w:t>
      </w:r>
      <w:r>
        <w:rPr>
          <w:rFonts w:hint="eastAsia" w:hAnsi="Times New Roman" w:cs="Times New Roman"/>
          <w:color w:val="000000" w:themeColor="text1"/>
          <w:highlight w:val="none"/>
          <w14:textFill>
            <w14:solidFill>
              <w14:schemeClr w14:val="tx1"/>
            </w14:solidFill>
          </w14:textFill>
        </w:rPr>
        <w:t>分。</w:t>
      </w:r>
    </w:p>
    <w:p w14:paraId="2888F62A">
      <w:pPr>
        <w:spacing w:line="560" w:lineRule="exact"/>
        <w:ind w:firstLine="640" w:firstLineChars="200"/>
        <w:rPr>
          <w:rFonts w:hint="eastAsia" w:hAnsi="Times New Roman" w:cs="Times New Roman"/>
          <w:color w:val="000000" w:themeColor="text1"/>
          <w:highlight w:val="none"/>
          <w14:textFill>
            <w14:solidFill>
              <w14:schemeClr w14:val="tx1"/>
            </w14:solidFill>
          </w14:textFill>
        </w:rPr>
      </w:pPr>
      <w:r>
        <w:rPr>
          <w:rFonts w:hint="eastAsia" w:hAnsi="Times New Roman" w:cs="Times New Roman"/>
          <w:color w:val="000000" w:themeColor="text1"/>
          <w:highlight w:val="none"/>
          <w14:textFill>
            <w14:solidFill>
              <w14:schemeClr w14:val="tx1"/>
            </w14:solidFill>
          </w14:textFill>
        </w:rPr>
        <w:t>中共寻甸</w:t>
      </w:r>
      <w:r>
        <w:rPr>
          <w:rFonts w:hint="eastAsia" w:hAnsi="Times New Roman" w:cs="Times New Roman"/>
          <w:color w:val="000000" w:themeColor="text1"/>
          <w:highlight w:val="none"/>
          <w:lang w:eastAsia="zh-CN"/>
          <w14:textFill>
            <w14:solidFill>
              <w14:schemeClr w14:val="tx1"/>
            </w14:solidFill>
          </w14:textFill>
        </w:rPr>
        <w:t>县委</w:t>
      </w:r>
      <w:r>
        <w:rPr>
          <w:rFonts w:hint="eastAsia" w:hAnsi="Times New Roman" w:cs="Times New Roman"/>
          <w:color w:val="000000" w:themeColor="text1"/>
          <w:highlight w:val="none"/>
          <w14:textFill>
            <w14:solidFill>
              <w14:schemeClr w14:val="tx1"/>
            </w14:solidFill>
          </w14:textFill>
        </w:rPr>
        <w:t>党校部门整体支出绩效自评得分</w:t>
      </w:r>
      <w:r>
        <w:rPr>
          <w:rFonts w:hint="eastAsia" w:hAnsi="Times New Roman" w:cs="Times New Roman"/>
          <w:color w:val="000000" w:themeColor="text1"/>
          <w:highlight w:val="none"/>
          <w:lang w:val="en-US" w:eastAsia="zh-CN"/>
          <w14:textFill>
            <w14:solidFill>
              <w14:schemeClr w14:val="tx1"/>
            </w14:solidFill>
          </w14:textFill>
        </w:rPr>
        <w:t>96</w:t>
      </w:r>
      <w:r>
        <w:rPr>
          <w:rFonts w:hint="eastAsia" w:hAnsi="Times New Roman" w:cs="Times New Roman"/>
          <w:color w:val="000000" w:themeColor="text1"/>
          <w:highlight w:val="none"/>
          <w14:textFill>
            <w14:solidFill>
              <w14:schemeClr w14:val="tx1"/>
            </w14:solidFill>
          </w14:textFill>
        </w:rPr>
        <w:t>分。</w:t>
      </w:r>
    </w:p>
    <w:p w14:paraId="09A5B909">
      <w:pPr>
        <w:spacing w:line="560" w:lineRule="exact"/>
        <w:ind w:firstLine="640" w:firstLineChars="200"/>
        <w:rPr>
          <w:rFonts w:hint="eastAsia" w:ascii="黑体" w:eastAsia="黑体"/>
          <w:highlight w:val="none"/>
        </w:rPr>
      </w:pPr>
      <w:r>
        <w:rPr>
          <w:rFonts w:hint="eastAsia" w:ascii="黑体" w:eastAsia="黑体"/>
          <w:highlight w:val="none"/>
        </w:rPr>
        <w:t>五、主要经验做法</w:t>
      </w:r>
    </w:p>
    <w:p w14:paraId="1B392589">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sz w:val="32"/>
          <w:szCs w:val="32"/>
        </w:rPr>
      </w:pPr>
      <w:r>
        <w:rPr>
          <w:rFonts w:hint="default" w:ascii="Times New Roman" w:hAnsi="Times New Roman" w:eastAsia="楷体_GB2312" w:cs="Times New Roman"/>
          <w:sz w:val="32"/>
          <w:szCs w:val="32"/>
        </w:rPr>
        <w:t>（一）</w:t>
      </w:r>
      <w:r>
        <w:rPr>
          <w:rFonts w:hint="eastAsia" w:ascii="Times New Roman" w:hAnsi="Times New Roman" w:eastAsia="楷体_GB2312" w:cs="Times New Roman"/>
          <w:sz w:val="32"/>
          <w:szCs w:val="32"/>
          <w:lang w:eastAsia="zh-CN"/>
        </w:rPr>
        <w:t>推动办学规模稳步提升。</w:t>
      </w:r>
      <w:r>
        <w:rPr>
          <w:rFonts w:hint="eastAsia"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年，完成各类党员干部培训</w:t>
      </w:r>
      <w:r>
        <w:rPr>
          <w:rFonts w:hint="eastAsia" w:ascii="Times New Roman" w:hAnsi="Times New Roman" w:eastAsia="仿宋_GB2312" w:cs="Times New Roman"/>
          <w:sz w:val="32"/>
          <w:szCs w:val="32"/>
          <w:lang w:val="en-US" w:eastAsia="zh-CN"/>
        </w:rPr>
        <w:t>97</w:t>
      </w:r>
      <w:r>
        <w:rPr>
          <w:rFonts w:hint="default" w:ascii="Times New Roman" w:hAnsi="Times New Roman" w:eastAsia="仿宋_GB2312" w:cs="Times New Roman"/>
          <w:sz w:val="32"/>
          <w:szCs w:val="32"/>
        </w:rPr>
        <w:t>期（场），</w:t>
      </w:r>
      <w:r>
        <w:rPr>
          <w:rFonts w:hint="default" w:ascii="Times New Roman" w:hAnsi="Times New Roman" w:eastAsia="仿宋_GB2312" w:cs="Times New Roman"/>
          <w:b w:val="0"/>
          <w:bCs w:val="0"/>
          <w:sz w:val="32"/>
          <w:szCs w:val="32"/>
        </w:rPr>
        <w:t>共计培训</w:t>
      </w:r>
      <w:r>
        <w:rPr>
          <w:rFonts w:hint="eastAsia" w:ascii="Times New Roman" w:hAnsi="Times New Roman" w:eastAsia="仿宋_GB2312" w:cs="Times New Roman"/>
          <w:b w:val="0"/>
          <w:bCs w:val="0"/>
          <w:sz w:val="32"/>
          <w:szCs w:val="32"/>
          <w:lang w:val="en-US" w:eastAsia="zh-CN"/>
        </w:rPr>
        <w:t>11891</w:t>
      </w:r>
      <w:r>
        <w:rPr>
          <w:rFonts w:hint="default" w:ascii="Times New Roman" w:hAnsi="Times New Roman" w:eastAsia="仿宋_GB2312" w:cs="Times New Roman"/>
          <w:b w:val="0"/>
          <w:bCs w:val="0"/>
          <w:sz w:val="32"/>
          <w:szCs w:val="32"/>
        </w:rPr>
        <w:t>人次。</w:t>
      </w:r>
      <w:r>
        <w:rPr>
          <w:rFonts w:hint="eastAsia" w:ascii="Times New Roman" w:hAnsi="Times New Roman" w:eastAsia="仿宋_GB2312" w:cs="Times New Roman"/>
          <w:b w:val="0"/>
          <w:bCs w:val="0"/>
          <w:sz w:val="32"/>
          <w:szCs w:val="32"/>
          <w:lang w:eastAsia="zh-CN"/>
        </w:rPr>
        <w:t>其中，</w:t>
      </w:r>
      <w:r>
        <w:rPr>
          <w:rFonts w:hint="eastAsia" w:ascii="仿宋_GB2312" w:eastAsia="仿宋_GB2312"/>
          <w:b w:val="0"/>
          <w:bCs w:val="0"/>
          <w:color w:val="000000"/>
          <w:sz w:val="32"/>
          <w:szCs w:val="32"/>
        </w:rPr>
        <w:t>主体培训班</w:t>
      </w:r>
      <w:r>
        <w:rPr>
          <w:rFonts w:hint="eastAsia" w:ascii="仿宋_GB2312" w:eastAsia="仿宋_GB2312"/>
          <w:b w:val="0"/>
          <w:bCs w:val="0"/>
          <w:color w:val="auto"/>
          <w:sz w:val="32"/>
          <w:szCs w:val="32"/>
        </w:rPr>
        <w:t>次</w:t>
      </w:r>
      <w:r>
        <w:rPr>
          <w:rFonts w:hint="eastAsia" w:ascii="仿宋_GB2312" w:eastAsia="仿宋_GB2312"/>
          <w:b w:val="0"/>
          <w:bCs w:val="0"/>
          <w:color w:val="auto"/>
          <w:sz w:val="32"/>
          <w:szCs w:val="32"/>
          <w:lang w:val="en-US" w:eastAsia="zh-CN"/>
        </w:rPr>
        <w:t>16</w:t>
      </w:r>
      <w:r>
        <w:rPr>
          <w:rFonts w:hint="eastAsia" w:ascii="仿宋_GB2312" w:eastAsia="仿宋_GB2312"/>
          <w:b w:val="0"/>
          <w:bCs w:val="0"/>
          <w:color w:val="auto"/>
          <w:sz w:val="32"/>
          <w:szCs w:val="32"/>
          <w:lang w:eastAsia="zh-CN"/>
        </w:rPr>
        <w:t>期</w:t>
      </w:r>
      <w:r>
        <w:rPr>
          <w:rFonts w:hint="eastAsia" w:ascii="仿宋_GB2312" w:eastAsia="仿宋_GB2312"/>
          <w:b w:val="0"/>
          <w:bCs w:val="0"/>
          <w:color w:val="auto"/>
          <w:sz w:val="32"/>
          <w:szCs w:val="32"/>
        </w:rPr>
        <w:t>，培训</w:t>
      </w:r>
      <w:r>
        <w:rPr>
          <w:rFonts w:hint="eastAsia" w:ascii="仿宋_GB2312" w:eastAsia="仿宋_GB2312"/>
          <w:b w:val="0"/>
          <w:bCs w:val="0"/>
          <w:color w:val="auto"/>
          <w:sz w:val="32"/>
          <w:szCs w:val="32"/>
          <w:lang w:val="en-US" w:eastAsia="zh-CN"/>
        </w:rPr>
        <w:t>1889</w:t>
      </w:r>
      <w:r>
        <w:rPr>
          <w:rFonts w:hint="eastAsia" w:ascii="仿宋_GB2312" w:eastAsia="仿宋_GB2312"/>
          <w:b w:val="0"/>
          <w:bCs w:val="0"/>
          <w:color w:val="auto"/>
          <w:sz w:val="32"/>
          <w:szCs w:val="32"/>
        </w:rPr>
        <w:t>人次</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重点培训班</w:t>
      </w:r>
      <w:r>
        <w:rPr>
          <w:rFonts w:hint="eastAsia" w:ascii="仿宋_GB2312" w:eastAsia="仿宋_GB2312"/>
          <w:b w:val="0"/>
          <w:bCs w:val="0"/>
          <w:color w:val="auto"/>
          <w:sz w:val="32"/>
          <w:szCs w:val="32"/>
          <w:lang w:val="en-US" w:eastAsia="zh-CN"/>
        </w:rPr>
        <w:t>7</w:t>
      </w:r>
      <w:r>
        <w:rPr>
          <w:rFonts w:hint="eastAsia" w:ascii="仿宋_GB2312" w:eastAsia="仿宋_GB2312"/>
          <w:b w:val="0"/>
          <w:bCs w:val="0"/>
          <w:color w:val="auto"/>
          <w:sz w:val="32"/>
          <w:szCs w:val="32"/>
          <w:lang w:eastAsia="zh-CN"/>
        </w:rPr>
        <w:t>期</w:t>
      </w:r>
      <w:r>
        <w:rPr>
          <w:rFonts w:hint="eastAsia" w:ascii="仿宋_GB2312" w:eastAsia="仿宋_GB2312"/>
          <w:b w:val="0"/>
          <w:bCs w:val="0"/>
          <w:color w:val="auto"/>
          <w:sz w:val="32"/>
          <w:szCs w:val="32"/>
        </w:rPr>
        <w:t>，培训</w:t>
      </w:r>
      <w:r>
        <w:rPr>
          <w:rFonts w:hint="eastAsia" w:ascii="仿宋_GB2312" w:eastAsia="仿宋_GB2312"/>
          <w:b w:val="0"/>
          <w:bCs w:val="0"/>
          <w:color w:val="auto"/>
          <w:sz w:val="32"/>
          <w:szCs w:val="32"/>
          <w:lang w:val="en-US" w:eastAsia="zh-CN"/>
        </w:rPr>
        <w:t>1074</w:t>
      </w:r>
      <w:r>
        <w:rPr>
          <w:rFonts w:hint="eastAsia" w:ascii="仿宋_GB2312" w:eastAsia="仿宋_GB2312"/>
          <w:b w:val="0"/>
          <w:bCs w:val="0"/>
          <w:color w:val="auto"/>
          <w:sz w:val="32"/>
          <w:szCs w:val="32"/>
        </w:rPr>
        <w:t>人</w:t>
      </w:r>
      <w:r>
        <w:rPr>
          <w:rFonts w:hint="eastAsia" w:ascii="仿宋_GB2312" w:eastAsia="仿宋_GB2312"/>
          <w:b w:val="0"/>
          <w:bCs w:val="0"/>
          <w:color w:val="auto"/>
          <w:sz w:val="32"/>
          <w:szCs w:val="32"/>
          <w:lang w:eastAsia="zh-CN"/>
        </w:rPr>
        <w:t>次。</w:t>
      </w:r>
      <w:r>
        <w:rPr>
          <w:rFonts w:hint="eastAsia" w:ascii="仿宋_GB2312" w:eastAsia="仿宋_GB2312"/>
          <w:b w:val="0"/>
          <w:bCs w:val="0"/>
          <w:color w:val="auto"/>
          <w:sz w:val="32"/>
          <w:szCs w:val="32"/>
        </w:rPr>
        <w:t>委托培训班</w:t>
      </w:r>
      <w:r>
        <w:rPr>
          <w:rFonts w:hint="eastAsia" w:ascii="仿宋_GB2312" w:eastAsia="仿宋_GB2312"/>
          <w:b w:val="0"/>
          <w:bCs w:val="0"/>
          <w:color w:val="auto"/>
          <w:sz w:val="32"/>
          <w:szCs w:val="32"/>
          <w:lang w:val="en-US" w:eastAsia="zh-CN"/>
        </w:rPr>
        <w:t>22</w:t>
      </w:r>
      <w:r>
        <w:rPr>
          <w:rFonts w:hint="eastAsia" w:ascii="仿宋_GB2312" w:eastAsia="仿宋_GB2312"/>
          <w:b w:val="0"/>
          <w:bCs w:val="0"/>
          <w:color w:val="auto"/>
          <w:sz w:val="32"/>
          <w:szCs w:val="32"/>
          <w:lang w:eastAsia="zh-CN"/>
        </w:rPr>
        <w:t>期</w:t>
      </w:r>
      <w:r>
        <w:rPr>
          <w:rFonts w:hint="eastAsia" w:ascii="仿宋_GB2312" w:eastAsia="仿宋_GB2312"/>
          <w:b w:val="0"/>
          <w:bCs w:val="0"/>
          <w:color w:val="auto"/>
          <w:sz w:val="32"/>
          <w:szCs w:val="32"/>
        </w:rPr>
        <w:t>，培训</w:t>
      </w:r>
      <w:r>
        <w:rPr>
          <w:rFonts w:hint="eastAsia" w:ascii="仿宋_GB2312" w:eastAsia="仿宋_GB2312"/>
          <w:color w:val="auto"/>
          <w:sz w:val="32"/>
          <w:szCs w:val="32"/>
          <w:lang w:val="en-US" w:eastAsia="zh-CN"/>
        </w:rPr>
        <w:t>3391</w:t>
      </w:r>
      <w:r>
        <w:rPr>
          <w:rFonts w:hint="eastAsia" w:ascii="仿宋_GB2312" w:eastAsia="仿宋_GB2312"/>
          <w:bCs/>
          <w:color w:val="auto"/>
          <w:sz w:val="32"/>
          <w:szCs w:val="32"/>
        </w:rPr>
        <w:t>人</w:t>
      </w:r>
      <w:r>
        <w:rPr>
          <w:rFonts w:hint="eastAsia" w:ascii="仿宋_GB2312" w:eastAsia="仿宋_GB2312"/>
          <w:bCs/>
          <w:color w:val="auto"/>
          <w:sz w:val="32"/>
          <w:szCs w:val="32"/>
          <w:lang w:eastAsia="zh-CN"/>
        </w:rPr>
        <w:t>次。</w:t>
      </w:r>
      <w:r>
        <w:rPr>
          <w:rFonts w:hint="eastAsia" w:ascii="仿宋_GB2312" w:eastAsia="仿宋_GB2312"/>
          <w:color w:val="auto"/>
          <w:sz w:val="32"/>
          <w:szCs w:val="32"/>
        </w:rPr>
        <w:t>完成送课上门</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场，培训</w:t>
      </w:r>
      <w:r>
        <w:rPr>
          <w:rFonts w:hint="eastAsia" w:ascii="仿宋_GB2312" w:eastAsia="仿宋_GB2312"/>
          <w:color w:val="auto"/>
          <w:sz w:val="32"/>
          <w:szCs w:val="32"/>
          <w:lang w:val="en-US" w:eastAsia="zh-CN"/>
        </w:rPr>
        <w:t>4051</w:t>
      </w:r>
      <w:r>
        <w:rPr>
          <w:rFonts w:hint="eastAsia" w:ascii="仿宋_GB2312" w:eastAsia="仿宋_GB2312"/>
          <w:color w:val="auto"/>
          <w:sz w:val="32"/>
          <w:szCs w:val="32"/>
        </w:rPr>
        <w:t>人次</w:t>
      </w:r>
      <w:r>
        <w:rPr>
          <w:rFonts w:hint="eastAsia" w:ascii="仿宋_GB2312" w:eastAsia="仿宋_GB2312"/>
          <w:color w:val="auto"/>
          <w:sz w:val="32"/>
          <w:szCs w:val="32"/>
          <w:lang w:eastAsia="zh-CN"/>
        </w:rPr>
        <w:t>，包括</w:t>
      </w:r>
      <w:r>
        <w:rPr>
          <w:rFonts w:hint="eastAsia" w:ascii="仿宋_GB2312" w:eastAsia="仿宋_GB2312"/>
          <w:color w:val="auto"/>
          <w:sz w:val="32"/>
          <w:szCs w:val="32"/>
          <w:lang w:val="en-US" w:eastAsia="zh-CN"/>
        </w:rPr>
        <w:t>县直各单位11场1989人次、乡镇及村委3场265人次、企业（学校）3场412人次，异地送课9场1385人次。</w:t>
      </w:r>
      <w:r>
        <w:rPr>
          <w:rFonts w:hint="eastAsia" w:ascii="仿宋_GB2312" w:hAnsi="宋体" w:eastAsia="仿宋_GB2312" w:cs="宋体"/>
          <w:color w:val="auto"/>
          <w:kern w:val="0"/>
          <w:sz w:val="32"/>
          <w:szCs w:val="32"/>
          <w:lang w:eastAsia="zh-CN"/>
        </w:rPr>
        <w:t>协助</w:t>
      </w:r>
      <w:r>
        <w:rPr>
          <w:rFonts w:hint="eastAsia" w:ascii="仿宋_GB2312" w:hAnsi="宋体" w:eastAsia="仿宋_GB2312" w:cs="宋体"/>
          <w:color w:val="auto"/>
          <w:kern w:val="0"/>
          <w:sz w:val="32"/>
          <w:szCs w:val="32"/>
        </w:rPr>
        <w:t>完成云南省时代前沿知识讲座</w:t>
      </w:r>
      <w:r>
        <w:rPr>
          <w:rFonts w:hint="eastAsia" w:ascii="仿宋_GB2312" w:eastAsia="仿宋_GB2312"/>
          <w:color w:val="auto"/>
          <w:sz w:val="32"/>
          <w:szCs w:val="32"/>
        </w:rPr>
        <w:t>领导干部集体学习</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次</w:t>
      </w:r>
      <w:r>
        <w:rPr>
          <w:rFonts w:hint="eastAsia" w:ascii="仿宋_GB2312" w:eastAsia="仿宋_GB2312"/>
          <w:color w:val="auto"/>
          <w:sz w:val="32"/>
          <w:szCs w:val="32"/>
          <w:lang w:val="en-US" w:eastAsia="zh-CN"/>
        </w:rPr>
        <w:t>846</w:t>
      </w:r>
      <w:r>
        <w:rPr>
          <w:rFonts w:hint="eastAsia" w:ascii="仿宋_GB2312" w:eastAsia="仿宋_GB2312"/>
          <w:color w:val="auto"/>
          <w:sz w:val="32"/>
          <w:szCs w:val="32"/>
        </w:rPr>
        <w:t>人次。</w:t>
      </w:r>
      <w:r>
        <w:rPr>
          <w:rFonts w:hint="eastAsia" w:ascii="仿宋_GB2312" w:eastAsia="仿宋_GB2312"/>
          <w:color w:val="auto"/>
          <w:sz w:val="32"/>
          <w:szCs w:val="32"/>
          <w:lang w:eastAsia="zh-CN"/>
        </w:rPr>
        <w:t>开展</w:t>
      </w:r>
      <w:r>
        <w:rPr>
          <w:rFonts w:hint="eastAsia" w:ascii="仿宋_GB2312" w:eastAsia="仿宋_GB2312"/>
          <w:bCs/>
          <w:color w:val="000000"/>
          <w:sz w:val="32"/>
          <w:szCs w:val="32"/>
          <w:lang w:eastAsia="zh-CN"/>
        </w:rPr>
        <w:t>党的二十届三中全会精神</w:t>
      </w:r>
      <w:r>
        <w:rPr>
          <w:rFonts w:hint="eastAsia" w:ascii="仿宋_GB2312" w:eastAsia="仿宋_GB2312"/>
          <w:bCs/>
          <w:color w:val="000000"/>
          <w:sz w:val="32"/>
          <w:szCs w:val="32"/>
        </w:rPr>
        <w:t>宣讲</w:t>
      </w:r>
      <w:r>
        <w:rPr>
          <w:rFonts w:hint="eastAsia" w:ascii="仿宋_GB2312" w:eastAsia="仿宋_GB2312"/>
          <w:bCs/>
          <w:color w:val="000000"/>
          <w:sz w:val="32"/>
          <w:szCs w:val="32"/>
          <w:lang w:eastAsia="zh-CN"/>
        </w:rPr>
        <w:t>13场</w:t>
      </w:r>
      <w:r>
        <w:rPr>
          <w:rFonts w:hint="eastAsia" w:ascii="仿宋_GB2312" w:eastAsia="仿宋_GB2312"/>
          <w:bCs/>
          <w:color w:val="000000"/>
          <w:sz w:val="32"/>
          <w:szCs w:val="32"/>
          <w:lang w:val="en-US" w:eastAsia="zh-CN"/>
        </w:rPr>
        <w:t>783</w:t>
      </w:r>
      <w:r>
        <w:rPr>
          <w:rFonts w:hint="eastAsia" w:ascii="仿宋_GB2312" w:eastAsia="仿宋_GB2312"/>
          <w:bCs/>
          <w:color w:val="000000"/>
          <w:sz w:val="32"/>
          <w:szCs w:val="32"/>
          <w:lang w:eastAsia="zh-CN"/>
        </w:rPr>
        <w:t>人。</w:t>
      </w:r>
      <w:r>
        <w:rPr>
          <w:rFonts w:hint="eastAsia" w:ascii="仿宋_GB2312" w:hAnsi="宋体" w:eastAsia="仿宋_GB2312" w:cs="宋体"/>
          <w:kern w:val="0"/>
          <w:sz w:val="32"/>
          <w:szCs w:val="32"/>
          <w:lang w:val="en-US" w:eastAsia="zh-CN"/>
        </w:rPr>
        <w:t>秋季学期招录新生88人，分为3个班级：农村行政管理（初起专）5年制、农村行政管理（高起专）3年制、农林经济管理（专升本）3年制。全部新生已完成报名并全部被云南开放大学录取。</w:t>
      </w:r>
    </w:p>
    <w:p w14:paraId="790D207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val="0"/>
          <w:bCs w:val="0"/>
          <w:color w:val="auto"/>
          <w:sz w:val="32"/>
          <w:szCs w:val="32"/>
          <w:lang w:val="en-US" w:eastAsia="zh-CN"/>
        </w:rPr>
        <w:t>（二）实现学历教育再次起步。</w:t>
      </w:r>
      <w:r>
        <w:rPr>
          <w:rStyle w:val="13"/>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承接云南开发大学的教学任务，主要对象是村（社区）干部，目前有8个班359名学员在读。今年春季学期新招录学员89名，其中专升本（三年制）农林经济管理46人，高起专（三年制）行政管理（农村行政管理方向）28人，初起专（5年制）行政管理（农村行政管理方向）15人。课程分为专业能力课、文化基础课、履职能力课、政治理论课和综合实践课，本科专业有27门课程，专科专业分别有26、30和39门课程。师资方面，设有项目管理员3人，课程辅导教师27人，综合实践教学指导教师4人。教学组织管理方面，通过“四个课堂”即空中课堂（线上学习）、固定课堂（面授辅导）、流动课堂（小组交流讨论）、田间课堂（实践教学基地参观学习），</w:t>
      </w:r>
      <w:r>
        <w:rPr>
          <w:rFonts w:hint="eastAsia" w:ascii="Times New Roman" w:hAnsi="Times New Roman" w:eastAsia="仿宋_GB2312" w:cs="Times New Roman"/>
          <w:color w:val="000000"/>
          <w:sz w:val="32"/>
          <w:szCs w:val="32"/>
          <w:lang w:val="en-US" w:eastAsia="zh-CN"/>
        </w:rPr>
        <w:t>不断搭建适合农村基层干部的学习机制。</w:t>
      </w:r>
    </w:p>
    <w:p w14:paraId="46AEA1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强化</w:t>
      </w:r>
      <w:r>
        <w:rPr>
          <w:rFonts w:hint="default" w:ascii="Times New Roman" w:hAnsi="Times New Roman" w:eastAsia="楷体_GB2312" w:cs="Times New Roman"/>
          <w:sz w:val="32"/>
          <w:szCs w:val="32"/>
        </w:rPr>
        <w:t>科研资政</w:t>
      </w:r>
      <w:r>
        <w:rPr>
          <w:rFonts w:hint="eastAsia" w:ascii="Times New Roman" w:hAnsi="Times New Roman" w:eastAsia="楷体_GB2312" w:cs="Times New Roman"/>
          <w:sz w:val="32"/>
          <w:szCs w:val="32"/>
          <w:lang w:eastAsia="zh-CN"/>
        </w:rPr>
        <w:t>能力建设。</w:t>
      </w:r>
      <w:r>
        <w:rPr>
          <w:rStyle w:val="13"/>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围绕干部培训目标，推动课程体系建设，在现有课程基础上，规划马克思主义理论等5大板块167门课程，其中本校课程110门。发挥寻甸特有资源优势，形成红色党性教育、绿色生态产业、乡村振兴等优质现场教学线路4条。聚焦课程体系需要，</w:t>
      </w:r>
      <w:r>
        <w:rPr>
          <w:rFonts w:hint="eastAsia" w:ascii="仿宋_GB2312" w:hAnsi="仿宋_GB2312" w:eastAsia="仿宋_GB2312" w:cs="仿宋_GB2312"/>
          <w:kern w:val="2"/>
          <w:sz w:val="32"/>
          <w:szCs w:val="32"/>
          <w:lang w:val="en-US" w:eastAsia="zh-CN" w:bidi="ar-SA"/>
        </w:rPr>
        <w:t>构建以习近平新时代中国特色社会主义思想为中心内容的马克思主义理论学科，以党史党建为主要内容的党性教育学科，以统战和文化、公共管理和县域经济为特色的3个履职能力学科。</w:t>
      </w:r>
      <w:r>
        <w:rPr>
          <w:rFonts w:hint="eastAsia" w:ascii="仿宋_GB2312" w:hAnsi="仿宋_GB2312" w:eastAsia="仿宋_GB2312" w:cs="仿宋_GB2312"/>
          <w:i w:val="0"/>
          <w:caps w:val="0"/>
          <w:color w:val="auto"/>
          <w:spacing w:val="0"/>
          <w:sz w:val="32"/>
          <w:szCs w:val="32"/>
          <w:shd w:val="clear" w:color="auto" w:fill="FFFFFF"/>
          <w:lang w:val="en-US" w:eastAsia="zh-CN"/>
        </w:rPr>
        <w:t>明确各学科组负责人及成员，</w:t>
      </w:r>
      <w:r>
        <w:rPr>
          <w:rFonts w:hint="eastAsia" w:ascii="仿宋_GB2312" w:hAnsi="仿宋_GB2312" w:eastAsia="仿宋_GB2312" w:cs="仿宋_GB2312"/>
          <w:kern w:val="2"/>
          <w:sz w:val="32"/>
          <w:szCs w:val="32"/>
          <w:lang w:val="en-US" w:eastAsia="zh-CN" w:bidi="ar-SA"/>
        </w:rPr>
        <w:t>推动学科建设起步前行。认真</w:t>
      </w:r>
      <w:r>
        <w:rPr>
          <w:rFonts w:hint="eastAsia" w:ascii="Times New Roman" w:hAnsi="Times New Roman" w:eastAsia="仿宋_GB2312" w:cs="Times New Roman"/>
          <w:sz w:val="32"/>
          <w:szCs w:val="32"/>
          <w:lang w:val="en-US" w:eastAsia="zh-CN"/>
        </w:rPr>
        <w:t>开展集体备课、课程体系建设研讨、新课试讲及说课等教研活动9场次，</w:t>
      </w:r>
      <w:r>
        <w:rPr>
          <w:rFonts w:hint="default" w:ascii="Times New Roman" w:hAnsi="Times New Roman" w:eastAsia="仿宋_GB2312" w:cs="Times New Roman"/>
          <w:sz w:val="32"/>
          <w:szCs w:val="32"/>
        </w:rPr>
        <w:t>完成课题申报</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个，获得立项</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个，其中省委党校</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市委党校</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w:t>
      </w:r>
      <w:r>
        <w:rPr>
          <w:rFonts w:hint="eastAsia" w:ascii="Times New Roman" w:hAnsi="Times New Roman" w:eastAsia="仿宋_GB2312" w:cs="Times New Roman"/>
          <w:sz w:val="32"/>
          <w:szCs w:val="32"/>
          <w:lang w:eastAsia="zh-CN"/>
        </w:rPr>
        <w:t>。积极接入优质教学资源，与华理马克思主义学院顺利签订共建协议，与市委党校民族文化和统战教研部形成结对帮扶关系。</w:t>
      </w:r>
      <w:r>
        <w:rPr>
          <w:rFonts w:hint="eastAsia" w:ascii="Times New Roman" w:hAnsi="Times New Roman" w:eastAsia="仿宋_GB2312" w:cs="Times New Roman"/>
          <w:sz w:val="32"/>
          <w:szCs w:val="32"/>
          <w:lang w:val="en-US" w:eastAsia="zh-CN"/>
        </w:rPr>
        <w:t>健全教学组织管理机制，围绕办学重要环节，建立教学管理、外聘教师管理、学员管理等制度措施6项，推动教育培训工作制度化、规范化和科学化。</w:t>
      </w:r>
    </w:p>
    <w:p w14:paraId="06CBD2AB">
      <w:pPr>
        <w:spacing w:line="560" w:lineRule="exact"/>
        <w:ind w:firstLine="640" w:firstLineChars="200"/>
        <w:rPr>
          <w:rFonts w:hint="eastAsia" w:ascii="黑体" w:eastAsia="黑体"/>
        </w:rPr>
      </w:pPr>
      <w:r>
        <w:rPr>
          <w:rFonts w:hint="eastAsia" w:ascii="黑体" w:eastAsia="黑体"/>
        </w:rPr>
        <w:t>六、存在的问题</w:t>
      </w:r>
    </w:p>
    <w:p w14:paraId="319BF0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sz w:val="32"/>
          <w:szCs w:val="32"/>
          <w:lang w:val="en-US" w:eastAsia="zh-CN"/>
        </w:rPr>
        <w:t>一是教学供给薄弱。课程系</w:t>
      </w:r>
      <w:r>
        <w:rPr>
          <w:rFonts w:hint="eastAsia" w:ascii="Times New Roman" w:hAnsi="Times New Roman" w:eastAsia="仿宋_GB2312" w:cs="Times New Roman"/>
          <w:b w:val="0"/>
          <w:bCs w:val="0"/>
          <w:color w:val="000000"/>
          <w:sz w:val="32"/>
          <w:szCs w:val="32"/>
          <w:lang w:val="en-US" w:eastAsia="zh-CN"/>
        </w:rPr>
        <w:t>统性不强，存在课程内容重复、开设领域狭窄、教学方式单一等质量问题，精品课程更是寥寥无几。总体而言，课程体系建设尚处于起步阶段，课程布局仍在探索之中，难以充分满足培训主体的需求，更不用说形成品牌效应和外溢效应。</w:t>
      </w:r>
    </w:p>
    <w:p w14:paraId="79690B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sz w:val="32"/>
          <w:szCs w:val="32"/>
          <w:lang w:val="en-US" w:eastAsia="zh-CN"/>
        </w:rPr>
        <w:t>二是基本培训亟需加强。对</w:t>
      </w:r>
      <w:r>
        <w:rPr>
          <w:rFonts w:hint="eastAsia" w:ascii="Times New Roman" w:hAnsi="Times New Roman" w:eastAsia="仿宋_GB2312" w:cs="Times New Roman"/>
          <w:b w:val="0"/>
          <w:bCs w:val="0"/>
          <w:color w:val="000000"/>
          <w:sz w:val="32"/>
          <w:szCs w:val="32"/>
          <w:lang w:val="en-US" w:eastAsia="zh-CN"/>
        </w:rPr>
        <w:t>于《中国共产党党校（行政学院）工作条例》所明确的基本培训任务，研究和理解的深度尚显不足，对党员基数和参训情况的掌握缺乏精确性，对现有资源的挖掘不够深入，且在扩大培训规模、提升培训质量方面的思路和方法尚不够开阔。</w:t>
      </w:r>
    </w:p>
    <w:p w14:paraId="7F1D81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三是合作办学尚需加强。尽管我们积极整合县内培训资源，优先向党校倾斜，并且加大了</w:t>
      </w:r>
      <w:r>
        <w:rPr>
          <w:rFonts w:hint="eastAsia" w:ascii="Times New Roman" w:hAnsi="Times New Roman" w:eastAsia="仿宋_GB2312" w:cs="Times New Roman"/>
          <w:sz w:val="32"/>
          <w:szCs w:val="32"/>
          <w:lang w:eastAsia="zh-CN"/>
        </w:rPr>
        <w:t>对企事业单位的走访力度，开展了一系列校际合作，但由于县级党校自身能力有限以及紧缩开支的要求，合作办学的规模提升面临困难，资产闲置率相对较高。</w:t>
      </w:r>
    </w:p>
    <w:p w14:paraId="3FE42751">
      <w:pPr>
        <w:spacing w:line="60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黑体" w:hAnsi="宋体" w:eastAsia="黑体" w:cs="宋体"/>
          <w:color w:val="000000" w:themeColor="text1"/>
          <w14:textFill>
            <w14:solidFill>
              <w14:schemeClr w14:val="tx1"/>
            </w14:solidFill>
          </w14:textFill>
        </w:rPr>
        <w:t>七、改进措施及建议</w:t>
      </w:r>
    </w:p>
    <w:p w14:paraId="48BA9678">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3"/>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r>
        <w:rPr>
          <w:rStyle w:val="13"/>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一是抓好基本培训。</w:t>
      </w:r>
      <w:r>
        <w:rPr>
          <w:rStyle w:val="13"/>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准确把握基本培训对象、内容、学制和实效要求，抓好党的理论教育、党性教育和履职能力培训，努力做到应训尽训、全员覆盖、主题突出、主线深化、规范有序、常态长效，推动党校教育培训工作取得更大进展。强化质量立校、从严治校，提高教学科研质量，强化人才支撑，狠抓学风校风，为开展基本培训提供有力保障。</w:t>
      </w:r>
    </w:p>
    <w:p w14:paraId="18A0D3DF">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二是深入推进学科和课程建设。以“人人进学科组”“一专多能”为导向，开展常态化教学科研大练兵</w:t>
      </w:r>
      <w:r>
        <w:rPr>
          <w:rFonts w:hint="default" w:ascii="Times New Roman" w:hAnsi="Times New Roman" w:eastAsia="仿宋_GB2312" w:cs="Times New Roman"/>
          <w:color w:val="auto"/>
          <w:kern w:val="2"/>
          <w:sz w:val="32"/>
          <w:szCs w:val="32"/>
          <w:lang w:val="en-US" w:eastAsia="zh-CN" w:bidi="ar-SA"/>
        </w:rPr>
        <w:t>活动。以优化适应新时代干部成长和党员教育的课程体系为主要方向，兼顾发展性和操作性，尽快研究出台课程体系建设方案，明确时间表和路线图，力争通过3年努力，形成“核心主干课程+基础课程+特色课程”的多层次课程群。组织协同构建精品课程，按照“党校教师人人有精品课”思路，开展名师培育、名课开发“双名计划”，力争实现2年内每位教师有1至3门精品课，助推4大教学品牌取得阶段性成效。</w:t>
      </w:r>
    </w:p>
    <w:p w14:paraId="6A970ED9">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Style w:val="13"/>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三是大力推进合作办学。加大</w:t>
      </w:r>
      <w:r>
        <w:rPr>
          <w:rFonts w:hint="default" w:ascii="Times New Roman" w:hAnsi="Times New Roman" w:eastAsia="仿宋_GB2312" w:cs="Times New Roman"/>
          <w:color w:val="auto"/>
          <w:kern w:val="2"/>
          <w:sz w:val="32"/>
          <w:szCs w:val="32"/>
          <w:lang w:val="en-US" w:eastAsia="zh-CN" w:bidi="ar-SA"/>
        </w:rPr>
        <w:t>合作办班力度，开展开放办学，加强与兄弟党校之间的合作与交流，促进资源共享、信息共用、市场共建、学源互送。积极对接各级各部门和各类企事业主体培训需求，扩大学员来源。加强党校外宣，精心编写、拍摄宣传资料，实现线上新媒体与线下活动宣传相结合，</w:t>
      </w:r>
      <w:r>
        <w:rPr>
          <w:rFonts w:hint="default" w:ascii="Times New Roman" w:hAnsi="Times New Roman" w:eastAsia="仿宋_GB2312" w:cs="Times New Roman"/>
          <w:kern w:val="2"/>
          <w:sz w:val="32"/>
          <w:szCs w:val="32"/>
          <w:lang w:val="en-US" w:eastAsia="zh-CN" w:bidi="ar-SA"/>
        </w:rPr>
        <w:t>不断积累寻甸教育培训口碑。</w:t>
      </w:r>
    </w:p>
    <w:p w14:paraId="4C585CA7">
      <w:pPr>
        <w:rPr>
          <w:rFonts w:hint="eastAsia" w:ascii="仿宋_GB2312"/>
        </w:rPr>
      </w:pPr>
    </w:p>
    <w:p w14:paraId="61A4396F">
      <w:pPr>
        <w:rPr>
          <w:rFonts w:hint="eastAsia" w:ascii="仿宋_GB2312"/>
        </w:rPr>
      </w:pPr>
      <w:r>
        <w:rPr>
          <w:rFonts w:hint="eastAsia" w:ascii="仿宋_GB2312"/>
        </w:rPr>
        <w:br w:type="page"/>
      </w:r>
    </w:p>
    <w:p w14:paraId="7AB974B5">
      <w:pPr>
        <w:rPr>
          <w:rFonts w:hint="eastAsia" w:ascii="仿宋_GB2312"/>
        </w:rPr>
      </w:pPr>
      <w:bookmarkStart w:id="3" w:name="_GoBack"/>
      <w:bookmarkEnd w:id="3"/>
      <w:r>
        <w:rPr>
          <w:rFonts w:hint="eastAsia" w:ascii="仿宋_GB2312"/>
        </w:rPr>
        <w:t>附件1：</w:t>
      </w:r>
    </w:p>
    <w:p w14:paraId="7D2F6880">
      <w:pPr>
        <w:spacing w:line="560" w:lineRule="exact"/>
        <w:jc w:val="center"/>
        <w:rPr>
          <w:rFonts w:hint="eastAsia" w:ascii="方正小标宋简体" w:eastAsia="方正小标宋简体"/>
          <w:sz w:val="44"/>
          <w:szCs w:val="44"/>
        </w:rPr>
      </w:pPr>
    </w:p>
    <w:p w14:paraId="5F040061">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中共寻甸回族彝族自治县委党校</w:t>
      </w:r>
    </w:p>
    <w:p w14:paraId="317ED78E">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2024</w:t>
      </w:r>
      <w:r>
        <w:rPr>
          <w:rFonts w:hint="eastAsia" w:ascii="方正小标宋简体" w:eastAsia="方正小标宋简体"/>
          <w:sz w:val="44"/>
          <w:szCs w:val="44"/>
        </w:rPr>
        <w:t>年成本效益分析报告</w:t>
      </w:r>
    </w:p>
    <w:p w14:paraId="39435410">
      <w:pPr>
        <w:spacing w:line="560" w:lineRule="exact"/>
        <w:ind w:firstLine="640" w:firstLineChars="200"/>
        <w:rPr>
          <w:rFonts w:hint="eastAsia" w:ascii="仿宋_GB2312"/>
        </w:rPr>
      </w:pPr>
    </w:p>
    <w:p w14:paraId="7FA93EB8">
      <w:pPr>
        <w:spacing w:line="560" w:lineRule="exact"/>
        <w:ind w:firstLine="640" w:firstLineChars="200"/>
        <w:rPr>
          <w:rFonts w:hint="eastAsia" w:ascii="黑体" w:eastAsia="黑体"/>
        </w:rPr>
      </w:pPr>
      <w:r>
        <w:rPr>
          <w:rFonts w:hint="eastAsia" w:ascii="黑体" w:eastAsia="黑体"/>
        </w:rPr>
        <w:t>一、经济性分析</w:t>
      </w:r>
    </w:p>
    <w:p w14:paraId="292B81A8">
      <w:pPr>
        <w:spacing w:line="560" w:lineRule="exact"/>
        <w:ind w:firstLine="640" w:firstLineChars="200"/>
        <w:rPr>
          <w:rFonts w:hint="eastAsia" w:ascii="仿宋_GB2312"/>
        </w:rPr>
      </w:pPr>
      <w:r>
        <w:rPr>
          <w:rFonts w:hint="eastAsia" w:ascii="仿宋_GB2312"/>
        </w:rPr>
        <w:t>中共寻甸县委党校，依据实有在编人员、公用经费标准等编制预算，确保预算编制合理。</w:t>
      </w:r>
    </w:p>
    <w:p w14:paraId="21D0F324">
      <w:pPr>
        <w:spacing w:line="560" w:lineRule="exact"/>
        <w:ind w:firstLine="640" w:firstLineChars="200"/>
        <w:rPr>
          <w:rFonts w:hint="eastAsia" w:ascii="楷体_GB2312" w:eastAsia="楷体_GB2312"/>
          <w:highlight w:val="none"/>
        </w:rPr>
      </w:pPr>
      <w:r>
        <w:rPr>
          <w:rFonts w:hint="eastAsia" w:ascii="楷体_GB2312" w:eastAsia="楷体_GB2312"/>
          <w:highlight w:val="none"/>
        </w:rPr>
        <w:t>（一）收入情况</w:t>
      </w:r>
    </w:p>
    <w:p w14:paraId="552CB330">
      <w:pPr>
        <w:snapToGrid w:val="0"/>
        <w:spacing w:line="520" w:lineRule="exact"/>
        <w:ind w:firstLine="640" w:firstLineChars="200"/>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pPr>
      <w:r>
        <w:rPr>
          <w:rFonts w:hint="eastAsia" w:ascii="仿宋_GB2312" w:hAnsi="仿宋"/>
          <w:color w:val="000000" w:themeColor="text1"/>
          <w:sz w:val="32"/>
          <w:szCs w:val="32"/>
          <w:highlight w:val="none"/>
          <w:lang w:val="en-US" w:eastAsia="zh-CN"/>
          <w14:textFill>
            <w14:solidFill>
              <w14:schemeClr w14:val="tx1"/>
            </w14:solidFill>
          </w14:textFill>
        </w:rPr>
        <w:t>024</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年度收入合</w:t>
      </w: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计756.79万元，其中财政拨款收入560.16万元，占总收入74.02%；其中事业收入194.15万元，占总收入25.65%，其他收入2.48万元，占总收入0.33%。</w:t>
      </w:r>
    </w:p>
    <w:p w14:paraId="2356AFBA">
      <w:pPr>
        <w:snapToGrid w:val="0"/>
        <w:spacing w:line="520" w:lineRule="exact"/>
        <w:ind w:firstLine="640" w:firstLineChars="200"/>
      </w:pP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上年结转5.27万元，其中：基本支出结转0万元。</w:t>
      </w:r>
    </w:p>
    <w:p w14:paraId="76A9253B">
      <w:pPr>
        <w:spacing w:line="560" w:lineRule="exact"/>
        <w:ind w:firstLine="640" w:firstLineChars="200"/>
        <w:rPr>
          <w:rFonts w:hint="eastAsia" w:ascii="楷体_GB2312" w:eastAsia="楷体_GB2312"/>
          <w:color w:val="000000" w:themeColor="text1"/>
          <w:highlight w:val="none"/>
          <w14:textFill>
            <w14:solidFill>
              <w14:schemeClr w14:val="tx1"/>
            </w14:solidFill>
          </w14:textFill>
        </w:rPr>
      </w:pPr>
      <w:r>
        <w:rPr>
          <w:rFonts w:hint="eastAsia" w:ascii="楷体_GB2312" w:eastAsia="楷体_GB2312"/>
          <w:color w:val="000000" w:themeColor="text1"/>
          <w:highlight w:val="none"/>
          <w14:textFill>
            <w14:solidFill>
              <w14:schemeClr w14:val="tx1"/>
            </w14:solidFill>
          </w14:textFill>
        </w:rPr>
        <w:t>（二）支出情况</w:t>
      </w:r>
    </w:p>
    <w:p w14:paraId="59F517B7">
      <w:pPr>
        <w:spacing w:line="560" w:lineRule="exact"/>
        <w:ind w:firstLine="640" w:firstLineChars="200"/>
        <w:jc w:val="left"/>
        <w:rPr>
          <w:rFonts w:hint="eastAsia" w:ascii="仿宋_GB2312" w:hAnsi="宋体" w:cs="宋体"/>
          <w:color w:val="auto"/>
        </w:rPr>
      </w:pPr>
      <w:r>
        <w:rPr>
          <w:rFonts w:hint="eastAsia" w:ascii="仿宋_GB2312"/>
          <w:color w:val="auto"/>
          <w:highlight w:val="none"/>
        </w:rPr>
        <w:t>按部门预算支出经济分类科目分，</w:t>
      </w:r>
      <w:r>
        <w:rPr>
          <w:rFonts w:hint="eastAsia" w:ascii="仿宋_GB2312"/>
          <w:color w:val="auto"/>
          <w:highlight w:val="none"/>
          <w:lang w:val="en-US" w:eastAsia="zh-CN"/>
        </w:rPr>
        <w:t>2024</w:t>
      </w:r>
      <w:r>
        <w:rPr>
          <w:rFonts w:hint="eastAsia" w:ascii="仿宋_GB2312"/>
          <w:color w:val="auto"/>
          <w:highlight w:val="none"/>
        </w:rPr>
        <w:t>年总支出</w:t>
      </w:r>
      <w:r>
        <w:rPr>
          <w:rFonts w:hint="eastAsia" w:ascii="仿宋_GB2312" w:hAnsi="宋体" w:cs="宋体"/>
          <w:color w:val="auto"/>
          <w:lang w:val="en-US" w:eastAsia="zh-CN"/>
        </w:rPr>
        <w:t>642.64</w:t>
      </w:r>
      <w:r>
        <w:rPr>
          <w:rFonts w:hint="eastAsia" w:ascii="仿宋_GB2312" w:hAnsi="宋体" w:cs="宋体"/>
          <w:color w:val="auto"/>
        </w:rPr>
        <w:t>万元。其中：工资福利支出</w:t>
      </w:r>
      <w:r>
        <w:rPr>
          <w:rFonts w:hint="eastAsia" w:ascii="仿宋_GB2312" w:hAnsi="宋体" w:cs="宋体"/>
          <w:color w:val="auto"/>
          <w:lang w:val="en-US" w:eastAsia="zh-CN"/>
        </w:rPr>
        <w:t>434.50</w:t>
      </w:r>
      <w:r>
        <w:rPr>
          <w:rFonts w:hint="eastAsia" w:ascii="仿宋_GB2312" w:hAnsi="宋体" w:cs="宋体"/>
          <w:color w:val="auto"/>
        </w:rPr>
        <w:t>万元，占</w:t>
      </w:r>
      <w:r>
        <w:rPr>
          <w:rFonts w:hint="eastAsia" w:ascii="仿宋_GB2312" w:hAnsi="宋体" w:cs="宋体"/>
          <w:color w:val="auto"/>
          <w:lang w:val="en-US" w:eastAsia="zh-CN"/>
        </w:rPr>
        <w:t>67.66</w:t>
      </w:r>
      <w:r>
        <w:rPr>
          <w:rFonts w:hint="eastAsia" w:ascii="仿宋_GB2312" w:hAnsi="宋体" w:cs="宋体"/>
          <w:color w:val="auto"/>
        </w:rPr>
        <w:t>%；商品和服务支出</w:t>
      </w:r>
      <w:r>
        <w:rPr>
          <w:rFonts w:hint="eastAsia" w:ascii="仿宋_GB2312" w:hAnsi="宋体" w:cs="宋体"/>
          <w:color w:val="auto"/>
          <w:lang w:val="en-US" w:eastAsia="zh-CN"/>
        </w:rPr>
        <w:t>205.2</w:t>
      </w:r>
      <w:r>
        <w:rPr>
          <w:rFonts w:hint="eastAsia" w:ascii="仿宋_GB2312" w:hAnsi="宋体" w:cs="宋体"/>
          <w:color w:val="auto"/>
        </w:rPr>
        <w:t>万元，占</w:t>
      </w:r>
      <w:r>
        <w:rPr>
          <w:rFonts w:hint="eastAsia" w:ascii="仿宋_GB2312" w:hAnsi="宋体" w:cs="宋体"/>
          <w:color w:val="auto"/>
          <w:lang w:val="en-US" w:eastAsia="zh-CN"/>
        </w:rPr>
        <w:t>31.93</w:t>
      </w:r>
      <w:r>
        <w:rPr>
          <w:rFonts w:hint="eastAsia" w:ascii="仿宋_GB2312" w:hAnsi="宋体" w:cs="宋体"/>
          <w:color w:val="auto"/>
        </w:rPr>
        <w:t>%；对个人和家庭的补助</w:t>
      </w:r>
      <w:r>
        <w:rPr>
          <w:rFonts w:hint="eastAsia" w:ascii="仿宋_GB2312" w:hAnsi="宋体" w:cs="宋体"/>
          <w:color w:val="auto"/>
          <w:lang w:val="en-US" w:eastAsia="zh-CN"/>
        </w:rPr>
        <w:t>2.64</w:t>
      </w:r>
      <w:r>
        <w:rPr>
          <w:rFonts w:hint="eastAsia" w:ascii="仿宋_GB2312" w:hAnsi="宋体" w:cs="宋体"/>
          <w:color w:val="auto"/>
        </w:rPr>
        <w:t>万元，占</w:t>
      </w:r>
      <w:r>
        <w:rPr>
          <w:rFonts w:hint="eastAsia" w:ascii="仿宋_GB2312" w:hAnsi="宋体" w:cs="宋体"/>
          <w:color w:val="auto"/>
          <w:lang w:val="en-US" w:eastAsia="zh-CN"/>
        </w:rPr>
        <w:t>0.41</w:t>
      </w:r>
      <w:r>
        <w:rPr>
          <w:rFonts w:hint="eastAsia" w:ascii="仿宋_GB2312" w:hAnsi="宋体" w:cs="宋体"/>
          <w:color w:val="auto"/>
        </w:rPr>
        <w:t>%。</w:t>
      </w:r>
    </w:p>
    <w:p w14:paraId="3980CC79">
      <w:pPr>
        <w:spacing w:line="560" w:lineRule="exact"/>
        <w:ind w:firstLine="640" w:firstLineChars="200"/>
        <w:jc w:val="left"/>
      </w:pPr>
      <w:r>
        <w:rPr>
          <w:rFonts w:hint="eastAsia" w:ascii="仿宋_GB2312" w:hAnsi="宋体" w:cs="宋体"/>
          <w:color w:val="auto"/>
        </w:rPr>
        <w:t>一般公共预算支出功能分类科目，本年支出</w:t>
      </w:r>
      <w:r>
        <w:rPr>
          <w:rFonts w:hint="eastAsia" w:ascii="仿宋_GB2312" w:hAnsi="宋体" w:cs="宋体"/>
          <w:color w:val="auto"/>
          <w:lang w:val="en-US" w:eastAsia="zh-CN"/>
        </w:rPr>
        <w:t>642.63</w:t>
      </w:r>
      <w:r>
        <w:rPr>
          <w:rFonts w:hint="eastAsia" w:ascii="仿宋_GB2312" w:hAnsi="宋体" w:cs="宋体"/>
          <w:color w:val="auto"/>
        </w:rPr>
        <w:t>万元，其中：205类教育支出</w:t>
      </w:r>
      <w:r>
        <w:rPr>
          <w:rFonts w:hint="eastAsia" w:ascii="仿宋_GB2312" w:hAnsi="宋体" w:cs="宋体"/>
          <w:color w:val="auto"/>
          <w:lang w:val="en-US" w:eastAsia="zh-CN"/>
        </w:rPr>
        <w:t>516.67</w:t>
      </w:r>
      <w:r>
        <w:rPr>
          <w:rFonts w:hint="eastAsia" w:ascii="仿宋_GB2312" w:hAnsi="宋体" w:cs="宋体"/>
          <w:color w:val="auto"/>
        </w:rPr>
        <w:t>万元，占</w:t>
      </w:r>
      <w:r>
        <w:rPr>
          <w:rFonts w:hint="eastAsia" w:ascii="仿宋_GB2312" w:hAnsi="宋体" w:cs="宋体"/>
          <w:color w:val="auto"/>
          <w:lang w:val="en-US" w:eastAsia="zh-CN"/>
        </w:rPr>
        <w:t>80.40</w:t>
      </w:r>
      <w:r>
        <w:rPr>
          <w:rFonts w:hint="eastAsia" w:ascii="仿宋_GB2312" w:hAnsi="宋体" w:cs="宋体"/>
          <w:color w:val="auto"/>
        </w:rPr>
        <w:t>%； 208类社会保障和就业支出</w:t>
      </w:r>
      <w:r>
        <w:rPr>
          <w:rFonts w:hint="eastAsia" w:ascii="仿宋_GB2312" w:hAnsi="宋体" w:cs="宋体"/>
          <w:color w:val="auto"/>
          <w:lang w:val="en-US" w:eastAsia="zh-CN"/>
        </w:rPr>
        <w:t>50.37</w:t>
      </w:r>
      <w:r>
        <w:rPr>
          <w:rFonts w:hint="eastAsia" w:ascii="仿宋_GB2312" w:hAnsi="宋体" w:cs="宋体"/>
          <w:color w:val="auto"/>
        </w:rPr>
        <w:t>万元，占</w:t>
      </w:r>
      <w:r>
        <w:rPr>
          <w:rFonts w:hint="eastAsia" w:ascii="仿宋_GB2312" w:hAnsi="宋体" w:cs="宋体"/>
          <w:color w:val="auto"/>
          <w:lang w:val="en-US" w:eastAsia="zh-CN"/>
        </w:rPr>
        <w:t>7.84</w:t>
      </w:r>
      <w:r>
        <w:rPr>
          <w:rFonts w:hint="eastAsia" w:ascii="仿宋_GB2312" w:hAnsi="宋体" w:cs="宋体"/>
          <w:color w:val="auto"/>
        </w:rPr>
        <w:t>%；</w:t>
      </w:r>
      <w:r>
        <w:rPr>
          <w:rFonts w:hint="eastAsia" w:ascii="仿宋_GB2312" w:hAnsi="宋体" w:cs="宋体"/>
          <w:color w:val="auto"/>
          <w:lang w:val="en-US" w:eastAsia="zh-CN"/>
        </w:rPr>
        <w:t>210类卫生健康支出40.79万元，占6.35%；</w:t>
      </w:r>
      <w:r>
        <w:rPr>
          <w:rFonts w:hint="eastAsia" w:ascii="仿宋_GB2312" w:hAnsi="宋体" w:cs="宋体"/>
          <w:color w:val="auto"/>
        </w:rPr>
        <w:t>221类住房保障支出</w:t>
      </w:r>
      <w:r>
        <w:rPr>
          <w:rFonts w:hint="eastAsia" w:ascii="仿宋_GB2312" w:hAnsi="宋体" w:cs="宋体"/>
          <w:color w:val="auto"/>
          <w:lang w:val="en-US" w:eastAsia="zh-CN"/>
        </w:rPr>
        <w:t>34.81</w:t>
      </w:r>
      <w:r>
        <w:rPr>
          <w:rFonts w:hint="eastAsia" w:ascii="仿宋_GB2312" w:hAnsi="宋体" w:cs="宋体"/>
          <w:color w:val="auto"/>
        </w:rPr>
        <w:t>万元，占</w:t>
      </w:r>
      <w:r>
        <w:rPr>
          <w:rFonts w:hint="eastAsia" w:ascii="仿宋_GB2312" w:hAnsi="宋体" w:cs="宋体"/>
          <w:color w:val="auto"/>
          <w:lang w:val="en-US" w:eastAsia="zh-CN"/>
        </w:rPr>
        <w:t>5.41</w:t>
      </w:r>
      <w:r>
        <w:rPr>
          <w:rFonts w:hint="eastAsia" w:ascii="仿宋_GB2312" w:hAnsi="宋体" w:cs="宋体"/>
          <w:color w:val="auto"/>
        </w:rPr>
        <w:t>%。</w:t>
      </w:r>
    </w:p>
    <w:p w14:paraId="2BCCB97D">
      <w:pPr>
        <w:spacing w:line="560" w:lineRule="exact"/>
        <w:ind w:firstLine="640" w:firstLineChars="200"/>
        <w:rPr>
          <w:rFonts w:hint="eastAsia" w:ascii="黑体" w:eastAsia="黑体"/>
        </w:rPr>
      </w:pPr>
      <w:r>
        <w:rPr>
          <w:rFonts w:hint="eastAsia" w:ascii="黑体" w:eastAsia="黑体"/>
        </w:rPr>
        <w:t>二、效率性分析</w:t>
      </w:r>
    </w:p>
    <w:p w14:paraId="78711072">
      <w:pPr>
        <w:spacing w:line="560" w:lineRule="exact"/>
        <w:ind w:firstLine="640" w:firstLineChars="200"/>
        <w:rPr>
          <w:rFonts w:hint="eastAsia" w:ascii="楷体_GB2312" w:eastAsia="楷体_GB2312"/>
        </w:rPr>
      </w:pPr>
      <w:r>
        <w:rPr>
          <w:rFonts w:hint="eastAsia" w:ascii="楷体_GB2312" w:eastAsia="楷体_GB2312"/>
        </w:rPr>
        <w:t>（一）工资统发</w:t>
      </w:r>
    </w:p>
    <w:p w14:paraId="3E22AD94">
      <w:pPr>
        <w:spacing w:line="560" w:lineRule="exact"/>
        <w:ind w:firstLine="640" w:firstLineChars="200"/>
        <w:rPr>
          <w:rFonts w:hint="eastAsia" w:ascii="仿宋_GB2312"/>
        </w:rPr>
      </w:pPr>
      <w:r>
        <w:rPr>
          <w:rFonts w:hint="eastAsia" w:ascii="仿宋_GB2312"/>
        </w:rPr>
        <w:t>教职工工资纳入财政统发，按月及发放。</w:t>
      </w:r>
    </w:p>
    <w:p w14:paraId="61C12817">
      <w:pPr>
        <w:spacing w:line="560" w:lineRule="exact"/>
        <w:ind w:firstLine="640" w:firstLineChars="200"/>
        <w:rPr>
          <w:rFonts w:hint="eastAsia" w:ascii="楷体_GB2312" w:eastAsia="楷体_GB2312"/>
        </w:rPr>
      </w:pPr>
      <w:r>
        <w:rPr>
          <w:rFonts w:hint="eastAsia" w:ascii="楷体_GB2312" w:eastAsia="楷体_GB2312"/>
        </w:rPr>
        <w:t>（二）日常公用支出及对家庭和个人补助支出</w:t>
      </w:r>
    </w:p>
    <w:p w14:paraId="45D8163A">
      <w:pPr>
        <w:spacing w:line="560" w:lineRule="exact"/>
        <w:ind w:firstLine="640" w:firstLineChars="200"/>
        <w:rPr>
          <w:rFonts w:hint="eastAsia" w:ascii="仿宋_GB2312"/>
        </w:rPr>
      </w:pPr>
      <w:r>
        <w:rPr>
          <w:rFonts w:hint="eastAsia" w:ascii="仿宋_GB2312"/>
        </w:rPr>
        <w:t>按预算进度支付商品服务支出、遗属生活补助等。</w:t>
      </w:r>
    </w:p>
    <w:p w14:paraId="6CF19E53">
      <w:pPr>
        <w:spacing w:line="560" w:lineRule="exact"/>
        <w:ind w:firstLine="640" w:firstLineChars="200"/>
        <w:rPr>
          <w:rFonts w:hint="eastAsia" w:ascii="黑体" w:eastAsia="黑体"/>
        </w:rPr>
      </w:pPr>
      <w:r>
        <w:rPr>
          <w:rFonts w:hint="eastAsia" w:ascii="黑体" w:eastAsia="黑体"/>
        </w:rPr>
        <w:t>三、效益性分析</w:t>
      </w:r>
    </w:p>
    <w:p w14:paraId="41A4AA6D">
      <w:pPr>
        <w:spacing w:line="560" w:lineRule="exact"/>
        <w:ind w:firstLine="640" w:firstLineChars="200"/>
        <w:rPr>
          <w:rFonts w:hint="eastAsia" w:ascii="仿宋_GB2312"/>
        </w:rPr>
      </w:pPr>
      <w:r>
        <w:rPr>
          <w:rFonts w:hint="eastAsia" w:ascii="仿宋_GB2312"/>
        </w:rPr>
        <w:t>中共寻甸县委党校围绕目标责任开展工作，完善措施，狠抓管理，确保各项任务得以顺利完成，并取得了一定的经济效益和生态效益，取得了良好的社会效益。</w:t>
      </w:r>
    </w:p>
    <w:p w14:paraId="6D49DD97">
      <w:pPr>
        <w:spacing w:line="560" w:lineRule="exact"/>
        <w:ind w:firstLine="640" w:firstLineChars="200"/>
        <w:rPr>
          <w:rFonts w:hint="eastAsia" w:ascii="楷体_GB2312" w:eastAsia="楷体_GB2312"/>
        </w:rPr>
      </w:pPr>
      <w:r>
        <w:rPr>
          <w:rFonts w:hint="eastAsia" w:ascii="楷体_GB2312" w:eastAsia="楷体_GB2312"/>
        </w:rPr>
        <w:t>（一）经济效益</w:t>
      </w:r>
    </w:p>
    <w:p w14:paraId="66374360">
      <w:pPr>
        <w:spacing w:line="560" w:lineRule="exact"/>
        <w:ind w:firstLine="640" w:firstLineChars="200"/>
        <w:rPr>
          <w:rFonts w:hint="eastAsia" w:ascii="仿宋_GB2312" w:hAnsi="宋体" w:cs="宋体"/>
        </w:rPr>
      </w:pPr>
      <w:r>
        <w:rPr>
          <w:rFonts w:hint="eastAsia" w:ascii="仿宋_GB2312"/>
        </w:rPr>
        <w:t>按年末实有人数人计算</w:t>
      </w:r>
      <w:r>
        <w:rPr>
          <w:rFonts w:hint="eastAsia" w:ascii="仿宋_GB2312" w:hAnsi="宋体" w:cs="宋体"/>
        </w:rPr>
        <w:t>，人均工资福利支出</w:t>
      </w:r>
      <w:r>
        <w:rPr>
          <w:rFonts w:hint="eastAsia" w:ascii="仿宋_GB2312" w:hAnsi="宋体" w:cs="宋体"/>
          <w:lang w:val="en-US" w:eastAsia="zh-CN"/>
        </w:rPr>
        <w:t>16.09</w:t>
      </w:r>
      <w:r>
        <w:rPr>
          <w:rFonts w:hint="eastAsia" w:ascii="仿宋_GB2312" w:hAnsi="宋体" w:cs="宋体"/>
        </w:rPr>
        <w:t>万元。其中：基本工资、津贴补贴、奖金、绩效工资，人均</w:t>
      </w:r>
      <w:r>
        <w:rPr>
          <w:rFonts w:hint="eastAsia" w:ascii="仿宋_GB2312" w:hAnsi="宋体" w:cs="宋体"/>
          <w:lang w:val="en-US" w:eastAsia="zh-CN"/>
        </w:rPr>
        <w:t>11.56</w:t>
      </w:r>
      <w:r>
        <w:rPr>
          <w:rFonts w:hint="eastAsia" w:ascii="仿宋_GB2312" w:hAnsi="宋体" w:cs="宋体"/>
        </w:rPr>
        <w:t>万元；养老保险、职业年金、医疗保险、医疗补助、其他社保缴费，人均</w:t>
      </w:r>
      <w:r>
        <w:rPr>
          <w:rFonts w:hint="eastAsia" w:ascii="仿宋_GB2312" w:hAnsi="宋体" w:cs="宋体"/>
          <w:lang w:val="en-US" w:eastAsia="zh-CN"/>
        </w:rPr>
        <w:t>4.54</w:t>
      </w:r>
      <w:r>
        <w:rPr>
          <w:rFonts w:hint="eastAsia" w:ascii="仿宋_GB2312" w:hAnsi="宋体" w:cs="宋体"/>
        </w:rPr>
        <w:t>万元。人均日常公用经费</w:t>
      </w:r>
      <w:r>
        <w:rPr>
          <w:rFonts w:hint="eastAsia" w:ascii="仿宋_GB2312" w:hAnsi="宋体" w:cs="宋体"/>
          <w:lang w:val="en-US" w:eastAsia="zh-CN"/>
        </w:rPr>
        <w:t>0.72</w:t>
      </w:r>
      <w:r>
        <w:rPr>
          <w:rFonts w:hint="eastAsia" w:ascii="仿宋_GB2312" w:hAnsi="宋体" w:cs="宋体"/>
        </w:rPr>
        <w:t>万元。</w:t>
      </w:r>
    </w:p>
    <w:p w14:paraId="41F19DF0">
      <w:pPr>
        <w:spacing w:line="560" w:lineRule="exact"/>
        <w:ind w:firstLine="640" w:firstLineChars="200"/>
        <w:rPr>
          <w:rFonts w:hint="eastAsia" w:ascii="楷体_GB2312" w:eastAsia="楷体_GB2312"/>
        </w:rPr>
      </w:pPr>
      <w:r>
        <w:rPr>
          <w:rFonts w:hint="eastAsia" w:ascii="楷体_GB2312" w:eastAsia="楷体_GB2312"/>
        </w:rPr>
        <w:t>（二）社会公众满意度</w:t>
      </w:r>
    </w:p>
    <w:p w14:paraId="05AEBC7E">
      <w:pPr>
        <w:spacing w:line="560" w:lineRule="exact"/>
        <w:ind w:firstLine="640" w:firstLineChars="200"/>
        <w:rPr>
          <w:rFonts w:hint="eastAsia" w:ascii="仿宋_GB2312"/>
        </w:rPr>
      </w:pPr>
      <w:r>
        <w:rPr>
          <w:rFonts w:hint="eastAsia" w:ascii="仿宋_GB2312"/>
        </w:rPr>
        <w:t>发出《中共寻甸县委党校</w:t>
      </w:r>
      <w:r>
        <w:rPr>
          <w:rFonts w:hint="eastAsia" w:ascii="仿宋_GB2312"/>
          <w:lang w:val="en-US" w:eastAsia="zh-CN"/>
        </w:rPr>
        <w:t>2024</w:t>
      </w:r>
      <w:r>
        <w:rPr>
          <w:rFonts w:hint="eastAsia" w:ascii="仿宋_GB2312"/>
        </w:rPr>
        <w:t>年部门整体支出绩效评价调查问卷》</w:t>
      </w:r>
      <w:r>
        <w:rPr>
          <w:rFonts w:hint="eastAsia" w:ascii="仿宋_GB2312"/>
          <w:lang w:val="en-US" w:eastAsia="zh-CN"/>
        </w:rPr>
        <w:t>27</w:t>
      </w:r>
      <w:r>
        <w:rPr>
          <w:rFonts w:hint="eastAsia" w:ascii="仿宋_GB2312"/>
        </w:rPr>
        <w:t>份，收回</w:t>
      </w:r>
      <w:r>
        <w:rPr>
          <w:rFonts w:hint="eastAsia" w:ascii="仿宋_GB2312"/>
          <w:lang w:val="en-US" w:eastAsia="zh-CN"/>
        </w:rPr>
        <w:t>27</w:t>
      </w:r>
      <w:r>
        <w:rPr>
          <w:rFonts w:hint="eastAsia" w:ascii="仿宋_GB2312"/>
        </w:rPr>
        <w:t>份，满意度平均分90分以上。</w:t>
      </w:r>
    </w:p>
    <w:p w14:paraId="681E3985">
      <w:pPr>
        <w:spacing w:line="560" w:lineRule="exact"/>
        <w:ind w:firstLine="640" w:firstLineChars="200"/>
        <w:rPr>
          <w:rFonts w:hint="eastAsia" w:ascii="黑体" w:eastAsia="黑体"/>
        </w:rPr>
      </w:pPr>
      <w:r>
        <w:rPr>
          <w:rFonts w:hint="eastAsia" w:ascii="黑体" w:eastAsia="黑体"/>
        </w:rPr>
        <w:t>四、可持续性分析</w:t>
      </w:r>
    </w:p>
    <w:p w14:paraId="60B68921">
      <w:pPr>
        <w:spacing w:line="560" w:lineRule="exact"/>
        <w:ind w:firstLine="640" w:firstLineChars="200"/>
        <w:rPr>
          <w:rFonts w:hint="eastAsia" w:ascii="仿宋_GB2312"/>
        </w:rPr>
      </w:pPr>
      <w:r>
        <w:rPr>
          <w:rFonts w:hint="eastAsia" w:ascii="仿宋_GB2312"/>
        </w:rPr>
        <w:t>（一）认真编制部门预算，保障教职工工资、“五险一金”按月及时发放和缴交。</w:t>
      </w:r>
    </w:p>
    <w:p w14:paraId="0C5013B4">
      <w:pPr>
        <w:spacing w:line="560" w:lineRule="exact"/>
        <w:ind w:firstLine="640" w:firstLineChars="200"/>
        <w:rPr>
          <w:rFonts w:hint="eastAsia" w:ascii="仿宋_GB2312"/>
        </w:rPr>
      </w:pPr>
      <w:r>
        <w:rPr>
          <w:rFonts w:hint="eastAsia" w:ascii="仿宋_GB2312"/>
        </w:rPr>
        <w:t>（二）按规定标准编制公用经费预算，保障学校的正常运转</w:t>
      </w:r>
    </w:p>
    <w:p w14:paraId="02D0004D">
      <w:pPr>
        <w:spacing w:line="560" w:lineRule="exact"/>
        <w:jc w:val="center"/>
        <w:rPr>
          <w:rFonts w:hint="eastAsia" w:ascii="仿宋_GB2312" w:hAnsi="华文中宋"/>
          <w:sz w:val="44"/>
          <w:szCs w:val="44"/>
        </w:rPr>
      </w:pPr>
    </w:p>
    <w:p w14:paraId="62BA64D5">
      <w:pPr>
        <w:spacing w:line="560" w:lineRule="exact"/>
        <w:jc w:val="center"/>
        <w:rPr>
          <w:rFonts w:hint="eastAsia" w:ascii="黑体" w:hAnsi="华文中宋" w:eastAsia="黑体"/>
          <w:sz w:val="44"/>
          <w:szCs w:val="44"/>
        </w:rPr>
      </w:pPr>
    </w:p>
    <w:p w14:paraId="7F9B2D1F">
      <w:pPr>
        <w:spacing w:line="560" w:lineRule="exact"/>
        <w:jc w:val="center"/>
        <w:rPr>
          <w:rFonts w:hint="eastAsia" w:ascii="黑体" w:hAnsi="华文中宋" w:eastAsia="黑体"/>
          <w:sz w:val="44"/>
          <w:szCs w:val="44"/>
        </w:rPr>
      </w:pPr>
    </w:p>
    <w:p w14:paraId="38BF9701">
      <w:pPr>
        <w:spacing w:line="560" w:lineRule="exact"/>
        <w:jc w:val="center"/>
        <w:rPr>
          <w:rFonts w:hint="eastAsia" w:ascii="黑体" w:hAnsi="华文中宋" w:eastAsia="黑体"/>
          <w:sz w:val="44"/>
          <w:szCs w:val="44"/>
        </w:rPr>
      </w:pPr>
    </w:p>
    <w:p w14:paraId="0D78DCDA">
      <w:pPr>
        <w:pStyle w:val="14"/>
        <w:rPr>
          <w:rFonts w:hint="eastAsia" w:ascii="黑体" w:hAnsi="华文中宋" w:eastAsia="黑体"/>
          <w:sz w:val="44"/>
          <w:szCs w:val="44"/>
        </w:rPr>
      </w:pPr>
    </w:p>
    <w:p w14:paraId="00A7D4EB">
      <w:pPr>
        <w:pStyle w:val="14"/>
        <w:rPr>
          <w:rFonts w:hint="eastAsia" w:ascii="黑体" w:hAnsi="华文中宋" w:eastAsia="黑体"/>
          <w:sz w:val="44"/>
          <w:szCs w:val="44"/>
        </w:rPr>
      </w:pPr>
    </w:p>
    <w:p w14:paraId="73C41D22">
      <w:pPr>
        <w:spacing w:line="560" w:lineRule="exact"/>
        <w:jc w:val="center"/>
        <w:rPr>
          <w:rFonts w:hint="eastAsia" w:ascii="黑体" w:hAnsi="华文中宋" w:eastAsia="黑体"/>
          <w:sz w:val="44"/>
          <w:szCs w:val="44"/>
          <w:highlight w:val="none"/>
        </w:rPr>
      </w:pPr>
      <w:r>
        <w:rPr>
          <w:rFonts w:hint="eastAsia" w:ascii="黑体" w:hAnsi="华文中宋" w:eastAsia="黑体"/>
          <w:sz w:val="44"/>
          <w:szCs w:val="44"/>
          <w:highlight w:val="none"/>
        </w:rPr>
        <w:t>行政事业单位财务分析指标</w:t>
      </w:r>
    </w:p>
    <w:p w14:paraId="4B8DA471">
      <w:pPr>
        <w:spacing w:line="560" w:lineRule="exact"/>
        <w:rPr>
          <w:rFonts w:ascii="仿宋_GB2312"/>
        </w:rPr>
      </w:pPr>
    </w:p>
    <w:p w14:paraId="736245E7">
      <w:pPr>
        <w:spacing w:line="560" w:lineRule="exact"/>
        <w:ind w:firstLine="640" w:firstLineChars="200"/>
        <w:rPr>
          <w:rFonts w:hint="eastAsia" w:ascii="仿宋_GB2312"/>
        </w:rPr>
      </w:pPr>
      <w:r>
        <w:rPr>
          <w:rFonts w:hint="eastAsia" w:ascii="仿宋_GB2312"/>
        </w:rPr>
        <w:t>1.预算收入和支出完成率，衡量事业单位收入和支出总预算及分项预算完成的程度。计算公式为：</w:t>
      </w:r>
    </w:p>
    <w:p w14:paraId="79DA051B">
      <w:pPr>
        <w:spacing w:line="560" w:lineRule="exact"/>
        <w:ind w:firstLine="640" w:firstLineChars="200"/>
        <w:rPr>
          <w:rFonts w:hint="eastAsia" w:ascii="仿宋_GB2312" w:hAnsi="宋体" w:cs="宋体"/>
        </w:rPr>
      </w:pPr>
      <w:r>
        <w:rPr>
          <w:rFonts w:hint="eastAsia" w:ascii="仿宋_GB2312" w:hAnsi="宋体" w:cs="宋体"/>
        </w:rPr>
        <w:t>预算收入完成率＝</w:t>
      </w:r>
      <w:r>
        <w:rPr>
          <w:rFonts w:hint="eastAsia" w:ascii="仿宋_GB2312" w:hAnsi="宋体" w:cs="宋体"/>
          <w:lang w:val="en-US" w:eastAsia="zh-CN"/>
        </w:rPr>
        <w:t>560.16</w:t>
      </w:r>
      <w:r>
        <w:rPr>
          <w:rFonts w:hint="eastAsia" w:ascii="仿宋_GB2312" w:hAnsi="宋体" w:cs="宋体"/>
        </w:rPr>
        <w:t>÷</w:t>
      </w:r>
      <w:r>
        <w:rPr>
          <w:rFonts w:hint="eastAsia" w:ascii="仿宋_GB2312" w:hAnsi="宋体" w:cs="宋体"/>
          <w:lang w:val="en-US" w:eastAsia="zh-CN"/>
        </w:rPr>
        <w:t>560.16</w:t>
      </w:r>
      <w:r>
        <w:rPr>
          <w:rFonts w:hint="eastAsia" w:ascii="仿宋_GB2312" w:hAnsi="宋体" w:cs="宋体"/>
        </w:rPr>
        <w:t>×100%=100%。</w:t>
      </w:r>
    </w:p>
    <w:p w14:paraId="2BD69BBD">
      <w:pPr>
        <w:spacing w:line="560" w:lineRule="exact"/>
        <w:ind w:firstLine="640" w:firstLineChars="200"/>
        <w:rPr>
          <w:rFonts w:hint="eastAsia" w:ascii="仿宋_GB2312" w:hAnsi="宋体" w:cs="宋体"/>
        </w:rPr>
      </w:pPr>
      <w:r>
        <w:rPr>
          <w:rFonts w:hint="eastAsia" w:ascii="仿宋_GB2312" w:hAnsi="宋体" w:cs="宋体"/>
        </w:rPr>
        <w:t>年终执行数不含上年结转和结余收入数。</w:t>
      </w:r>
    </w:p>
    <w:p w14:paraId="25097E65">
      <w:pPr>
        <w:spacing w:line="560" w:lineRule="exact"/>
        <w:ind w:firstLine="640" w:firstLineChars="200"/>
        <w:rPr>
          <w:rFonts w:hint="eastAsia" w:ascii="仿宋_GB2312" w:hAnsi="宋体" w:cs="宋体"/>
        </w:rPr>
      </w:pPr>
      <w:r>
        <w:rPr>
          <w:rFonts w:hint="eastAsia" w:ascii="仿宋_GB2312" w:hAnsi="宋体" w:cs="宋体"/>
        </w:rPr>
        <w:t>预算支出完成率＝</w:t>
      </w:r>
      <w:r>
        <w:rPr>
          <w:rFonts w:hint="eastAsia" w:ascii="仿宋_GB2312" w:hAnsi="宋体" w:cs="宋体"/>
          <w:lang w:val="en-US" w:eastAsia="zh-CN"/>
        </w:rPr>
        <w:t>560.16</w:t>
      </w:r>
      <w:r>
        <w:rPr>
          <w:rFonts w:hint="eastAsia" w:ascii="仿宋_GB2312" w:hAnsi="宋体" w:cs="宋体"/>
        </w:rPr>
        <w:t>÷</w:t>
      </w:r>
      <w:r>
        <w:rPr>
          <w:rFonts w:hint="eastAsia" w:ascii="仿宋_GB2312" w:hAnsi="宋体" w:cs="宋体"/>
          <w:lang w:val="en-US" w:eastAsia="zh-CN"/>
        </w:rPr>
        <w:t>560.16</w:t>
      </w:r>
      <w:r>
        <w:rPr>
          <w:rFonts w:hint="eastAsia" w:ascii="仿宋_GB2312" w:hAnsi="宋体" w:cs="宋体"/>
        </w:rPr>
        <w:t>×100%=100%。</w:t>
      </w:r>
    </w:p>
    <w:p w14:paraId="1C506317">
      <w:pPr>
        <w:spacing w:line="560" w:lineRule="exact"/>
        <w:ind w:firstLine="640" w:firstLineChars="200"/>
        <w:rPr>
          <w:rFonts w:hint="eastAsia" w:ascii="仿宋_GB2312" w:hAnsi="宋体" w:cs="宋体"/>
        </w:rPr>
      </w:pPr>
      <w:r>
        <w:rPr>
          <w:rFonts w:hint="eastAsia" w:ascii="仿宋_GB2312" w:hAnsi="宋体" w:cs="宋体"/>
        </w:rPr>
        <w:t>年终执行数不含上年结转和结余支出数。</w:t>
      </w:r>
    </w:p>
    <w:p w14:paraId="2A63F7CE">
      <w:pPr>
        <w:spacing w:line="560" w:lineRule="exact"/>
        <w:ind w:firstLine="640" w:firstLineChars="200"/>
        <w:rPr>
          <w:rFonts w:hint="eastAsia" w:ascii="仿宋_GB2312" w:hAnsi="宋体" w:cs="宋体"/>
        </w:rPr>
      </w:pPr>
      <w:r>
        <w:rPr>
          <w:rFonts w:hint="eastAsia" w:ascii="仿宋_GB2312" w:hAnsi="宋体" w:cs="宋体"/>
        </w:rPr>
        <w:t>2.人员支出、公用支出占事业支出的比率，衡量事业单位事业支出结构。计算公式为：</w:t>
      </w:r>
    </w:p>
    <w:p w14:paraId="4E7A125A">
      <w:pPr>
        <w:spacing w:line="560" w:lineRule="exact"/>
        <w:ind w:firstLine="640" w:firstLineChars="200"/>
        <w:rPr>
          <w:rFonts w:hint="eastAsia" w:ascii="仿宋_GB2312" w:hAnsi="宋体" w:cs="宋体"/>
        </w:rPr>
      </w:pPr>
      <w:r>
        <w:rPr>
          <w:rFonts w:hint="eastAsia" w:ascii="仿宋_GB2312" w:hAnsi="宋体" w:cs="宋体"/>
        </w:rPr>
        <w:t>人员支出比率＝</w:t>
      </w:r>
      <w:r>
        <w:rPr>
          <w:rFonts w:hint="eastAsia" w:ascii="仿宋_GB2312" w:hAnsi="宋体" w:cs="宋体"/>
          <w:lang w:val="en-US" w:eastAsia="zh-CN"/>
        </w:rPr>
        <w:t>437.43</w:t>
      </w:r>
      <w:r>
        <w:rPr>
          <w:rFonts w:hint="eastAsia" w:ascii="仿宋_GB2312" w:hAnsi="宋体" w:cs="宋体"/>
        </w:rPr>
        <w:t>÷</w:t>
      </w:r>
      <w:r>
        <w:rPr>
          <w:rFonts w:hint="eastAsia" w:ascii="仿宋_GB2312" w:hAnsi="宋体" w:cs="宋体"/>
          <w:lang w:val="en-US" w:eastAsia="zh-CN"/>
        </w:rPr>
        <w:t>456.78</w:t>
      </w:r>
      <w:r>
        <w:rPr>
          <w:rFonts w:hint="eastAsia" w:ascii="仿宋_GB2312" w:hAnsi="宋体" w:cs="宋体"/>
        </w:rPr>
        <w:t>×100%=</w:t>
      </w:r>
      <w:r>
        <w:rPr>
          <w:rFonts w:hint="eastAsia" w:ascii="仿宋_GB2312" w:hAnsi="宋体" w:cs="宋体"/>
          <w:lang w:val="en-US" w:eastAsia="zh-CN"/>
        </w:rPr>
        <w:t>95.76</w:t>
      </w:r>
      <w:r>
        <w:rPr>
          <w:rFonts w:hint="eastAsia" w:ascii="仿宋_GB2312" w:hAnsi="宋体" w:cs="宋体"/>
        </w:rPr>
        <w:t>%。</w:t>
      </w:r>
    </w:p>
    <w:p w14:paraId="5D51CDF8">
      <w:pPr>
        <w:spacing w:line="560" w:lineRule="exact"/>
        <w:ind w:firstLine="640" w:firstLineChars="200"/>
        <w:rPr>
          <w:rFonts w:hint="eastAsia" w:ascii="仿宋_GB2312" w:hAnsi="宋体" w:cs="宋体"/>
        </w:rPr>
      </w:pPr>
      <w:r>
        <w:rPr>
          <w:rFonts w:hint="eastAsia" w:ascii="仿宋_GB2312" w:hAnsi="宋体" w:cs="宋体"/>
        </w:rPr>
        <w:t>公用支出比率＝</w:t>
      </w:r>
      <w:r>
        <w:rPr>
          <w:rFonts w:hint="eastAsia" w:ascii="仿宋_GB2312" w:hAnsi="宋体" w:cs="宋体"/>
          <w:lang w:val="en-US" w:eastAsia="zh-CN"/>
        </w:rPr>
        <w:t>19.35</w:t>
      </w:r>
      <w:r>
        <w:rPr>
          <w:rFonts w:hint="eastAsia" w:ascii="仿宋_GB2312" w:hAnsi="宋体" w:cs="宋体"/>
        </w:rPr>
        <w:t>÷</w:t>
      </w:r>
      <w:r>
        <w:rPr>
          <w:rFonts w:hint="eastAsia" w:ascii="仿宋_GB2312" w:hAnsi="宋体" w:cs="宋体"/>
          <w:lang w:val="en-US" w:eastAsia="zh-CN"/>
        </w:rPr>
        <w:t>456.78</w:t>
      </w:r>
      <w:r>
        <w:rPr>
          <w:rFonts w:hint="eastAsia" w:ascii="仿宋_GB2312" w:hAnsi="宋体" w:cs="宋体"/>
        </w:rPr>
        <w:t>×100%=</w:t>
      </w:r>
      <w:r>
        <w:rPr>
          <w:rFonts w:hint="eastAsia" w:ascii="仿宋_GB2312" w:hAnsi="宋体" w:cs="宋体"/>
          <w:lang w:val="en-US" w:eastAsia="zh-CN"/>
        </w:rPr>
        <w:t>4.24</w:t>
      </w:r>
      <w:r>
        <w:rPr>
          <w:rFonts w:hint="eastAsia" w:ascii="仿宋_GB2312" w:hAnsi="宋体" w:cs="宋体"/>
        </w:rPr>
        <w:t>%。</w:t>
      </w:r>
    </w:p>
    <w:p w14:paraId="11BA8A67">
      <w:pPr>
        <w:spacing w:line="560" w:lineRule="exact"/>
        <w:ind w:firstLine="640" w:firstLineChars="200"/>
        <w:rPr>
          <w:rFonts w:hint="eastAsia" w:ascii="仿宋_GB2312" w:hAnsi="宋体" w:cs="宋体"/>
        </w:rPr>
      </w:pPr>
      <w:r>
        <w:rPr>
          <w:rFonts w:hint="eastAsia" w:ascii="仿宋_GB2312" w:hAnsi="宋体" w:cs="宋体"/>
        </w:rPr>
        <w:t>3.人均基本支出，衡量事业单位按照实际在编人数平均的基本支出水平。计算公式为：</w:t>
      </w:r>
    </w:p>
    <w:p w14:paraId="4E54C53D">
      <w:pPr>
        <w:spacing w:line="560" w:lineRule="exact"/>
        <w:ind w:firstLine="640" w:firstLineChars="200"/>
        <w:rPr>
          <w:rFonts w:hint="eastAsia" w:ascii="仿宋_GB2312" w:hAnsi="宋体" w:cs="宋体"/>
        </w:rPr>
      </w:pPr>
      <w:r>
        <w:rPr>
          <w:rFonts w:hint="eastAsia" w:ascii="仿宋_GB2312" w:hAnsi="宋体" w:cs="宋体"/>
        </w:rPr>
        <w:t>人均基本支出＝</w:t>
      </w:r>
      <w:r>
        <w:rPr>
          <w:rFonts w:hint="eastAsia" w:ascii="仿宋_GB2312" w:hAnsi="宋体" w:cs="宋体"/>
          <w:lang w:val="en-US" w:eastAsia="zh-CN"/>
        </w:rPr>
        <w:t>437.43</w:t>
      </w:r>
      <w:r>
        <w:rPr>
          <w:rFonts w:hint="eastAsia" w:ascii="仿宋_GB2312" w:hAnsi="宋体" w:cs="宋体"/>
        </w:rPr>
        <w:t>÷</w:t>
      </w:r>
      <w:r>
        <w:rPr>
          <w:rFonts w:hint="eastAsia" w:ascii="仿宋_GB2312" w:hAnsi="宋体" w:cs="宋体"/>
          <w:lang w:val="en-US" w:eastAsia="zh-CN"/>
        </w:rPr>
        <w:t>27</w:t>
      </w:r>
      <w:r>
        <w:rPr>
          <w:rFonts w:hint="eastAsia" w:ascii="仿宋_GB2312" w:hAnsi="宋体" w:cs="宋体"/>
        </w:rPr>
        <w:t>=</w:t>
      </w:r>
      <w:r>
        <w:rPr>
          <w:rFonts w:hint="eastAsia" w:ascii="仿宋_GB2312" w:hAnsi="宋体" w:cs="宋体"/>
          <w:lang w:val="en-US" w:eastAsia="zh-CN"/>
        </w:rPr>
        <w:t>16.20</w:t>
      </w:r>
      <w:r>
        <w:rPr>
          <w:rFonts w:hint="eastAsia" w:ascii="仿宋_GB2312" w:hAnsi="宋体" w:cs="宋体"/>
        </w:rPr>
        <w:t>（万元）</w:t>
      </w:r>
    </w:p>
    <w:p w14:paraId="2574778D">
      <w:pPr>
        <w:spacing w:line="560" w:lineRule="exact"/>
        <w:ind w:firstLine="640" w:firstLineChars="200"/>
        <w:rPr>
          <w:rFonts w:hint="eastAsia" w:ascii="仿宋_GB2312" w:hAnsi="宋体" w:cs="宋体"/>
        </w:rPr>
      </w:pPr>
      <w:r>
        <w:rPr>
          <w:rFonts w:hint="eastAsia" w:ascii="仿宋_GB2312" w:hAnsi="宋体" w:cs="宋体"/>
        </w:rPr>
        <w:t>此外，行业事业单位还可根据相关财务制度规定和分析需要增加相关分析指标，如：</w:t>
      </w:r>
    </w:p>
    <w:p w14:paraId="1FE219C2">
      <w:pPr>
        <w:spacing w:line="560" w:lineRule="exact"/>
        <w:ind w:firstLine="640" w:firstLineChars="200"/>
        <w:rPr>
          <w:rFonts w:hint="eastAsia" w:ascii="仿宋_GB2312" w:hAnsi="宋体" w:cs="宋体"/>
        </w:rPr>
      </w:pPr>
      <w:r>
        <w:rPr>
          <w:rFonts w:hint="eastAsia" w:ascii="仿宋_GB2312" w:hAnsi="宋体" w:cs="宋体"/>
        </w:rPr>
        <w:t>1.财政拨款依存度, 衡量部门（单位）对财政拨款的依赖程度。</w:t>
      </w:r>
    </w:p>
    <w:p w14:paraId="55EFC564">
      <w:pPr>
        <w:spacing w:line="560" w:lineRule="exact"/>
        <w:ind w:firstLine="640" w:firstLineChars="200"/>
        <w:rPr>
          <w:rFonts w:hint="eastAsia" w:ascii="仿宋_GB2312" w:hAnsi="宋体" w:cs="宋体"/>
        </w:rPr>
      </w:pPr>
      <w:r>
        <w:rPr>
          <w:rFonts w:hint="eastAsia" w:ascii="仿宋_GB2312" w:hAnsi="宋体" w:cs="宋体"/>
        </w:rPr>
        <w:t>财政拨款依存度＝</w:t>
      </w:r>
      <w:r>
        <w:rPr>
          <w:rFonts w:hint="eastAsia" w:ascii="仿宋_GB2312" w:hAnsi="宋体" w:cs="宋体"/>
          <w:lang w:val="en-US" w:eastAsia="zh-CN"/>
        </w:rPr>
        <w:t>560.16</w:t>
      </w:r>
      <w:r>
        <w:rPr>
          <w:rFonts w:hint="eastAsia" w:ascii="仿宋_GB2312" w:hAnsi="宋体" w:cs="宋体"/>
        </w:rPr>
        <w:t>÷</w:t>
      </w:r>
      <w:r>
        <w:rPr>
          <w:rFonts w:hint="eastAsia" w:ascii="仿宋_GB2312" w:hAnsi="宋体" w:cs="宋体"/>
          <w:lang w:val="en-US" w:eastAsia="zh-CN"/>
        </w:rPr>
        <w:t>756.79</w:t>
      </w:r>
      <w:r>
        <w:rPr>
          <w:rFonts w:hint="eastAsia" w:ascii="仿宋_GB2312" w:hAnsi="宋体" w:cs="宋体"/>
        </w:rPr>
        <w:t>×100%</w:t>
      </w:r>
      <w:r>
        <w:rPr>
          <w:rFonts w:hint="eastAsia" w:ascii="仿宋_GB2312" w:hAnsi="宋体" w:cs="宋体"/>
          <w:lang w:val="en-US" w:eastAsia="zh-CN"/>
        </w:rPr>
        <w:t>=74.02</w:t>
      </w:r>
      <w:r>
        <w:rPr>
          <w:rFonts w:hint="eastAsia" w:ascii="仿宋_GB2312" w:hAnsi="宋体" w:cs="宋体"/>
        </w:rPr>
        <w:t>%。</w:t>
      </w:r>
    </w:p>
    <w:p w14:paraId="0C0B4C70">
      <w:pPr>
        <w:spacing w:line="560" w:lineRule="exact"/>
        <w:ind w:firstLine="640" w:firstLineChars="200"/>
        <w:rPr>
          <w:rFonts w:hint="eastAsia" w:ascii="仿宋_GB2312"/>
        </w:rPr>
      </w:pPr>
    </w:p>
    <w:p w14:paraId="1705C41D">
      <w:pPr>
        <w:rPr>
          <w:rFonts w:hint="eastAsia" w:ascii="仿宋_GB2312"/>
          <w:highlight w:val="yellow"/>
        </w:rPr>
      </w:pPr>
    </w:p>
    <w:p w14:paraId="60E4906F">
      <w:pPr>
        <w:rPr>
          <w:rFonts w:hint="eastAsia" w:ascii="仿宋_GB2312"/>
        </w:rPr>
      </w:pPr>
    </w:p>
    <w:p w14:paraId="0F53433B">
      <w:pPr>
        <w:rPr>
          <w:rFonts w:hint="eastAsia" w:ascii="仿宋_GB2312"/>
        </w:rPr>
      </w:pPr>
      <w:r>
        <w:rPr>
          <w:rFonts w:hint="eastAsia" w:ascii="仿宋_GB2312"/>
        </w:rPr>
        <w:t>附件2：</w:t>
      </w:r>
    </w:p>
    <w:p w14:paraId="621FFDEA">
      <w:pPr>
        <w:spacing w:line="560" w:lineRule="exact"/>
        <w:jc w:val="center"/>
        <w:rPr>
          <w:rFonts w:hint="eastAsia" w:ascii="方正小标宋简体" w:eastAsia="方正小标宋简体"/>
          <w:sz w:val="44"/>
          <w:szCs w:val="44"/>
        </w:rPr>
      </w:pPr>
    </w:p>
    <w:p w14:paraId="4EAF9677">
      <w:pPr>
        <w:keepNext w:val="0"/>
        <w:keepLines w:val="0"/>
        <w:pageBreakBefore w:val="0"/>
        <w:widowControl w:val="0"/>
        <w:kinsoku/>
        <w:wordWrap/>
        <w:overflowPunct/>
        <w:topLinePunct w:val="0"/>
        <w:autoSpaceDE/>
        <w:autoSpaceDN/>
        <w:bidi w:val="0"/>
        <w:spacing w:line="560" w:lineRule="exact"/>
        <w:jc w:val="right"/>
        <w:textAlignment w:val="auto"/>
        <w:rPr>
          <w:rFonts w:hint="default" w:ascii="Times New Roman" w:hAnsi="Times New Roman" w:eastAsia="仿宋_GB2312" w:cs="Times New Roman"/>
          <w:kern w:val="2"/>
          <w:sz w:val="32"/>
          <w:szCs w:val="32"/>
          <w:lang w:val="en-US" w:eastAsia="zh-CN" w:bidi="ar-SA"/>
        </w:rPr>
      </w:pPr>
    </w:p>
    <w:p w14:paraId="695CC910">
      <w:pPr>
        <w:jc w:val="right"/>
        <w:rPr>
          <w:rFonts w:ascii="仿宋_GB2312"/>
          <w:highlight w:val="yellow"/>
        </w:rPr>
      </w:pPr>
    </w:p>
    <w:p w14:paraId="42519A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中共寻甸</w:t>
      </w:r>
      <w:r>
        <w:rPr>
          <w:rFonts w:hint="eastAsia" w:ascii="方正小标宋简体" w:hAnsi="方正小标宋简体" w:eastAsia="方正小标宋简体" w:cs="方正小标宋简体"/>
          <w:sz w:val="44"/>
          <w:szCs w:val="44"/>
          <w:lang w:eastAsia="zh-CN"/>
        </w:rPr>
        <w:t>回族彝族自治</w:t>
      </w:r>
      <w:r>
        <w:rPr>
          <w:rFonts w:hint="eastAsia" w:ascii="方正小标宋简体" w:hAnsi="方正小标宋简体" w:eastAsia="方正小标宋简体" w:cs="方正小标宋简体"/>
          <w:sz w:val="44"/>
          <w:szCs w:val="44"/>
        </w:rPr>
        <w:t>县委党校</w:t>
      </w:r>
    </w:p>
    <w:p w14:paraId="23D2E0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年工作总结</w:t>
      </w:r>
      <w:r>
        <w:rPr>
          <w:rFonts w:hint="eastAsia" w:ascii="方正小标宋简体" w:hAnsi="方正小标宋简体" w:eastAsia="方正小标宋简体" w:cs="方正小标宋简体"/>
          <w:sz w:val="44"/>
          <w:szCs w:val="44"/>
          <w:lang w:eastAsia="zh-CN"/>
        </w:rPr>
        <w:t>和</w:t>
      </w: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lang w:eastAsia="zh-CN"/>
        </w:rPr>
        <w:t>工作计划</w:t>
      </w:r>
    </w:p>
    <w:p w14:paraId="4C5259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小标宋简体" w:cs="Times New Roman"/>
          <w:sz w:val="32"/>
          <w:szCs w:val="32"/>
        </w:rPr>
      </w:pPr>
    </w:p>
    <w:p w14:paraId="066836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一年来，县委党校</w:t>
      </w:r>
      <w:r>
        <w:rPr>
          <w:rFonts w:hint="default" w:ascii="Times New Roman" w:hAnsi="Times New Roman" w:eastAsia="仿宋_GB2312" w:cs="Times New Roman"/>
          <w:sz w:val="32"/>
          <w:szCs w:val="32"/>
        </w:rPr>
        <w:t>深入学习贯彻党的二十大和二十届一中、二中</w:t>
      </w:r>
      <w:r>
        <w:rPr>
          <w:rFonts w:hint="eastAsia" w:ascii="Times New Roman" w:hAnsi="Times New Roman" w:eastAsia="仿宋_GB2312" w:cs="Times New Roman"/>
          <w:sz w:val="32"/>
          <w:szCs w:val="32"/>
          <w:lang w:eastAsia="zh-CN"/>
        </w:rPr>
        <w:t>、三中</w:t>
      </w:r>
      <w:r>
        <w:rPr>
          <w:rFonts w:hint="default" w:ascii="Times New Roman" w:hAnsi="Times New Roman" w:eastAsia="仿宋_GB2312" w:cs="Times New Roman"/>
          <w:sz w:val="32"/>
          <w:szCs w:val="32"/>
        </w:rPr>
        <w:t>全会精神</w:t>
      </w:r>
      <w:r>
        <w:rPr>
          <w:rFonts w:hint="eastAsia" w:ascii="Times New Roman" w:hAnsi="Times New Roman" w:eastAsia="仿宋_GB2312" w:cs="Times New Roman"/>
          <w:sz w:val="32"/>
          <w:szCs w:val="32"/>
          <w:lang w:eastAsia="zh-CN"/>
        </w:rPr>
        <w:t>和习近平总书记关于党校工作的重要论述，在为党育才、为党献策上积极作为</w:t>
      </w:r>
      <w:r>
        <w:rPr>
          <w:rFonts w:hint="default" w:ascii="Times New Roman" w:hAnsi="Times New Roman" w:eastAsia="仿宋_GB2312" w:cs="Times New Roman"/>
          <w:sz w:val="32"/>
          <w:szCs w:val="32"/>
        </w:rPr>
        <w:t>，各项工作</w:t>
      </w:r>
      <w:r>
        <w:rPr>
          <w:rFonts w:hint="eastAsia" w:ascii="Times New Roman" w:hAnsi="Times New Roman" w:eastAsia="仿宋_GB2312" w:cs="Times New Roman"/>
          <w:sz w:val="32"/>
          <w:szCs w:val="32"/>
          <w:lang w:eastAsia="zh-CN"/>
        </w:rPr>
        <w:t>取得了新的进展</w:t>
      </w:r>
      <w:r>
        <w:rPr>
          <w:rFonts w:hint="default" w:ascii="Times New Roman" w:hAnsi="Times New Roman" w:eastAsia="仿宋_GB2312" w:cs="Times New Roman"/>
          <w:sz w:val="32"/>
          <w:szCs w:val="32"/>
        </w:rPr>
        <w:t>，现将</w:t>
      </w:r>
      <w:r>
        <w:rPr>
          <w:rFonts w:hint="eastAsia" w:ascii="Times New Roman" w:hAnsi="Times New Roman" w:eastAsia="仿宋_GB2312" w:cs="Times New Roman"/>
          <w:sz w:val="32"/>
          <w:szCs w:val="32"/>
          <w:lang w:eastAsia="zh-CN"/>
        </w:rPr>
        <w:t>有关情况</w:t>
      </w:r>
      <w:r>
        <w:rPr>
          <w:rFonts w:hint="default" w:ascii="Times New Roman" w:hAnsi="Times New Roman" w:eastAsia="仿宋_GB2312" w:cs="Times New Roman"/>
          <w:sz w:val="32"/>
          <w:szCs w:val="32"/>
        </w:rPr>
        <w:t>报告如下：</w:t>
      </w:r>
    </w:p>
    <w:p w14:paraId="2001B7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2024年</w:t>
      </w:r>
      <w:r>
        <w:rPr>
          <w:rFonts w:hint="eastAsia" w:ascii="Times New Roman" w:hAnsi="Times New Roman" w:eastAsia="黑体" w:cs="Times New Roman"/>
          <w:sz w:val="32"/>
          <w:szCs w:val="32"/>
          <w:lang w:eastAsia="zh-CN"/>
        </w:rPr>
        <w:t>主要工作情况</w:t>
      </w:r>
    </w:p>
    <w:p w14:paraId="41EB98E7">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sz w:val="32"/>
          <w:szCs w:val="32"/>
        </w:rPr>
      </w:pPr>
      <w:r>
        <w:rPr>
          <w:rFonts w:hint="default" w:ascii="Times New Roman" w:hAnsi="Times New Roman" w:eastAsia="楷体_GB2312" w:cs="Times New Roman"/>
          <w:sz w:val="32"/>
          <w:szCs w:val="32"/>
        </w:rPr>
        <w:t>（一）</w:t>
      </w:r>
      <w:r>
        <w:rPr>
          <w:rFonts w:hint="eastAsia" w:ascii="Times New Roman" w:hAnsi="Times New Roman" w:eastAsia="楷体_GB2312" w:cs="Times New Roman"/>
          <w:sz w:val="32"/>
          <w:szCs w:val="32"/>
          <w:lang w:eastAsia="zh-CN"/>
        </w:rPr>
        <w:t>推动办学规模稳步提升。</w:t>
      </w:r>
      <w:r>
        <w:rPr>
          <w:rFonts w:hint="eastAsia"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rPr>
        <w:t>年，完成各类党员干部培训</w:t>
      </w:r>
      <w:r>
        <w:rPr>
          <w:rFonts w:hint="eastAsia" w:ascii="Times New Roman" w:hAnsi="Times New Roman" w:eastAsia="仿宋_GB2312" w:cs="Times New Roman"/>
          <w:sz w:val="32"/>
          <w:szCs w:val="32"/>
          <w:lang w:val="en-US" w:eastAsia="zh-CN"/>
        </w:rPr>
        <w:t>97</w:t>
      </w:r>
      <w:r>
        <w:rPr>
          <w:rFonts w:hint="default" w:ascii="Times New Roman" w:hAnsi="Times New Roman" w:eastAsia="仿宋_GB2312" w:cs="Times New Roman"/>
          <w:sz w:val="32"/>
          <w:szCs w:val="32"/>
        </w:rPr>
        <w:t>期（场），</w:t>
      </w:r>
      <w:r>
        <w:rPr>
          <w:rFonts w:hint="default" w:ascii="Times New Roman" w:hAnsi="Times New Roman" w:eastAsia="仿宋_GB2312" w:cs="Times New Roman"/>
          <w:b w:val="0"/>
          <w:bCs w:val="0"/>
          <w:sz w:val="32"/>
          <w:szCs w:val="32"/>
        </w:rPr>
        <w:t>共计培训</w:t>
      </w:r>
      <w:r>
        <w:rPr>
          <w:rFonts w:hint="eastAsia" w:ascii="Times New Roman" w:hAnsi="Times New Roman" w:eastAsia="仿宋_GB2312" w:cs="Times New Roman"/>
          <w:b w:val="0"/>
          <w:bCs w:val="0"/>
          <w:sz w:val="32"/>
          <w:szCs w:val="32"/>
          <w:lang w:val="en-US" w:eastAsia="zh-CN"/>
        </w:rPr>
        <w:t>11891</w:t>
      </w:r>
      <w:r>
        <w:rPr>
          <w:rFonts w:hint="default" w:ascii="Times New Roman" w:hAnsi="Times New Roman" w:eastAsia="仿宋_GB2312" w:cs="Times New Roman"/>
          <w:b w:val="0"/>
          <w:bCs w:val="0"/>
          <w:sz w:val="32"/>
          <w:szCs w:val="32"/>
        </w:rPr>
        <w:t>人次。</w:t>
      </w:r>
      <w:r>
        <w:rPr>
          <w:rFonts w:hint="eastAsia" w:ascii="Times New Roman" w:hAnsi="Times New Roman" w:eastAsia="仿宋_GB2312" w:cs="Times New Roman"/>
          <w:b w:val="0"/>
          <w:bCs w:val="0"/>
          <w:sz w:val="32"/>
          <w:szCs w:val="32"/>
          <w:lang w:eastAsia="zh-CN"/>
        </w:rPr>
        <w:t>其中，</w:t>
      </w:r>
      <w:r>
        <w:rPr>
          <w:rFonts w:hint="eastAsia" w:ascii="仿宋_GB2312" w:eastAsia="仿宋_GB2312"/>
          <w:b w:val="0"/>
          <w:bCs w:val="0"/>
          <w:color w:val="000000"/>
          <w:sz w:val="32"/>
          <w:szCs w:val="32"/>
        </w:rPr>
        <w:t>主体培训班</w:t>
      </w:r>
      <w:r>
        <w:rPr>
          <w:rFonts w:hint="eastAsia" w:ascii="仿宋_GB2312" w:eastAsia="仿宋_GB2312"/>
          <w:b w:val="0"/>
          <w:bCs w:val="0"/>
          <w:color w:val="auto"/>
          <w:sz w:val="32"/>
          <w:szCs w:val="32"/>
        </w:rPr>
        <w:t>次</w:t>
      </w:r>
      <w:r>
        <w:rPr>
          <w:rFonts w:hint="eastAsia" w:ascii="仿宋_GB2312" w:eastAsia="仿宋_GB2312"/>
          <w:b w:val="0"/>
          <w:bCs w:val="0"/>
          <w:color w:val="auto"/>
          <w:sz w:val="32"/>
          <w:szCs w:val="32"/>
          <w:lang w:val="en-US" w:eastAsia="zh-CN"/>
        </w:rPr>
        <w:t>16</w:t>
      </w:r>
      <w:r>
        <w:rPr>
          <w:rFonts w:hint="eastAsia" w:ascii="仿宋_GB2312" w:eastAsia="仿宋_GB2312"/>
          <w:b w:val="0"/>
          <w:bCs w:val="0"/>
          <w:color w:val="auto"/>
          <w:sz w:val="32"/>
          <w:szCs w:val="32"/>
          <w:lang w:eastAsia="zh-CN"/>
        </w:rPr>
        <w:t>期</w:t>
      </w:r>
      <w:r>
        <w:rPr>
          <w:rFonts w:hint="eastAsia" w:ascii="仿宋_GB2312" w:eastAsia="仿宋_GB2312"/>
          <w:b w:val="0"/>
          <w:bCs w:val="0"/>
          <w:color w:val="auto"/>
          <w:sz w:val="32"/>
          <w:szCs w:val="32"/>
        </w:rPr>
        <w:t>，培训</w:t>
      </w:r>
      <w:r>
        <w:rPr>
          <w:rFonts w:hint="eastAsia" w:ascii="仿宋_GB2312" w:eastAsia="仿宋_GB2312"/>
          <w:b w:val="0"/>
          <w:bCs w:val="0"/>
          <w:color w:val="auto"/>
          <w:sz w:val="32"/>
          <w:szCs w:val="32"/>
          <w:lang w:val="en-US" w:eastAsia="zh-CN"/>
        </w:rPr>
        <w:t>1889</w:t>
      </w:r>
      <w:r>
        <w:rPr>
          <w:rFonts w:hint="eastAsia" w:ascii="仿宋_GB2312" w:eastAsia="仿宋_GB2312"/>
          <w:b w:val="0"/>
          <w:bCs w:val="0"/>
          <w:color w:val="auto"/>
          <w:sz w:val="32"/>
          <w:szCs w:val="32"/>
        </w:rPr>
        <w:t>人次</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重点培训班</w:t>
      </w:r>
      <w:r>
        <w:rPr>
          <w:rFonts w:hint="eastAsia" w:ascii="仿宋_GB2312" w:eastAsia="仿宋_GB2312"/>
          <w:b w:val="0"/>
          <w:bCs w:val="0"/>
          <w:color w:val="auto"/>
          <w:sz w:val="32"/>
          <w:szCs w:val="32"/>
          <w:lang w:val="en-US" w:eastAsia="zh-CN"/>
        </w:rPr>
        <w:t>7</w:t>
      </w:r>
      <w:r>
        <w:rPr>
          <w:rFonts w:hint="eastAsia" w:ascii="仿宋_GB2312" w:eastAsia="仿宋_GB2312"/>
          <w:b w:val="0"/>
          <w:bCs w:val="0"/>
          <w:color w:val="auto"/>
          <w:sz w:val="32"/>
          <w:szCs w:val="32"/>
          <w:lang w:eastAsia="zh-CN"/>
        </w:rPr>
        <w:t>期</w:t>
      </w:r>
      <w:r>
        <w:rPr>
          <w:rFonts w:hint="eastAsia" w:ascii="仿宋_GB2312" w:eastAsia="仿宋_GB2312"/>
          <w:b w:val="0"/>
          <w:bCs w:val="0"/>
          <w:color w:val="auto"/>
          <w:sz w:val="32"/>
          <w:szCs w:val="32"/>
        </w:rPr>
        <w:t>，培训</w:t>
      </w:r>
      <w:r>
        <w:rPr>
          <w:rFonts w:hint="eastAsia" w:ascii="仿宋_GB2312" w:eastAsia="仿宋_GB2312"/>
          <w:b w:val="0"/>
          <w:bCs w:val="0"/>
          <w:color w:val="auto"/>
          <w:sz w:val="32"/>
          <w:szCs w:val="32"/>
          <w:lang w:val="en-US" w:eastAsia="zh-CN"/>
        </w:rPr>
        <w:t>1074</w:t>
      </w:r>
      <w:r>
        <w:rPr>
          <w:rFonts w:hint="eastAsia" w:ascii="仿宋_GB2312" w:eastAsia="仿宋_GB2312"/>
          <w:b w:val="0"/>
          <w:bCs w:val="0"/>
          <w:color w:val="auto"/>
          <w:sz w:val="32"/>
          <w:szCs w:val="32"/>
        </w:rPr>
        <w:t>人</w:t>
      </w:r>
      <w:r>
        <w:rPr>
          <w:rFonts w:hint="eastAsia" w:ascii="仿宋_GB2312" w:eastAsia="仿宋_GB2312"/>
          <w:b w:val="0"/>
          <w:bCs w:val="0"/>
          <w:color w:val="auto"/>
          <w:sz w:val="32"/>
          <w:szCs w:val="32"/>
          <w:lang w:eastAsia="zh-CN"/>
        </w:rPr>
        <w:t>次。</w:t>
      </w:r>
      <w:r>
        <w:rPr>
          <w:rFonts w:hint="eastAsia" w:ascii="仿宋_GB2312" w:eastAsia="仿宋_GB2312"/>
          <w:b w:val="0"/>
          <w:bCs w:val="0"/>
          <w:color w:val="auto"/>
          <w:sz w:val="32"/>
          <w:szCs w:val="32"/>
        </w:rPr>
        <w:t>委托培训班</w:t>
      </w:r>
      <w:r>
        <w:rPr>
          <w:rFonts w:hint="eastAsia" w:ascii="仿宋_GB2312" w:eastAsia="仿宋_GB2312"/>
          <w:b w:val="0"/>
          <w:bCs w:val="0"/>
          <w:color w:val="auto"/>
          <w:sz w:val="32"/>
          <w:szCs w:val="32"/>
          <w:lang w:val="en-US" w:eastAsia="zh-CN"/>
        </w:rPr>
        <w:t>22</w:t>
      </w:r>
      <w:r>
        <w:rPr>
          <w:rFonts w:hint="eastAsia" w:ascii="仿宋_GB2312" w:eastAsia="仿宋_GB2312"/>
          <w:b w:val="0"/>
          <w:bCs w:val="0"/>
          <w:color w:val="auto"/>
          <w:sz w:val="32"/>
          <w:szCs w:val="32"/>
          <w:lang w:eastAsia="zh-CN"/>
        </w:rPr>
        <w:t>期</w:t>
      </w:r>
      <w:r>
        <w:rPr>
          <w:rFonts w:hint="eastAsia" w:ascii="仿宋_GB2312" w:eastAsia="仿宋_GB2312"/>
          <w:b w:val="0"/>
          <w:bCs w:val="0"/>
          <w:color w:val="auto"/>
          <w:sz w:val="32"/>
          <w:szCs w:val="32"/>
        </w:rPr>
        <w:t>，培训</w:t>
      </w:r>
      <w:r>
        <w:rPr>
          <w:rFonts w:hint="eastAsia" w:ascii="仿宋_GB2312" w:eastAsia="仿宋_GB2312"/>
          <w:color w:val="auto"/>
          <w:sz w:val="32"/>
          <w:szCs w:val="32"/>
          <w:lang w:val="en-US" w:eastAsia="zh-CN"/>
        </w:rPr>
        <w:t>3391</w:t>
      </w:r>
      <w:r>
        <w:rPr>
          <w:rFonts w:hint="eastAsia" w:ascii="仿宋_GB2312" w:eastAsia="仿宋_GB2312"/>
          <w:bCs/>
          <w:color w:val="auto"/>
          <w:sz w:val="32"/>
          <w:szCs w:val="32"/>
        </w:rPr>
        <w:t>人</w:t>
      </w:r>
      <w:r>
        <w:rPr>
          <w:rFonts w:hint="eastAsia" w:ascii="仿宋_GB2312" w:eastAsia="仿宋_GB2312"/>
          <w:bCs/>
          <w:color w:val="auto"/>
          <w:sz w:val="32"/>
          <w:szCs w:val="32"/>
          <w:lang w:eastAsia="zh-CN"/>
        </w:rPr>
        <w:t>次。</w:t>
      </w:r>
      <w:r>
        <w:rPr>
          <w:rFonts w:hint="eastAsia" w:ascii="仿宋_GB2312" w:eastAsia="仿宋_GB2312"/>
          <w:color w:val="auto"/>
          <w:sz w:val="32"/>
          <w:szCs w:val="32"/>
        </w:rPr>
        <w:t>完成送课上门</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场，培训</w:t>
      </w:r>
      <w:r>
        <w:rPr>
          <w:rFonts w:hint="eastAsia" w:ascii="仿宋_GB2312" w:eastAsia="仿宋_GB2312"/>
          <w:color w:val="auto"/>
          <w:sz w:val="32"/>
          <w:szCs w:val="32"/>
          <w:lang w:val="en-US" w:eastAsia="zh-CN"/>
        </w:rPr>
        <w:t>4051</w:t>
      </w:r>
      <w:r>
        <w:rPr>
          <w:rFonts w:hint="eastAsia" w:ascii="仿宋_GB2312" w:eastAsia="仿宋_GB2312"/>
          <w:color w:val="auto"/>
          <w:sz w:val="32"/>
          <w:szCs w:val="32"/>
        </w:rPr>
        <w:t>人次</w:t>
      </w:r>
      <w:r>
        <w:rPr>
          <w:rFonts w:hint="eastAsia" w:ascii="仿宋_GB2312" w:eastAsia="仿宋_GB2312"/>
          <w:color w:val="auto"/>
          <w:sz w:val="32"/>
          <w:szCs w:val="32"/>
          <w:lang w:eastAsia="zh-CN"/>
        </w:rPr>
        <w:t>，包括</w:t>
      </w:r>
      <w:r>
        <w:rPr>
          <w:rFonts w:hint="eastAsia" w:ascii="仿宋_GB2312" w:eastAsia="仿宋_GB2312"/>
          <w:color w:val="auto"/>
          <w:sz w:val="32"/>
          <w:szCs w:val="32"/>
          <w:lang w:val="en-US" w:eastAsia="zh-CN"/>
        </w:rPr>
        <w:t>县直各单位11场1989人次、乡镇及村委3场265人次、企业（学校）3场412人次，异地送课9场1385人次。</w:t>
      </w:r>
      <w:r>
        <w:rPr>
          <w:rFonts w:hint="eastAsia" w:ascii="仿宋_GB2312" w:hAnsi="宋体" w:eastAsia="仿宋_GB2312" w:cs="宋体"/>
          <w:color w:val="auto"/>
          <w:kern w:val="0"/>
          <w:sz w:val="32"/>
          <w:szCs w:val="32"/>
          <w:lang w:eastAsia="zh-CN"/>
        </w:rPr>
        <w:t>协助</w:t>
      </w:r>
      <w:r>
        <w:rPr>
          <w:rFonts w:hint="eastAsia" w:ascii="仿宋_GB2312" w:hAnsi="宋体" w:eastAsia="仿宋_GB2312" w:cs="宋体"/>
          <w:color w:val="auto"/>
          <w:kern w:val="0"/>
          <w:sz w:val="32"/>
          <w:szCs w:val="32"/>
        </w:rPr>
        <w:t>完成云南省时代前沿知识讲座</w:t>
      </w:r>
      <w:r>
        <w:rPr>
          <w:rFonts w:hint="eastAsia" w:ascii="仿宋_GB2312" w:eastAsia="仿宋_GB2312"/>
          <w:color w:val="auto"/>
          <w:sz w:val="32"/>
          <w:szCs w:val="32"/>
        </w:rPr>
        <w:t>领导干部集体学习</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次</w:t>
      </w:r>
      <w:r>
        <w:rPr>
          <w:rFonts w:hint="eastAsia" w:ascii="仿宋_GB2312" w:eastAsia="仿宋_GB2312"/>
          <w:color w:val="auto"/>
          <w:sz w:val="32"/>
          <w:szCs w:val="32"/>
          <w:lang w:val="en-US" w:eastAsia="zh-CN"/>
        </w:rPr>
        <w:t>846</w:t>
      </w:r>
      <w:r>
        <w:rPr>
          <w:rFonts w:hint="eastAsia" w:ascii="仿宋_GB2312" w:eastAsia="仿宋_GB2312"/>
          <w:color w:val="auto"/>
          <w:sz w:val="32"/>
          <w:szCs w:val="32"/>
        </w:rPr>
        <w:t>人次。</w:t>
      </w:r>
      <w:r>
        <w:rPr>
          <w:rFonts w:hint="eastAsia" w:ascii="仿宋_GB2312" w:eastAsia="仿宋_GB2312"/>
          <w:color w:val="auto"/>
          <w:sz w:val="32"/>
          <w:szCs w:val="32"/>
          <w:lang w:eastAsia="zh-CN"/>
        </w:rPr>
        <w:t>开展</w:t>
      </w:r>
      <w:r>
        <w:rPr>
          <w:rFonts w:hint="eastAsia" w:ascii="仿宋_GB2312" w:eastAsia="仿宋_GB2312"/>
          <w:bCs/>
          <w:color w:val="000000"/>
          <w:sz w:val="32"/>
          <w:szCs w:val="32"/>
          <w:lang w:eastAsia="zh-CN"/>
        </w:rPr>
        <w:t>党的二十届三中全会精神</w:t>
      </w:r>
      <w:r>
        <w:rPr>
          <w:rFonts w:hint="eastAsia" w:ascii="仿宋_GB2312" w:eastAsia="仿宋_GB2312"/>
          <w:bCs/>
          <w:color w:val="000000"/>
          <w:sz w:val="32"/>
          <w:szCs w:val="32"/>
        </w:rPr>
        <w:t>宣讲</w:t>
      </w:r>
      <w:r>
        <w:rPr>
          <w:rFonts w:hint="eastAsia" w:ascii="仿宋_GB2312" w:eastAsia="仿宋_GB2312"/>
          <w:bCs/>
          <w:color w:val="000000"/>
          <w:sz w:val="32"/>
          <w:szCs w:val="32"/>
          <w:lang w:eastAsia="zh-CN"/>
        </w:rPr>
        <w:t>13场</w:t>
      </w:r>
      <w:r>
        <w:rPr>
          <w:rFonts w:hint="eastAsia" w:ascii="仿宋_GB2312" w:eastAsia="仿宋_GB2312"/>
          <w:bCs/>
          <w:color w:val="000000"/>
          <w:sz w:val="32"/>
          <w:szCs w:val="32"/>
          <w:lang w:val="en-US" w:eastAsia="zh-CN"/>
        </w:rPr>
        <w:t>783</w:t>
      </w:r>
      <w:r>
        <w:rPr>
          <w:rFonts w:hint="eastAsia" w:ascii="仿宋_GB2312" w:eastAsia="仿宋_GB2312"/>
          <w:bCs/>
          <w:color w:val="000000"/>
          <w:sz w:val="32"/>
          <w:szCs w:val="32"/>
          <w:lang w:eastAsia="zh-CN"/>
        </w:rPr>
        <w:t>人。</w:t>
      </w:r>
      <w:r>
        <w:rPr>
          <w:rFonts w:hint="eastAsia" w:ascii="仿宋_GB2312" w:hAnsi="宋体" w:eastAsia="仿宋_GB2312" w:cs="宋体"/>
          <w:kern w:val="0"/>
          <w:sz w:val="32"/>
          <w:szCs w:val="32"/>
          <w:lang w:val="en-US" w:eastAsia="zh-CN"/>
        </w:rPr>
        <w:t>秋季学期招录新生88人，分为3个班级：农村行政管理（初起专）5年制、农村行政管理（高起专）3年制、农林经济管理（专升本）3年制。全部新生已完成报名并全部被云南开放大学录取。</w:t>
      </w:r>
    </w:p>
    <w:p w14:paraId="45E0BE9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val="0"/>
          <w:bCs w:val="0"/>
          <w:color w:val="auto"/>
          <w:sz w:val="32"/>
          <w:szCs w:val="32"/>
          <w:lang w:val="en-US" w:eastAsia="zh-CN"/>
        </w:rPr>
        <w:t>（二）实现学历教育再次起步。</w:t>
      </w:r>
      <w:r>
        <w:rPr>
          <w:rStyle w:val="13"/>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承接云南开发大学的教学任务，主要对象是村（社区）干部，目前有8个班359名学员在读。今年春季学期新招录学员89名，其中专升本（三年制）农林经济管理46人，高起专（三年制）行政管理（农村行政管理方向）28人，初起专（5年制）行政管理（农村行政管理方向）15人。课程分为专业能力课、文化基础课、履职能力课、政治理论课和综合实践课，本科专业有27门课程，专科专业分别有26、30和39门课程。师资方面，设有项目管理员3人，课程辅导教师27人，综合实践教学指导教师4人。教学组织管理方面，通过“四个课堂”即空中课堂（线上学习）、固定课堂（面授辅导）、流动课堂（小组交流讨论）、田间课堂（实践教学基地参观学习），</w:t>
      </w:r>
      <w:r>
        <w:rPr>
          <w:rFonts w:hint="eastAsia" w:ascii="Times New Roman" w:hAnsi="Times New Roman" w:eastAsia="仿宋_GB2312" w:cs="Times New Roman"/>
          <w:color w:val="000000"/>
          <w:sz w:val="32"/>
          <w:szCs w:val="32"/>
          <w:lang w:val="en-US" w:eastAsia="zh-CN"/>
        </w:rPr>
        <w:t>不断搭建适合农村基层干部的学习机制。</w:t>
      </w:r>
    </w:p>
    <w:p w14:paraId="44AFA1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强化</w:t>
      </w:r>
      <w:r>
        <w:rPr>
          <w:rFonts w:hint="default" w:ascii="Times New Roman" w:hAnsi="Times New Roman" w:eastAsia="楷体_GB2312" w:cs="Times New Roman"/>
          <w:sz w:val="32"/>
          <w:szCs w:val="32"/>
        </w:rPr>
        <w:t>科研资政</w:t>
      </w:r>
      <w:r>
        <w:rPr>
          <w:rFonts w:hint="eastAsia" w:ascii="Times New Roman" w:hAnsi="Times New Roman" w:eastAsia="楷体_GB2312" w:cs="Times New Roman"/>
          <w:sz w:val="32"/>
          <w:szCs w:val="32"/>
          <w:lang w:eastAsia="zh-CN"/>
        </w:rPr>
        <w:t>能力建设。</w:t>
      </w:r>
      <w:r>
        <w:rPr>
          <w:rStyle w:val="13"/>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围绕干部培训目标，推动课程体系建设，在现有课程基础上，规划马克思主义理论等5大板块167门课程，其中本校课程110门。发挥寻甸特有资源优势，形成红色党性教育、绿色生态产业、乡村振兴等优质现场教学线路4条。聚焦课程体系需要，</w:t>
      </w:r>
      <w:r>
        <w:rPr>
          <w:rFonts w:hint="eastAsia" w:ascii="仿宋_GB2312" w:hAnsi="仿宋_GB2312" w:eastAsia="仿宋_GB2312" w:cs="仿宋_GB2312"/>
          <w:kern w:val="2"/>
          <w:sz w:val="32"/>
          <w:szCs w:val="32"/>
          <w:lang w:val="en-US" w:eastAsia="zh-CN" w:bidi="ar-SA"/>
        </w:rPr>
        <w:t>构建以习近平新时代中国特色社会主义思想为中心内容的马克思主义理论学科，以党史党建为主要内容的党性教育学科，以统战和文化、公共管理和县域经济为特色的3个履职能力学科。</w:t>
      </w:r>
      <w:r>
        <w:rPr>
          <w:rFonts w:hint="eastAsia" w:ascii="仿宋_GB2312" w:hAnsi="仿宋_GB2312" w:eastAsia="仿宋_GB2312" w:cs="仿宋_GB2312"/>
          <w:i w:val="0"/>
          <w:caps w:val="0"/>
          <w:color w:val="auto"/>
          <w:spacing w:val="0"/>
          <w:sz w:val="32"/>
          <w:szCs w:val="32"/>
          <w:shd w:val="clear" w:color="auto" w:fill="FFFFFF"/>
          <w:lang w:val="en-US" w:eastAsia="zh-CN"/>
        </w:rPr>
        <w:t>明确各学科组负责人及成员，</w:t>
      </w:r>
      <w:r>
        <w:rPr>
          <w:rFonts w:hint="eastAsia" w:ascii="仿宋_GB2312" w:hAnsi="仿宋_GB2312" w:eastAsia="仿宋_GB2312" w:cs="仿宋_GB2312"/>
          <w:kern w:val="2"/>
          <w:sz w:val="32"/>
          <w:szCs w:val="32"/>
          <w:lang w:val="en-US" w:eastAsia="zh-CN" w:bidi="ar-SA"/>
        </w:rPr>
        <w:t>推动学科建设起步前行。认真</w:t>
      </w:r>
      <w:r>
        <w:rPr>
          <w:rFonts w:hint="eastAsia" w:ascii="Times New Roman" w:hAnsi="Times New Roman" w:eastAsia="仿宋_GB2312" w:cs="Times New Roman"/>
          <w:sz w:val="32"/>
          <w:szCs w:val="32"/>
          <w:lang w:val="en-US" w:eastAsia="zh-CN"/>
        </w:rPr>
        <w:t>开展集体备课、课程体系建设研讨、新课试讲及说课等教研活动9场次，</w:t>
      </w:r>
      <w:r>
        <w:rPr>
          <w:rFonts w:hint="default" w:ascii="Times New Roman" w:hAnsi="Times New Roman" w:eastAsia="仿宋_GB2312" w:cs="Times New Roman"/>
          <w:sz w:val="32"/>
          <w:szCs w:val="32"/>
        </w:rPr>
        <w:t>完成课题申报</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个，获得立项</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个，其中省委党校</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市委党校</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w:t>
      </w:r>
      <w:r>
        <w:rPr>
          <w:rFonts w:hint="eastAsia" w:ascii="Times New Roman" w:hAnsi="Times New Roman" w:eastAsia="仿宋_GB2312" w:cs="Times New Roman"/>
          <w:sz w:val="32"/>
          <w:szCs w:val="32"/>
          <w:lang w:eastAsia="zh-CN"/>
        </w:rPr>
        <w:t>。积极接入优质教学资源，与华理马克思主义学院顺利签订共建协议，与市委党校民族文化和统战教研部形成结对帮扶关系。</w:t>
      </w:r>
      <w:r>
        <w:rPr>
          <w:rFonts w:hint="eastAsia" w:ascii="Times New Roman" w:hAnsi="Times New Roman" w:eastAsia="仿宋_GB2312" w:cs="Times New Roman"/>
          <w:sz w:val="32"/>
          <w:szCs w:val="32"/>
          <w:lang w:val="en-US" w:eastAsia="zh-CN"/>
        </w:rPr>
        <w:t>健全教学组织管理机制，围绕办学重要环节，建立教学管理、外聘教师管理、学员管理等制度措施6项，推动教育培训工作制度化、规范化和科学化。</w:t>
      </w:r>
    </w:p>
    <w:p w14:paraId="4FA2D5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抓好全面从严治党和各项考核任务落实。</w:t>
      </w:r>
      <w:r>
        <w:rPr>
          <w:rFonts w:hint="eastAsia" w:ascii="Times New Roman" w:hAnsi="Times New Roman" w:eastAsia="仿宋_GB2312" w:cs="Times New Roman"/>
          <w:b/>
          <w:bCs/>
          <w:sz w:val="32"/>
          <w:szCs w:val="32"/>
          <w:lang w:eastAsia="zh-CN"/>
        </w:rPr>
        <w:t>一是</w:t>
      </w:r>
      <w:r>
        <w:rPr>
          <w:rFonts w:hint="default" w:ascii="Times New Roman" w:hAnsi="Times New Roman" w:eastAsia="仿宋_GB2312" w:cs="Times New Roman"/>
          <w:b/>
          <w:bCs/>
          <w:sz w:val="32"/>
          <w:szCs w:val="32"/>
        </w:rPr>
        <w:t>“当好排头兵”大讨论大竞赛活动</w:t>
      </w:r>
      <w:r>
        <w:rPr>
          <w:rFonts w:hint="eastAsia" w:ascii="Times New Roman" w:hAnsi="Times New Roman" w:eastAsia="仿宋_GB2312" w:cs="Times New Roman"/>
          <w:b/>
          <w:bCs/>
          <w:sz w:val="32"/>
          <w:szCs w:val="32"/>
          <w:lang w:eastAsia="zh-CN"/>
        </w:rPr>
        <w:t>方面</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结合</w:t>
      </w:r>
      <w:r>
        <w:rPr>
          <w:rFonts w:hint="default" w:ascii="Times New Roman" w:hAnsi="Times New Roman" w:eastAsia="仿宋_GB2312" w:cs="Times New Roman"/>
          <w:sz w:val="32"/>
          <w:szCs w:val="32"/>
        </w:rPr>
        <w:t>干部队伍“作风能力提升年”活动要求，县委党校制定《教职工“岗位大练兵、业务大比武”活动实施方案（试行）》，让县委党校全体教职工在“学”中掌握政策方法，在“练”中提升工作能力，在“比”中检视工作成效、交流经验做法，从而实现稳步提高专业素质、有效提升工作效率、切实转变工作作风等目标。</w:t>
      </w:r>
      <w:r>
        <w:rPr>
          <w:rFonts w:hint="eastAsia" w:ascii="Times New Roman" w:hAnsi="Times New Roman" w:eastAsia="仿宋_GB2312" w:cs="Times New Roman"/>
          <w:sz w:val="32"/>
          <w:szCs w:val="32"/>
          <w:lang w:eastAsia="zh-CN"/>
        </w:rPr>
        <w:t>积极报送信息，征求</w:t>
      </w:r>
      <w:r>
        <w:rPr>
          <w:rFonts w:hint="default" w:ascii="Times New Roman" w:hAnsi="Times New Roman" w:eastAsia="仿宋_GB2312" w:cs="Times New Roman"/>
          <w:sz w:val="32"/>
          <w:szCs w:val="32"/>
        </w:rPr>
        <w:t>工作成效突出被选树为正面典型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eastAsia="zh-CN"/>
        </w:rPr>
        <w:t>二是</w:t>
      </w:r>
      <w:r>
        <w:rPr>
          <w:rFonts w:hint="default" w:ascii="Times New Roman" w:hAnsi="Times New Roman" w:eastAsia="仿宋_GB2312" w:cs="Times New Roman"/>
          <w:b/>
          <w:bCs/>
          <w:sz w:val="32"/>
          <w:szCs w:val="32"/>
        </w:rPr>
        <w:t>党风廉政建设</w:t>
      </w:r>
      <w:r>
        <w:rPr>
          <w:rFonts w:hint="eastAsia" w:ascii="Times New Roman" w:hAnsi="Times New Roman" w:eastAsia="仿宋_GB2312" w:cs="Times New Roman"/>
          <w:b/>
          <w:bCs/>
          <w:sz w:val="32"/>
          <w:szCs w:val="32"/>
          <w:lang w:eastAsia="zh-CN"/>
        </w:rPr>
        <w:t>方面</w:t>
      </w:r>
      <w:r>
        <w:rPr>
          <w:rFonts w:hint="default" w:ascii="Times New Roman" w:hAnsi="Times New Roman" w:eastAsia="仿宋_GB2312" w:cs="Times New Roman"/>
          <w:b/>
          <w:bCs/>
          <w:sz w:val="32"/>
          <w:szCs w:val="32"/>
        </w:rPr>
        <w:t>。</w:t>
      </w:r>
      <w:r>
        <w:rPr>
          <w:rFonts w:hint="eastAsia" w:ascii="仿宋_GB2312" w:hAnsi="仿宋" w:eastAsia="仿宋_GB2312" w:cs="Times New Roman"/>
          <w:sz w:val="32"/>
          <w:szCs w:val="32"/>
          <w:lang w:val="en-US" w:eastAsia="zh-CN"/>
        </w:rPr>
        <w:t>召开党风廉政专题会议2次，研究部署党风廉政工作中的重要问题，并结合单位实际深刻分析研判政治生态环境。做好党风廉政建设和反腐败工作主要任务分解，制定了分解方案并以党校红头文件下发。开展宣传教育7场次，其中警示教育4场次，家庭家教家风宣传教育1次。党支部书记、副书记讲授党风廉政建设专题党课2场次。开展谈话提醒3人次。抓好中央八项规定落实，按照市、县相关规定做好受处分人员教育管理工作。</w:t>
      </w:r>
      <w:r>
        <w:rPr>
          <w:rFonts w:hint="eastAsia" w:ascii="仿宋_GB2312" w:hAnsi="仿宋" w:eastAsia="仿宋_GB2312" w:cs="Times New Roman"/>
          <w:b/>
          <w:bCs/>
          <w:sz w:val="32"/>
          <w:szCs w:val="32"/>
          <w:lang w:val="en-US" w:eastAsia="zh-CN"/>
        </w:rPr>
        <w:t>三是机关</w:t>
      </w:r>
      <w:r>
        <w:rPr>
          <w:rFonts w:hint="default" w:ascii="Times New Roman" w:hAnsi="Times New Roman" w:eastAsia="仿宋_GB2312" w:cs="Times New Roman"/>
          <w:b/>
          <w:bCs/>
          <w:sz w:val="32"/>
          <w:szCs w:val="32"/>
        </w:rPr>
        <w:t>党建</w:t>
      </w:r>
      <w:r>
        <w:rPr>
          <w:rFonts w:hint="eastAsia" w:ascii="Times New Roman" w:hAnsi="Times New Roman" w:eastAsia="仿宋_GB2312" w:cs="Times New Roman"/>
          <w:b/>
          <w:bCs/>
          <w:sz w:val="32"/>
          <w:szCs w:val="32"/>
          <w:lang w:eastAsia="zh-CN"/>
        </w:rPr>
        <w:t>方面</w:t>
      </w:r>
      <w:r>
        <w:rPr>
          <w:rFonts w:hint="default" w:ascii="Times New Roman" w:hAnsi="Times New Roman" w:eastAsia="仿宋_GB2312" w:cs="Times New Roman"/>
          <w:sz w:val="32"/>
          <w:szCs w:val="32"/>
        </w:rPr>
        <w:t>。推动党纪学习教育走深走实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三会一课”开展党纪学习教育2次，党支部书记讲授党纪学习教育专题党课2次。严格落实“第一议题”制度，共召开支委会10次，党员大会8次，讲授专题党课3次，开展主题党日活动10次。组织开展党建带妇建、带工建活动2次，入村开展志愿服务活动4次，春节慰问老党员2人次</w:t>
      </w:r>
      <w:r>
        <w:rPr>
          <w:rFonts w:hint="eastAsia" w:eastAsia="仿宋_GB2312" w:cs="Times New Roman"/>
          <w:sz w:val="32"/>
          <w:szCs w:val="32"/>
          <w:lang w:eastAsia="zh-CN"/>
        </w:rPr>
        <w:t>。</w:t>
      </w:r>
      <w:r>
        <w:rPr>
          <w:rFonts w:hint="eastAsia" w:eastAsia="仿宋_GB2312" w:cs="Times New Roman"/>
          <w:b/>
          <w:bCs/>
          <w:sz w:val="32"/>
          <w:szCs w:val="32"/>
          <w:lang w:eastAsia="zh-CN"/>
        </w:rPr>
        <w:t>四是</w:t>
      </w:r>
      <w:r>
        <w:rPr>
          <w:rFonts w:hint="default" w:ascii="Times New Roman" w:hAnsi="Times New Roman" w:eastAsia="仿宋_GB2312" w:cs="Times New Roman"/>
          <w:b/>
          <w:bCs/>
          <w:sz w:val="32"/>
          <w:szCs w:val="32"/>
        </w:rPr>
        <w:t>意识形态工作</w:t>
      </w:r>
      <w:r>
        <w:rPr>
          <w:rFonts w:hint="eastAsia" w:eastAsia="仿宋_GB2312" w:cs="Times New Roman"/>
          <w:b/>
          <w:bCs/>
          <w:sz w:val="32"/>
          <w:szCs w:val="32"/>
          <w:lang w:eastAsia="zh-CN"/>
        </w:rPr>
        <w:t>方面</w:t>
      </w:r>
      <w:r>
        <w:rPr>
          <w:rFonts w:hint="default" w:ascii="Times New Roman" w:hAnsi="Times New Roman" w:eastAsia="仿宋_GB2312" w:cs="Times New Roman"/>
          <w:sz w:val="32"/>
          <w:szCs w:val="32"/>
        </w:rPr>
        <w:t>。</w:t>
      </w:r>
      <w:r>
        <w:rPr>
          <w:rFonts w:hint="eastAsia" w:ascii="Times New Roman" w:hAnsi="Times New Roman" w:eastAsia="仿宋_GB2312" w:cs="Times New Roman"/>
          <w:kern w:val="2"/>
          <w:sz w:val="32"/>
          <w:szCs w:val="32"/>
          <w:lang w:val="en-US" w:eastAsia="zh-CN" w:bidi="ar-SA"/>
        </w:rPr>
        <w:t>加强对习近平新时代中国特色社会主义思想的学习研究</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构建以习近平新时代中国特色社会主义思想为中心内容的马克思主义理论学科，</w:t>
      </w:r>
      <w:r>
        <w:rPr>
          <w:rFonts w:hint="eastAsia" w:eastAsia="仿宋_GB2312" w:cs="Times New Roman"/>
          <w:kern w:val="2"/>
          <w:sz w:val="32"/>
          <w:szCs w:val="32"/>
          <w:lang w:val="en-US" w:eastAsia="zh-CN" w:bidi="ar-SA"/>
        </w:rPr>
        <w:t>持续强化理论工作</w:t>
      </w:r>
      <w:r>
        <w:rPr>
          <w:rFonts w:hint="eastAsia"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严把教师政治关，</w:t>
      </w:r>
      <w:r>
        <w:rPr>
          <w:rFonts w:hint="eastAsia" w:ascii="Times New Roman" w:hAnsi="Times New Roman" w:eastAsia="仿宋_GB2312" w:cs="Times New Roman"/>
          <w:kern w:val="2"/>
          <w:sz w:val="32"/>
          <w:szCs w:val="32"/>
          <w:lang w:val="en-US" w:eastAsia="zh-CN" w:bidi="ar-SA"/>
        </w:rPr>
        <w:t>县委组织部和县委党校联发《关于建立寻甸县党员干部教育培训师资库的通知》，严格按照入选师资库的基本条件、核心条件审核把关，推选一批素质优良、经验丰富的师资队伍，确保党校课堂质量。</w:t>
      </w:r>
      <w:r>
        <w:rPr>
          <w:rFonts w:hint="eastAsia" w:eastAsia="仿宋_GB2312" w:cs="Times New Roman"/>
          <w:kern w:val="2"/>
          <w:sz w:val="32"/>
          <w:szCs w:val="32"/>
          <w:lang w:val="en-US" w:eastAsia="zh-CN" w:bidi="ar-SA"/>
        </w:rPr>
        <w:t>与</w:t>
      </w:r>
      <w:r>
        <w:rPr>
          <w:rFonts w:hint="eastAsia" w:ascii="Times New Roman" w:hAnsi="Times New Roman" w:eastAsia="仿宋_GB2312" w:cs="Times New Roman"/>
          <w:kern w:val="2"/>
          <w:sz w:val="32"/>
          <w:szCs w:val="32"/>
          <w:lang w:val="en-US" w:eastAsia="zh-CN" w:bidi="ar-SA"/>
        </w:rPr>
        <w:t>外请外聘教师签订《严格遵守“十严禁”政治纪律承诺书》</w:t>
      </w:r>
      <w:r>
        <w:rPr>
          <w:rFonts w:hint="eastAsia" w:eastAsia="仿宋_GB2312" w:cs="Times New Roman"/>
          <w:kern w:val="2"/>
          <w:sz w:val="32"/>
          <w:szCs w:val="32"/>
          <w:lang w:val="en-US" w:eastAsia="zh-CN" w:bidi="ar-SA"/>
        </w:rPr>
        <w:t>，维护课堂政治纪律</w:t>
      </w:r>
      <w:r>
        <w:rPr>
          <w:rFonts w:hint="eastAsia" w:ascii="Times New Roman" w:hAnsi="Times New Roman" w:eastAsia="仿宋_GB2312" w:cs="Times New Roman"/>
          <w:kern w:val="2"/>
          <w:sz w:val="32"/>
          <w:szCs w:val="32"/>
          <w:lang w:val="en-US" w:eastAsia="zh-CN" w:bidi="ar-SA"/>
        </w:rPr>
        <w:t>。每季度都要开展新课试讲，开展“课件净化”专项行动，排查课件6050页、讲稿96.6万字，认真审查教师讲稿和课件，确保党校课堂符合纪律规矩。</w:t>
      </w:r>
      <w:r>
        <w:rPr>
          <w:rFonts w:hint="eastAsia" w:ascii="Times New Roman" w:hAnsi="Times New Roman" w:eastAsia="仿宋_GB2312" w:cs="Times New Roman"/>
          <w:b/>
          <w:bCs/>
          <w:kern w:val="2"/>
          <w:sz w:val="32"/>
          <w:szCs w:val="32"/>
          <w:lang w:val="en-US" w:eastAsia="zh-CN" w:bidi="ar-SA"/>
        </w:rPr>
        <w:t>五是</w:t>
      </w:r>
      <w:r>
        <w:rPr>
          <w:rFonts w:hint="eastAsia" w:ascii="Times New Roman" w:hAnsi="Times New Roman" w:eastAsia="仿宋_GB2312" w:cs="Times New Roman"/>
          <w:b/>
          <w:bCs/>
          <w:sz w:val="32"/>
          <w:szCs w:val="32"/>
          <w:lang w:eastAsia="zh-CN"/>
        </w:rPr>
        <w:t>统一战线和民族宗教</w:t>
      </w:r>
      <w:r>
        <w:rPr>
          <w:rFonts w:hint="default" w:ascii="Times New Roman" w:hAnsi="Times New Roman" w:eastAsia="仿宋_GB2312" w:cs="Times New Roman"/>
          <w:b/>
          <w:bCs/>
          <w:sz w:val="32"/>
          <w:szCs w:val="32"/>
        </w:rPr>
        <w:t>工作</w:t>
      </w:r>
      <w:r>
        <w:rPr>
          <w:rFonts w:hint="eastAsia" w:ascii="Times New Roman" w:hAnsi="Times New Roman" w:eastAsia="仿宋_GB2312" w:cs="Times New Roman"/>
          <w:b/>
          <w:bCs/>
          <w:sz w:val="32"/>
          <w:szCs w:val="32"/>
          <w:lang w:eastAsia="zh-CN"/>
        </w:rPr>
        <w:t>方面</w:t>
      </w:r>
      <w:r>
        <w:rPr>
          <w:rFonts w:hint="default" w:ascii="Times New Roman" w:hAnsi="Times New Roman" w:eastAsia="仿宋_GB2312" w:cs="Times New Roman"/>
          <w:sz w:val="32"/>
          <w:szCs w:val="32"/>
        </w:rPr>
        <w:t>。专题研究本单位、本部门统战工作2次，开展统一战线领域意识形态工作进行分析研判2次。</w:t>
      </w:r>
      <w:r>
        <w:rPr>
          <w:rFonts w:hint="eastAsia" w:ascii="仿宋" w:hAnsi="仿宋" w:eastAsia="仿宋"/>
          <w:sz w:val="32"/>
          <w:szCs w:val="32"/>
        </w:rPr>
        <w:t>将统战和民宗纳入学习、培训工作计划和党政领导班子年度考核，开展了1次统战和民宗理论政策中心组专题学习，开展了1期基层统战联络员培训班。</w:t>
      </w:r>
      <w:r>
        <w:rPr>
          <w:rFonts w:hint="eastAsia" w:ascii="仿宋_GB2312" w:hAnsi="仿宋" w:eastAsia="仿宋_GB2312"/>
          <w:sz w:val="32"/>
          <w:szCs w:val="32"/>
        </w:rPr>
        <w:t>开展“民营企业进机关”活动 2次，加强与</w:t>
      </w:r>
      <w:r>
        <w:rPr>
          <w:rFonts w:hint="eastAsia" w:ascii="仿宋_GB2312" w:hAnsi="仿宋" w:eastAsia="仿宋_GB2312"/>
          <w:sz w:val="32"/>
          <w:szCs w:val="32"/>
          <w:lang w:eastAsia="zh-CN"/>
        </w:rPr>
        <w:t>无党派人士和党外知识分子</w:t>
      </w:r>
      <w:r>
        <w:rPr>
          <w:rFonts w:hint="eastAsia" w:ascii="仿宋_GB2312" w:hAnsi="仿宋" w:eastAsia="仿宋_GB2312"/>
          <w:sz w:val="32"/>
          <w:szCs w:val="32"/>
        </w:rPr>
        <w:t>联系交流，开展谈心谈话1次。</w:t>
      </w:r>
      <w:r>
        <w:rPr>
          <w:rFonts w:hint="eastAsia" w:ascii="Times New Roman" w:hAnsi="Times New Roman" w:eastAsia="仿宋_GB2312" w:cs="Times New Roman"/>
          <w:b/>
          <w:bCs/>
          <w:sz w:val="32"/>
          <w:szCs w:val="32"/>
          <w:lang w:eastAsia="zh-CN"/>
        </w:rPr>
        <w:t>六是平安寻甸建设及</w:t>
      </w:r>
      <w:r>
        <w:rPr>
          <w:rFonts w:hint="default" w:ascii="Times New Roman" w:hAnsi="Times New Roman" w:eastAsia="仿宋_GB2312" w:cs="Times New Roman"/>
          <w:b/>
          <w:bCs/>
          <w:sz w:val="32"/>
          <w:szCs w:val="32"/>
        </w:rPr>
        <w:t>法治建设</w:t>
      </w:r>
      <w:r>
        <w:rPr>
          <w:rFonts w:hint="default" w:ascii="Times New Roman" w:hAnsi="Times New Roman" w:eastAsia="仿宋_GB2312" w:cs="Times New Roman"/>
          <w:b/>
          <w:bCs/>
          <w:sz w:val="32"/>
          <w:szCs w:val="32"/>
          <w:lang w:eastAsia="zh-CN"/>
        </w:rPr>
        <w:t>工作</w:t>
      </w:r>
      <w:r>
        <w:rPr>
          <w:rFonts w:hint="eastAsia" w:ascii="Times New Roman" w:hAnsi="Times New Roman" w:eastAsia="仿宋_GB2312" w:cs="Times New Roman"/>
          <w:b/>
          <w:bCs/>
          <w:sz w:val="32"/>
          <w:szCs w:val="32"/>
          <w:lang w:eastAsia="zh-CN"/>
        </w:rPr>
        <w:t>方面</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lang w:val="en-US" w:eastAsia="zh-CN"/>
        </w:rPr>
        <w:t>开展</w:t>
      </w:r>
      <w:r>
        <w:rPr>
          <w:rFonts w:hint="default" w:ascii="仿宋_GB2312" w:hAnsi="仿宋_GB2312" w:eastAsia="仿宋_GB2312" w:cs="仿宋_GB2312"/>
          <w:sz w:val="32"/>
          <w:szCs w:val="32"/>
          <w:lang w:val="en-US" w:eastAsia="zh-CN"/>
        </w:rPr>
        <w:t>《中国共产党纪律处分条例》</w:t>
      </w:r>
      <w:r>
        <w:rPr>
          <w:rFonts w:hint="eastAsia" w:ascii="仿宋_GB2312" w:hAnsi="仿宋_GB2312" w:eastAsia="仿宋_GB2312" w:cs="仿宋_GB2312"/>
          <w:sz w:val="32"/>
          <w:szCs w:val="32"/>
          <w:lang w:val="en-US" w:eastAsia="zh-CN"/>
        </w:rPr>
        <w:t>专题培训6期，开设了《推进信访工作法制化》《统计法律法规讲解》等法律法规专题课。</w:t>
      </w:r>
      <w:r>
        <w:rPr>
          <w:rFonts w:hint="eastAsia" w:ascii="仿宋_GB2312" w:hAnsi="仿宋_GB2312" w:eastAsia="仿宋_GB2312" w:cs="仿宋_GB2312"/>
          <w:b/>
          <w:bCs/>
          <w:sz w:val="32"/>
          <w:szCs w:val="32"/>
          <w:lang w:val="en-US" w:eastAsia="zh-CN"/>
        </w:rPr>
        <w:t>七是其他工作方面</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收集整理上报县简报信息</w:t>
      </w:r>
      <w:r>
        <w:rPr>
          <w:rFonts w:hint="eastAsia"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rPr>
        <w:t>篇，问题类信息上报6篇，其中县委信息约稿2篇，被县委信息科采用4篇，被市委采用2篇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安排2名驻村队员到党校挂钩联系点羊街镇大刘所进行驻村帮扶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领导班子分批带队到大刘所村开展“河长清河”专项行动3次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推荐上报4名教师作为家庭教育讲师团的补充力量，助力家庭教育工作纵深发展。</w:t>
      </w:r>
      <w:r>
        <w:rPr>
          <w:rFonts w:hint="default" w:ascii="Times New Roman" w:hAnsi="Times New Roman" w:eastAsia="仿宋_GB2312" w:cs="Times New Roman"/>
          <w:sz w:val="32"/>
          <w:szCs w:val="32"/>
        </w:rPr>
        <w:t>全面做好深化改革工作，积极开拓创新，按照目标任务，制定党校深化改革总体思路及重点改革事项，</w:t>
      </w:r>
      <w:r>
        <w:rPr>
          <w:rFonts w:hint="eastAsia" w:ascii="Times New Roman" w:hAnsi="Times New Roman" w:eastAsia="仿宋_GB2312" w:cs="Times New Roman"/>
          <w:sz w:val="32"/>
          <w:szCs w:val="32"/>
          <w:lang w:eastAsia="zh-CN"/>
        </w:rPr>
        <w:t>深入</w:t>
      </w:r>
      <w:r>
        <w:rPr>
          <w:rFonts w:hint="default" w:ascii="Times New Roman" w:hAnsi="Times New Roman" w:eastAsia="仿宋_GB2312" w:cs="Times New Roman"/>
          <w:sz w:val="32"/>
          <w:szCs w:val="32"/>
        </w:rPr>
        <w:t>开展调查研究</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，及时上报信息，全面抓好深化改革各项工作。</w:t>
      </w:r>
    </w:p>
    <w:p w14:paraId="75629A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、存在困难和问题</w:t>
      </w:r>
    </w:p>
    <w:p w14:paraId="7486FF04">
      <w:pPr>
        <w:keepNext w:val="0"/>
        <w:keepLines w:val="0"/>
        <w:pageBreakBefore w:val="0"/>
        <w:widowControl w:val="0"/>
        <w:kinsoku/>
        <w:wordWrap/>
        <w:overflowPunct/>
        <w:topLinePunct w:val="0"/>
        <w:autoSpaceDE/>
        <w:autoSpaceDN/>
        <w:bidi w:val="0"/>
        <w:adjustRightInd/>
        <w:snapToGrid/>
        <w:spacing w:line="560" w:lineRule="exact"/>
        <w:ind w:firstLine="671"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Style w:val="13"/>
          <w:rFonts w:hint="eastAsia" w:ascii="Times New Roman" w:hAnsi="Times New Roman" w:eastAsia="楷体_GB2312" w:cs="Times New Roman"/>
          <w:bCs w:val="0"/>
          <w:i w:val="0"/>
          <w:caps w:val="0"/>
          <w:color w:val="auto"/>
          <w:spacing w:val="7"/>
          <w:kern w:val="0"/>
          <w:sz w:val="32"/>
          <w:szCs w:val="32"/>
          <w:lang w:val="en-US" w:eastAsia="zh-CN" w:bidi="ar"/>
        </w:rPr>
        <w:t>一是教学供给薄弱。</w:t>
      </w:r>
      <w:r>
        <w:rPr>
          <w:rFonts w:hint="eastAsia" w:ascii="Times New Roman" w:hAnsi="Times New Roman" w:eastAsia="仿宋_GB2312" w:cs="Times New Roman"/>
          <w:b w:val="0"/>
          <w:bCs w:val="0"/>
          <w:color w:val="000000"/>
          <w:sz w:val="32"/>
          <w:szCs w:val="32"/>
          <w:lang w:val="en-US" w:eastAsia="zh-CN"/>
        </w:rPr>
        <w:t>课程系统性不强，存在课程内容重复、开设领域狭窄、教学方式单一等质量问题，精品课程更是寥寥无几。总体而言，课程体系建设尚处于起步阶段，课程布局仍在探索之中，难以充分满足培训主体的需求，更不用说形成品牌效应和外溢效应。</w:t>
      </w:r>
    </w:p>
    <w:p w14:paraId="58C9A381">
      <w:pPr>
        <w:keepNext w:val="0"/>
        <w:keepLines w:val="0"/>
        <w:pageBreakBefore w:val="0"/>
        <w:widowControl w:val="0"/>
        <w:kinsoku/>
        <w:wordWrap/>
        <w:overflowPunct/>
        <w:topLinePunct w:val="0"/>
        <w:autoSpaceDE/>
        <w:autoSpaceDN/>
        <w:bidi w:val="0"/>
        <w:adjustRightInd/>
        <w:snapToGrid/>
        <w:spacing w:line="560" w:lineRule="exact"/>
        <w:ind w:firstLine="671"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Style w:val="13"/>
          <w:rFonts w:hint="eastAsia" w:ascii="Times New Roman" w:hAnsi="Times New Roman" w:eastAsia="楷体_GB2312" w:cs="Times New Roman"/>
          <w:bCs w:val="0"/>
          <w:i w:val="0"/>
          <w:caps w:val="0"/>
          <w:color w:val="auto"/>
          <w:spacing w:val="7"/>
          <w:kern w:val="0"/>
          <w:sz w:val="32"/>
          <w:szCs w:val="32"/>
          <w:lang w:val="en-US" w:eastAsia="zh-CN" w:bidi="ar"/>
        </w:rPr>
        <w:t>二是基本培训亟需加强。</w:t>
      </w:r>
      <w:r>
        <w:rPr>
          <w:rFonts w:hint="eastAsia" w:ascii="Times New Roman" w:hAnsi="Times New Roman" w:eastAsia="仿宋_GB2312" w:cs="Times New Roman"/>
          <w:b w:val="0"/>
          <w:bCs w:val="0"/>
          <w:color w:val="000000"/>
          <w:sz w:val="32"/>
          <w:szCs w:val="32"/>
          <w:lang w:val="en-US" w:eastAsia="zh-CN"/>
        </w:rPr>
        <w:t>对于《中国共产党党校（行政学院）工作条例》所明确的基本培训任务，研究和理解的深度尚显不足，对党员基数和参训情况的掌握缺乏精确性，对现有资源的挖掘不够深入，且在扩大培训规模、提升培训质量方面的思路和方法尚不够开阔。</w:t>
      </w:r>
    </w:p>
    <w:p w14:paraId="57306CB1">
      <w:pPr>
        <w:keepNext w:val="0"/>
        <w:keepLines w:val="0"/>
        <w:pageBreakBefore w:val="0"/>
        <w:widowControl w:val="0"/>
        <w:kinsoku/>
        <w:wordWrap/>
        <w:overflowPunct/>
        <w:topLinePunct w:val="0"/>
        <w:autoSpaceDE/>
        <w:autoSpaceDN/>
        <w:bidi w:val="0"/>
        <w:adjustRightInd/>
        <w:snapToGrid/>
        <w:spacing w:line="560" w:lineRule="exact"/>
        <w:ind w:firstLine="671" w:firstLineChars="200"/>
        <w:jc w:val="both"/>
        <w:textAlignment w:val="auto"/>
        <w:rPr>
          <w:rFonts w:hint="default" w:ascii="Times New Roman" w:hAnsi="Times New Roman" w:eastAsia="仿宋_GB2312" w:cs="Times New Roman"/>
          <w:sz w:val="32"/>
          <w:szCs w:val="32"/>
          <w:lang w:eastAsia="zh-CN"/>
        </w:rPr>
      </w:pPr>
      <w:r>
        <w:rPr>
          <w:rStyle w:val="13"/>
          <w:rFonts w:hint="eastAsia" w:ascii="Times New Roman" w:hAnsi="Times New Roman" w:eastAsia="楷体_GB2312" w:cs="Times New Roman"/>
          <w:bCs w:val="0"/>
          <w:i w:val="0"/>
          <w:caps w:val="0"/>
          <w:color w:val="auto"/>
          <w:spacing w:val="7"/>
          <w:kern w:val="0"/>
          <w:sz w:val="32"/>
          <w:szCs w:val="32"/>
          <w:lang w:val="en-US" w:eastAsia="zh-CN" w:bidi="ar"/>
        </w:rPr>
        <w:t>三是合作办学尚需加强。</w:t>
      </w:r>
      <w:r>
        <w:rPr>
          <w:rFonts w:hint="eastAsia" w:ascii="Times New Roman" w:hAnsi="Times New Roman" w:eastAsia="仿宋_GB2312" w:cs="Times New Roman"/>
          <w:sz w:val="32"/>
          <w:szCs w:val="32"/>
          <w:lang w:eastAsia="zh-CN"/>
        </w:rPr>
        <w:t>尽管我们积极整合县内培训资源，优先向党校倾斜，并且加大了对企事业单位的走访力度，开展了一系列校际合作，但由于县级党校自身能力有限以及紧缩开支的要求，合作办学的规模提升面临困难，资产闲置率相对较高。</w:t>
      </w:r>
    </w:p>
    <w:p w14:paraId="19A8FCCF">
      <w:pPr>
        <w:keepNext w:val="0"/>
        <w:keepLines w:val="0"/>
        <w:pageBreakBefore w:val="0"/>
        <w:widowControl w:val="0"/>
        <w:kinsoku/>
        <w:wordWrap/>
        <w:overflowPunct/>
        <w:topLinePunct w:val="0"/>
        <w:autoSpaceDE/>
        <w:autoSpaceDN/>
        <w:bidi w:val="0"/>
        <w:adjustRightInd w:val="0"/>
        <w:snapToGrid w:val="0"/>
        <w:spacing w:after="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造成上述问题的根源，主要在于： </w:t>
      </w:r>
      <w:r>
        <w:rPr>
          <w:rFonts w:hint="eastAsia" w:ascii="楷体_GB2312" w:hAnsi="楷体_GB2312" w:eastAsia="楷体_GB2312" w:cs="楷体_GB2312"/>
          <w:color w:val="auto"/>
          <w:sz w:val="32"/>
          <w:szCs w:val="32"/>
          <w:lang w:eastAsia="zh-CN"/>
        </w:rPr>
        <w:t>一是引领不足。</w:t>
      </w:r>
      <w:r>
        <w:rPr>
          <w:rFonts w:hint="eastAsia" w:ascii="仿宋_GB2312" w:hAnsi="仿宋_GB2312" w:eastAsia="仿宋_GB2312" w:cs="仿宋_GB2312"/>
          <w:color w:val="auto"/>
          <w:sz w:val="32"/>
          <w:szCs w:val="32"/>
          <w:lang w:eastAsia="zh-CN"/>
        </w:rPr>
        <w:t>党校在教研资工作方面缺乏系统规划和科学统筹，导致教学活动显得零散且缺乏连贯性。科研课题往往跟随上级党校的导向，缺乏独立性和创新性。此外，学科建设发展滞后，许多教师对于科研资政的方向感到迷茫，常常根据个人兴趣和热点话题选择研究课题，这导致他们的研究与党校的职责以及党委政府的实际需求之间存在较大偏差。</w:t>
      </w:r>
      <w:r>
        <w:rPr>
          <w:rFonts w:hint="eastAsia" w:ascii="楷体_GB2312" w:hAnsi="楷体_GB2312" w:eastAsia="楷体_GB2312" w:cs="楷体_GB2312"/>
          <w:color w:val="auto"/>
          <w:sz w:val="32"/>
          <w:szCs w:val="32"/>
          <w:lang w:eastAsia="zh-CN"/>
        </w:rPr>
        <w:t>二是教师精力有限。</w:t>
      </w:r>
      <w:r>
        <w:rPr>
          <w:rFonts w:hint="eastAsia" w:ascii="仿宋_GB2312" w:hAnsi="仿宋_GB2312" w:eastAsia="仿宋_GB2312" w:cs="仿宋_GB2312"/>
          <w:color w:val="auto"/>
          <w:sz w:val="32"/>
          <w:szCs w:val="32"/>
          <w:lang w:eastAsia="zh-CN"/>
        </w:rPr>
        <w:t>在县级党校，教师们不仅要承担教学任务，还要兼顾教学辅助和行政工作，面对众多的考核和临时任务，他们的精力被大量消耗，这使得他们在进行教学、科研和提供政策建议时常常感到力不从心。</w:t>
      </w:r>
      <w:r>
        <w:rPr>
          <w:rFonts w:hint="eastAsia" w:ascii="楷体_GB2312" w:hAnsi="楷体_GB2312" w:eastAsia="楷体_GB2312" w:cs="楷体_GB2312"/>
          <w:color w:val="auto"/>
          <w:sz w:val="32"/>
          <w:szCs w:val="32"/>
          <w:lang w:eastAsia="zh-CN"/>
        </w:rPr>
        <w:t>三是保障不足。</w:t>
      </w:r>
      <w:r>
        <w:rPr>
          <w:rFonts w:hint="eastAsia" w:ascii="仿宋_GB2312" w:hAnsi="仿宋_GB2312" w:eastAsia="仿宋_GB2312" w:cs="仿宋_GB2312"/>
          <w:color w:val="auto"/>
          <w:sz w:val="32"/>
          <w:szCs w:val="32"/>
          <w:lang w:eastAsia="zh-CN"/>
        </w:rPr>
        <w:t>教师能力提升的途径有限，他们常常不得不依靠个人摸索。市县党校、兄弟党校之间的精品课程、精品线路、科研资政平台以及信息图书等资源共享较少，尚未形成统一协调的格局，这限制了教师在教学、科研和资政活动方面的开展。此外，由于财政困难的现实限制，资金投入也相对较少。</w:t>
      </w:r>
      <w:r>
        <w:rPr>
          <w:rFonts w:hint="eastAsia" w:ascii="楷体_GB2312" w:hAnsi="楷体_GB2312" w:eastAsia="楷体_GB2312" w:cs="楷体_GB2312"/>
          <w:color w:val="auto"/>
          <w:sz w:val="32"/>
          <w:szCs w:val="32"/>
          <w:lang w:eastAsia="zh-CN"/>
        </w:rPr>
        <w:t>四是导向不足。</w:t>
      </w:r>
      <w:r>
        <w:rPr>
          <w:rFonts w:hint="eastAsia" w:ascii="仿宋_GB2312" w:hAnsi="仿宋_GB2312" w:eastAsia="仿宋_GB2312" w:cs="仿宋_GB2312"/>
          <w:color w:val="auto"/>
          <w:sz w:val="32"/>
          <w:szCs w:val="32"/>
          <w:lang w:eastAsia="zh-CN"/>
        </w:rPr>
        <w:t>当前的考核评价机制尚不完善，缺乏对教学、科研以及资政工作的有效激励措施。目前，主要依赖职称评审和年度考核，但这些手段难以充分激发教师的积极性。此外，师资退出机制的缺失导致党校系统内的教师流动困难，进而影响了教师队伍的活力。</w:t>
      </w:r>
    </w:p>
    <w:p w14:paraId="205D01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eastAsia="zh-CN"/>
        </w:rPr>
        <w:t>202</w:t>
      </w: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年工作计划</w:t>
      </w:r>
    </w:p>
    <w:p w14:paraId="2559F7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w:t>
      </w:r>
      <w:r>
        <w:rPr>
          <w:rStyle w:val="13"/>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县委党校将认真学习贯彻习近平总书记关于党校工作的重要论述，全面落实《干部教育培训工作条例》和全国、全省、全市党校（行政学院）校长（院长）会议精神，深入把握新时代校（院）工作的目标任务和使命要求</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围绕</w:t>
      </w:r>
      <w:r>
        <w:rPr>
          <w:rFonts w:hint="default" w:ascii="Times New Roman" w:hAnsi="Times New Roman" w:eastAsia="仿宋_GB2312" w:cs="Times New Roman"/>
          <w:sz w:val="32"/>
          <w:szCs w:val="32"/>
        </w:rPr>
        <w:t>县委“55111”奋斗目标，充分发挥党校干部教育培训主渠道、主阵地作用，</w:t>
      </w:r>
      <w:r>
        <w:rPr>
          <w:rStyle w:val="13"/>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扎实做好基本培训，全力推进校（院）事业高质量发展</w:t>
      </w:r>
      <w:r>
        <w:rPr>
          <w:rFonts w:hint="default" w:ascii="Times New Roman" w:hAnsi="Times New Roman" w:eastAsia="仿宋_GB2312" w:cs="Times New Roman"/>
          <w:sz w:val="32"/>
          <w:szCs w:val="32"/>
        </w:rPr>
        <w:t>。</w:t>
      </w:r>
    </w:p>
    <w:p w14:paraId="153392DA">
      <w:pPr>
        <w:pStyle w:val="4"/>
        <w:keepNext w:val="0"/>
        <w:keepLines w:val="0"/>
        <w:pageBreakBefore w:val="0"/>
        <w:widowControl w:val="0"/>
        <w:kinsoku/>
        <w:wordWrap/>
        <w:overflowPunct/>
        <w:topLinePunct w:val="0"/>
        <w:autoSpaceDE/>
        <w:autoSpaceDN/>
        <w:bidi w:val="0"/>
        <w:adjustRightInd/>
        <w:snapToGrid/>
        <w:spacing w:line="560" w:lineRule="exact"/>
        <w:ind w:firstLine="671" w:firstLineChars="200"/>
        <w:jc w:val="both"/>
        <w:textAlignment w:val="auto"/>
        <w:rPr>
          <w:rStyle w:val="13"/>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pPr>
      <w:r>
        <w:rPr>
          <w:rStyle w:val="13"/>
          <w:rFonts w:hint="default" w:ascii="Times New Roman" w:hAnsi="Times New Roman" w:eastAsia="楷体_GB2312" w:cs="Times New Roman"/>
          <w:bCs w:val="0"/>
          <w:i w:val="0"/>
          <w:caps w:val="0"/>
          <w:color w:val="auto"/>
          <w:spacing w:val="7"/>
          <w:kern w:val="0"/>
          <w:sz w:val="32"/>
          <w:szCs w:val="32"/>
          <w:lang w:val="en-US" w:eastAsia="zh-CN" w:bidi="ar"/>
        </w:rPr>
        <w:t>一是抓好基本培训。</w:t>
      </w:r>
      <w:r>
        <w:rPr>
          <w:rStyle w:val="13"/>
          <w:rFonts w:hint="default" w:ascii="Times New Roman" w:hAnsi="Times New Roman" w:eastAsia="仿宋_GB2312" w:cs="Times New Roman"/>
          <w:b w:val="0"/>
          <w:bCs w:val="0"/>
          <w:i w:val="0"/>
          <w:iCs w:val="0"/>
          <w:caps w:val="0"/>
          <w:color w:val="auto"/>
          <w:spacing w:val="0"/>
          <w:kern w:val="2"/>
          <w:sz w:val="32"/>
          <w:szCs w:val="32"/>
          <w:shd w:val="clear" w:color="auto" w:fill="FFFFFF"/>
          <w:lang w:val="en-US" w:eastAsia="zh-CN" w:bidi="ar-SA"/>
        </w:rPr>
        <w:t>准确把握基本培训对象、内容、学制和实效要求，抓好党的理论教育、党性教育和履职能力培训，努力做到应训尽训、全员覆盖、主题突出、主线深化、规范有序、常态长效，推动党校教育培训工作取得更大进展。强化质量立校、从严治校，提高教学科研质量，强化人才支撑，狠抓学风校风，为开展基本培训提供有力保障。</w:t>
      </w:r>
    </w:p>
    <w:p w14:paraId="5B5815D9">
      <w:pPr>
        <w:pStyle w:val="4"/>
        <w:keepNext w:val="0"/>
        <w:keepLines w:val="0"/>
        <w:pageBreakBefore w:val="0"/>
        <w:widowControl w:val="0"/>
        <w:kinsoku/>
        <w:wordWrap/>
        <w:overflowPunct/>
        <w:topLinePunct w:val="0"/>
        <w:autoSpaceDE/>
        <w:autoSpaceDN/>
        <w:bidi w:val="0"/>
        <w:adjustRightInd/>
        <w:snapToGrid/>
        <w:spacing w:line="560" w:lineRule="exact"/>
        <w:ind w:firstLine="671"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Style w:val="13"/>
          <w:rFonts w:hint="default" w:ascii="Times New Roman" w:hAnsi="Times New Roman" w:eastAsia="楷体_GB2312" w:cs="Times New Roman"/>
          <w:bCs w:val="0"/>
          <w:i w:val="0"/>
          <w:caps w:val="0"/>
          <w:color w:val="auto"/>
          <w:spacing w:val="7"/>
          <w:kern w:val="0"/>
          <w:sz w:val="32"/>
          <w:szCs w:val="32"/>
          <w:lang w:val="en-US" w:eastAsia="zh-CN" w:bidi="ar"/>
        </w:rPr>
        <w:t>二是深入推进学科和课程建设。</w:t>
      </w:r>
      <w:r>
        <w:rPr>
          <w:rFonts w:hint="default" w:ascii="Times New Roman" w:hAnsi="Times New Roman" w:eastAsia="仿宋_GB2312" w:cs="Times New Roman"/>
          <w:color w:val="auto"/>
          <w:kern w:val="2"/>
          <w:sz w:val="32"/>
          <w:szCs w:val="32"/>
          <w:lang w:val="en-US" w:eastAsia="zh-CN" w:bidi="ar-SA"/>
        </w:rPr>
        <w:t>以“人人进学科组”“一专多能”为导向，开展常态化教学科研大练兵活动。以优化适应新时代干部成长和党员教育的课程体系为主要方向，兼顾发展性和操作性，尽快研究出台课程体系建设方案，明确时间表和路线图，力争通过3年努力，形成“核心主干课程+基础课程+特色课程”的多层次课程群。组织协同构建精品课程，按照“党校教师人人有精品课”思路，开展名师培育、名课开发“双名计划”，力争实现2年内每位教师有1至3门精品课，助推4大教学品牌取得阶段性成效。</w:t>
      </w:r>
    </w:p>
    <w:p w14:paraId="3124C11F">
      <w:pPr>
        <w:pStyle w:val="4"/>
        <w:keepNext w:val="0"/>
        <w:keepLines w:val="0"/>
        <w:pageBreakBefore w:val="0"/>
        <w:widowControl w:val="0"/>
        <w:kinsoku/>
        <w:wordWrap/>
        <w:overflowPunct/>
        <w:topLinePunct w:val="0"/>
        <w:autoSpaceDE/>
        <w:autoSpaceDN/>
        <w:bidi w:val="0"/>
        <w:adjustRightInd/>
        <w:snapToGrid/>
        <w:spacing w:line="560" w:lineRule="exact"/>
        <w:ind w:firstLine="671" w:firstLineChars="200"/>
        <w:jc w:val="both"/>
        <w:textAlignment w:val="auto"/>
        <w:rPr>
          <w:rFonts w:hint="default" w:ascii="Times New Roman" w:hAnsi="Times New Roman" w:eastAsia="仿宋_GB2312" w:cs="Times New Roman"/>
          <w:kern w:val="2"/>
          <w:sz w:val="32"/>
          <w:szCs w:val="32"/>
          <w:lang w:val="en-US" w:eastAsia="zh-CN" w:bidi="ar-SA"/>
        </w:rPr>
      </w:pPr>
      <w:r>
        <w:rPr>
          <w:rStyle w:val="13"/>
          <w:rFonts w:hint="default" w:ascii="Times New Roman" w:hAnsi="Times New Roman" w:eastAsia="楷体_GB2312" w:cs="Times New Roman"/>
          <w:bCs w:val="0"/>
          <w:i w:val="0"/>
          <w:caps w:val="0"/>
          <w:color w:val="auto"/>
          <w:spacing w:val="7"/>
          <w:kern w:val="0"/>
          <w:sz w:val="32"/>
          <w:szCs w:val="32"/>
          <w:lang w:val="en-US" w:eastAsia="zh-CN" w:bidi="ar"/>
        </w:rPr>
        <w:t>三是大力推进合作办学。</w:t>
      </w:r>
      <w:r>
        <w:rPr>
          <w:rFonts w:hint="default" w:ascii="Times New Roman" w:hAnsi="Times New Roman" w:eastAsia="仿宋_GB2312" w:cs="Times New Roman"/>
          <w:color w:val="auto"/>
          <w:kern w:val="2"/>
          <w:sz w:val="32"/>
          <w:szCs w:val="32"/>
          <w:lang w:val="en-US" w:eastAsia="zh-CN" w:bidi="ar-SA"/>
        </w:rPr>
        <w:t>加大合作办班力度，开展开放办学，加强与兄弟党校之间的合作与交流，促进资源共享、信息共用、市场共建、学源互送。积极对接各级各部门和各类企事业主体培训需求，扩大学员来源。加强党校外宣，精心编写、拍摄宣传资料，实现线上新媒体与线下活动宣传相结合，</w:t>
      </w:r>
      <w:r>
        <w:rPr>
          <w:rFonts w:hint="default" w:ascii="Times New Roman" w:hAnsi="Times New Roman" w:eastAsia="仿宋_GB2312" w:cs="Times New Roman"/>
          <w:kern w:val="2"/>
          <w:sz w:val="32"/>
          <w:szCs w:val="32"/>
          <w:lang w:val="en-US" w:eastAsia="zh-CN" w:bidi="ar-SA"/>
        </w:rPr>
        <w:t>不断积累寻甸教育培训口碑。</w:t>
      </w:r>
    </w:p>
    <w:p w14:paraId="73FC7319">
      <w:pPr>
        <w:pStyle w:val="4"/>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14:paraId="63CD4E55">
      <w:pPr>
        <w:keepNext w:val="0"/>
        <w:keepLines w:val="0"/>
        <w:pageBreakBefore w:val="0"/>
        <w:widowControl w:val="0"/>
        <w:kinsoku/>
        <w:wordWrap/>
        <w:overflowPunct/>
        <w:topLinePunct w:val="0"/>
        <w:autoSpaceDE/>
        <w:autoSpaceDN/>
        <w:bidi w:val="0"/>
        <w:spacing w:line="560" w:lineRule="exact"/>
        <w:jc w:val="righ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中共寻甸回族彝族自治县委党校</w:t>
      </w:r>
    </w:p>
    <w:p w14:paraId="5DE7504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2024</w:t>
      </w:r>
      <w:r>
        <w:rPr>
          <w:rFonts w:hint="default"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10</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25</w:t>
      </w:r>
      <w:r>
        <w:rPr>
          <w:rFonts w:hint="default" w:ascii="Times New Roman" w:hAnsi="Times New Roman" w:eastAsia="仿宋_GB2312" w:cs="Times New Roman"/>
          <w:kern w:val="2"/>
          <w:sz w:val="32"/>
          <w:szCs w:val="32"/>
          <w:lang w:val="en-US" w:eastAsia="zh-CN" w:bidi="ar-SA"/>
        </w:rPr>
        <w:t>日</w:t>
      </w:r>
    </w:p>
    <w:p w14:paraId="75940863">
      <w:pPr>
        <w:pStyle w:val="2"/>
        <w:sectPr>
          <w:footerReference r:id="rId3" w:type="default"/>
          <w:footerReference r:id="rId4" w:type="even"/>
          <w:pgSz w:w="11906" w:h="16838"/>
          <w:pgMar w:top="1440" w:right="1800" w:bottom="1440" w:left="1800" w:header="851" w:footer="992" w:gutter="0"/>
          <w:cols w:space="425" w:num="1"/>
          <w:docGrid w:type="lines" w:linePitch="435" w:charSpace="0"/>
        </w:sectPr>
      </w:pPr>
    </w:p>
    <w:p w14:paraId="018F1DB6">
      <w:pPr>
        <w:rPr>
          <w:rFonts w:hint="eastAsia"/>
        </w:rPr>
      </w:pPr>
      <w:r>
        <w:rPr>
          <w:rFonts w:hint="eastAsia"/>
        </w:rPr>
        <w:t>附件3：</w:t>
      </w:r>
    </w:p>
    <w:p w14:paraId="5D5D7FBC">
      <w:pPr>
        <w:jc w:val="center"/>
        <w:rPr>
          <w:rFonts w:hint="eastAsia" w:ascii="黑体" w:eastAsia="黑体"/>
        </w:rPr>
      </w:pPr>
      <w:r>
        <w:rPr>
          <w:rFonts w:hint="eastAsia" w:ascii="黑体" w:eastAsia="黑体"/>
        </w:rPr>
        <w:t>中共寻甸回族彝族自治县委党校</w:t>
      </w:r>
      <w:r>
        <w:rPr>
          <w:rFonts w:hint="eastAsia" w:ascii="黑体" w:eastAsia="黑体"/>
          <w:lang w:val="en-US" w:eastAsia="zh-CN"/>
        </w:rPr>
        <w:t>2024</w:t>
      </w:r>
      <w:r>
        <w:rPr>
          <w:rFonts w:hint="eastAsia" w:ascii="黑体" w:eastAsia="黑体"/>
        </w:rPr>
        <w:t>年部门整体支出绩效评价指标体系</w:t>
      </w:r>
    </w:p>
    <w:tbl>
      <w:tblPr>
        <w:tblStyle w:val="11"/>
        <w:tblW w:w="14000" w:type="dxa"/>
        <w:tblInd w:w="97" w:type="dxa"/>
        <w:tblLayout w:type="fixed"/>
        <w:tblCellMar>
          <w:top w:w="0" w:type="dxa"/>
          <w:left w:w="108" w:type="dxa"/>
          <w:bottom w:w="0" w:type="dxa"/>
          <w:right w:w="108" w:type="dxa"/>
        </w:tblCellMar>
      </w:tblPr>
      <w:tblGrid>
        <w:gridCol w:w="740"/>
        <w:gridCol w:w="820"/>
        <w:gridCol w:w="2040"/>
        <w:gridCol w:w="680"/>
        <w:gridCol w:w="760"/>
        <w:gridCol w:w="3220"/>
        <w:gridCol w:w="3900"/>
        <w:gridCol w:w="1840"/>
      </w:tblGrid>
      <w:tr w14:paraId="305BDB93">
        <w:tblPrEx>
          <w:tblCellMar>
            <w:top w:w="0" w:type="dxa"/>
            <w:left w:w="108" w:type="dxa"/>
            <w:bottom w:w="0" w:type="dxa"/>
            <w:right w:w="108" w:type="dxa"/>
          </w:tblCellMar>
        </w:tblPrEx>
        <w:trPr>
          <w:trHeight w:val="48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6DFBBF17">
            <w:pPr>
              <w:widowControl/>
              <w:jc w:val="center"/>
              <w:rPr>
                <w:rFonts w:ascii="仿宋_GB2312"/>
                <w:b/>
                <w:bCs/>
                <w:color w:val="000000"/>
                <w:kern w:val="0"/>
                <w:sz w:val="20"/>
                <w:szCs w:val="20"/>
              </w:rPr>
            </w:pPr>
            <w:r>
              <w:rPr>
                <w:rFonts w:hint="eastAsia" w:ascii="仿宋_GB2312"/>
                <w:b/>
                <w:bCs/>
                <w:color w:val="000000"/>
                <w:kern w:val="0"/>
                <w:sz w:val="20"/>
                <w:szCs w:val="20"/>
              </w:rPr>
              <w:t>一级指标</w:t>
            </w:r>
          </w:p>
        </w:tc>
        <w:tc>
          <w:tcPr>
            <w:tcW w:w="820" w:type="dxa"/>
            <w:tcBorders>
              <w:top w:val="single" w:color="auto" w:sz="4" w:space="0"/>
              <w:left w:val="nil"/>
              <w:bottom w:val="single" w:color="auto" w:sz="4" w:space="0"/>
              <w:right w:val="single" w:color="auto" w:sz="4" w:space="0"/>
            </w:tcBorders>
            <w:shd w:val="clear" w:color="auto" w:fill="auto"/>
            <w:vAlign w:val="center"/>
          </w:tcPr>
          <w:p w14:paraId="2C4DB0DD">
            <w:pPr>
              <w:widowControl/>
              <w:jc w:val="center"/>
              <w:rPr>
                <w:rFonts w:ascii="仿宋_GB2312"/>
                <w:b/>
                <w:bCs/>
                <w:color w:val="000000"/>
                <w:kern w:val="0"/>
                <w:sz w:val="20"/>
                <w:szCs w:val="20"/>
              </w:rPr>
            </w:pPr>
            <w:r>
              <w:rPr>
                <w:rFonts w:hint="eastAsia" w:ascii="仿宋_GB2312"/>
                <w:b/>
                <w:bCs/>
                <w:color w:val="000000"/>
                <w:kern w:val="0"/>
                <w:sz w:val="20"/>
                <w:szCs w:val="20"/>
              </w:rPr>
              <w:t>二级指标</w:t>
            </w:r>
          </w:p>
        </w:tc>
        <w:tc>
          <w:tcPr>
            <w:tcW w:w="2040" w:type="dxa"/>
            <w:tcBorders>
              <w:top w:val="single" w:color="auto" w:sz="4" w:space="0"/>
              <w:left w:val="nil"/>
              <w:bottom w:val="single" w:color="auto" w:sz="4" w:space="0"/>
              <w:right w:val="single" w:color="auto" w:sz="4" w:space="0"/>
            </w:tcBorders>
            <w:shd w:val="clear" w:color="auto" w:fill="auto"/>
            <w:vAlign w:val="center"/>
          </w:tcPr>
          <w:p w14:paraId="5FAA855D">
            <w:pPr>
              <w:widowControl/>
              <w:jc w:val="center"/>
              <w:rPr>
                <w:rFonts w:ascii="仿宋_GB2312"/>
                <w:b/>
                <w:bCs/>
                <w:color w:val="000000"/>
                <w:kern w:val="0"/>
                <w:sz w:val="20"/>
                <w:szCs w:val="20"/>
              </w:rPr>
            </w:pPr>
            <w:r>
              <w:rPr>
                <w:rFonts w:hint="eastAsia" w:ascii="仿宋_GB2312"/>
                <w:b/>
                <w:bCs/>
                <w:color w:val="000000"/>
                <w:kern w:val="0"/>
                <w:sz w:val="20"/>
                <w:szCs w:val="20"/>
              </w:rPr>
              <w:t>三级指标</w:t>
            </w:r>
          </w:p>
        </w:tc>
        <w:tc>
          <w:tcPr>
            <w:tcW w:w="680" w:type="dxa"/>
            <w:tcBorders>
              <w:top w:val="single" w:color="auto" w:sz="4" w:space="0"/>
              <w:left w:val="nil"/>
              <w:bottom w:val="single" w:color="auto" w:sz="4" w:space="0"/>
              <w:right w:val="single" w:color="auto" w:sz="4" w:space="0"/>
            </w:tcBorders>
            <w:shd w:val="clear" w:color="auto" w:fill="auto"/>
            <w:vAlign w:val="center"/>
          </w:tcPr>
          <w:p w14:paraId="1DA81216">
            <w:pPr>
              <w:widowControl/>
              <w:jc w:val="center"/>
              <w:rPr>
                <w:rFonts w:ascii="Times New Roman" w:hAnsi="Times New Roman" w:eastAsia="宋体" w:cs="Times New Roman"/>
                <w:b/>
                <w:bCs/>
                <w:color w:val="000000"/>
                <w:kern w:val="0"/>
                <w:sz w:val="20"/>
                <w:szCs w:val="20"/>
              </w:rPr>
            </w:pPr>
            <w:r>
              <w:rPr>
                <w:rFonts w:hint="eastAsia" w:ascii="仿宋_GB2312" w:hAnsi="Times New Roman" w:cs="Times New Roman"/>
                <w:b/>
                <w:bCs/>
                <w:color w:val="000000"/>
                <w:kern w:val="0"/>
                <w:sz w:val="20"/>
                <w:szCs w:val="20"/>
              </w:rPr>
              <w:t>指标分值</w:t>
            </w:r>
          </w:p>
        </w:tc>
        <w:tc>
          <w:tcPr>
            <w:tcW w:w="760" w:type="dxa"/>
            <w:tcBorders>
              <w:top w:val="single" w:color="auto" w:sz="4" w:space="0"/>
              <w:left w:val="nil"/>
              <w:bottom w:val="single" w:color="auto" w:sz="4" w:space="0"/>
              <w:right w:val="single" w:color="auto" w:sz="4" w:space="0"/>
            </w:tcBorders>
            <w:shd w:val="clear" w:color="auto" w:fill="auto"/>
            <w:vAlign w:val="center"/>
          </w:tcPr>
          <w:p w14:paraId="2CB37091">
            <w:pPr>
              <w:widowControl/>
              <w:jc w:val="center"/>
              <w:rPr>
                <w:rFonts w:ascii="Times New Roman" w:hAnsi="Times New Roman" w:eastAsia="宋体" w:cs="Times New Roman"/>
                <w:b/>
                <w:bCs/>
                <w:color w:val="000000"/>
                <w:kern w:val="0"/>
                <w:sz w:val="20"/>
                <w:szCs w:val="20"/>
              </w:rPr>
            </w:pPr>
            <w:r>
              <w:rPr>
                <w:rFonts w:hint="eastAsia" w:ascii="仿宋_GB2312" w:hAnsi="Times New Roman" w:cs="Times New Roman"/>
                <w:b/>
                <w:bCs/>
                <w:color w:val="000000"/>
                <w:kern w:val="0"/>
                <w:sz w:val="20"/>
                <w:szCs w:val="20"/>
              </w:rPr>
              <w:t>得分</w:t>
            </w:r>
          </w:p>
        </w:tc>
        <w:tc>
          <w:tcPr>
            <w:tcW w:w="3220" w:type="dxa"/>
            <w:tcBorders>
              <w:top w:val="single" w:color="auto" w:sz="4" w:space="0"/>
              <w:left w:val="nil"/>
              <w:bottom w:val="single" w:color="auto" w:sz="4" w:space="0"/>
              <w:right w:val="single" w:color="auto" w:sz="4" w:space="0"/>
            </w:tcBorders>
            <w:shd w:val="clear" w:color="auto" w:fill="auto"/>
            <w:vAlign w:val="center"/>
          </w:tcPr>
          <w:p w14:paraId="2035A82B">
            <w:pPr>
              <w:widowControl/>
              <w:jc w:val="center"/>
              <w:rPr>
                <w:rFonts w:ascii="仿宋_GB2312"/>
                <w:b/>
                <w:bCs/>
                <w:color w:val="000000"/>
                <w:kern w:val="0"/>
                <w:sz w:val="20"/>
                <w:szCs w:val="20"/>
              </w:rPr>
            </w:pPr>
            <w:r>
              <w:rPr>
                <w:rFonts w:hint="eastAsia" w:ascii="仿宋_GB2312"/>
                <w:b/>
                <w:bCs/>
                <w:color w:val="000000"/>
                <w:kern w:val="0"/>
                <w:sz w:val="20"/>
                <w:szCs w:val="20"/>
              </w:rPr>
              <w:t>指标解释</w:t>
            </w:r>
          </w:p>
        </w:tc>
        <w:tc>
          <w:tcPr>
            <w:tcW w:w="3900" w:type="dxa"/>
            <w:tcBorders>
              <w:top w:val="single" w:color="auto" w:sz="4" w:space="0"/>
              <w:left w:val="nil"/>
              <w:bottom w:val="single" w:color="auto" w:sz="4" w:space="0"/>
              <w:right w:val="single" w:color="auto" w:sz="4" w:space="0"/>
            </w:tcBorders>
            <w:shd w:val="clear" w:color="auto" w:fill="auto"/>
            <w:vAlign w:val="center"/>
          </w:tcPr>
          <w:p w14:paraId="4C6B7C1D">
            <w:pPr>
              <w:widowControl/>
              <w:jc w:val="center"/>
              <w:rPr>
                <w:rFonts w:ascii="仿宋_GB2312"/>
                <w:b/>
                <w:bCs/>
                <w:color w:val="000000"/>
                <w:kern w:val="0"/>
                <w:sz w:val="20"/>
                <w:szCs w:val="20"/>
              </w:rPr>
            </w:pPr>
            <w:r>
              <w:rPr>
                <w:rFonts w:hint="eastAsia" w:ascii="仿宋_GB2312"/>
                <w:b/>
                <w:bCs/>
                <w:color w:val="000000"/>
                <w:kern w:val="0"/>
                <w:sz w:val="20"/>
                <w:szCs w:val="20"/>
              </w:rPr>
              <w:t>指标评分细则</w:t>
            </w:r>
          </w:p>
        </w:tc>
        <w:tc>
          <w:tcPr>
            <w:tcW w:w="1840" w:type="dxa"/>
            <w:tcBorders>
              <w:top w:val="single" w:color="auto" w:sz="4" w:space="0"/>
              <w:left w:val="nil"/>
              <w:bottom w:val="single" w:color="auto" w:sz="4" w:space="0"/>
              <w:right w:val="single" w:color="auto" w:sz="4" w:space="0"/>
            </w:tcBorders>
            <w:shd w:val="clear" w:color="auto" w:fill="auto"/>
            <w:vAlign w:val="center"/>
          </w:tcPr>
          <w:p w14:paraId="596BBA11">
            <w:pPr>
              <w:widowControl/>
              <w:jc w:val="center"/>
              <w:rPr>
                <w:rFonts w:ascii="仿宋_GB2312"/>
                <w:b/>
                <w:bCs/>
                <w:color w:val="000000"/>
                <w:kern w:val="0"/>
                <w:sz w:val="20"/>
                <w:szCs w:val="20"/>
              </w:rPr>
            </w:pPr>
            <w:r>
              <w:rPr>
                <w:rFonts w:hint="eastAsia" w:ascii="仿宋_GB2312"/>
                <w:b/>
                <w:bCs/>
                <w:color w:val="000000"/>
                <w:kern w:val="0"/>
                <w:sz w:val="20"/>
                <w:szCs w:val="20"/>
              </w:rPr>
              <w:t>数据来源</w:t>
            </w:r>
          </w:p>
        </w:tc>
      </w:tr>
      <w:tr w14:paraId="75EFD22B">
        <w:tblPrEx>
          <w:tblCellMar>
            <w:top w:w="0" w:type="dxa"/>
            <w:left w:w="108" w:type="dxa"/>
            <w:bottom w:w="0" w:type="dxa"/>
            <w:right w:w="108" w:type="dxa"/>
          </w:tblCellMar>
        </w:tblPrEx>
        <w:trPr>
          <w:trHeight w:val="120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540A2D30">
            <w:pPr>
              <w:widowControl/>
              <w:jc w:val="center"/>
              <w:rPr>
                <w:rFonts w:ascii="仿宋_GB2312"/>
                <w:b/>
                <w:bCs/>
                <w:color w:val="000000"/>
                <w:kern w:val="0"/>
                <w:sz w:val="20"/>
                <w:szCs w:val="20"/>
              </w:rPr>
            </w:pPr>
            <w:r>
              <w:rPr>
                <w:rFonts w:hint="eastAsia" w:ascii="仿宋_GB2312"/>
                <w:b/>
                <w:bCs/>
                <w:color w:val="000000"/>
                <w:kern w:val="0"/>
                <w:sz w:val="20"/>
                <w:szCs w:val="20"/>
              </w:rPr>
              <w:t>A部门决策（35分）</w:t>
            </w:r>
          </w:p>
        </w:tc>
        <w:tc>
          <w:tcPr>
            <w:tcW w:w="820" w:type="dxa"/>
            <w:vMerge w:val="restart"/>
            <w:tcBorders>
              <w:top w:val="nil"/>
              <w:left w:val="single" w:color="auto" w:sz="4" w:space="0"/>
              <w:bottom w:val="single" w:color="000000" w:sz="4" w:space="0"/>
              <w:right w:val="single" w:color="auto" w:sz="4" w:space="0"/>
            </w:tcBorders>
            <w:shd w:val="clear" w:color="auto" w:fill="auto"/>
            <w:vAlign w:val="center"/>
          </w:tcPr>
          <w:p w14:paraId="32E702E7">
            <w:pPr>
              <w:widowControl/>
              <w:jc w:val="center"/>
              <w:rPr>
                <w:rFonts w:ascii="仿宋_GB2312"/>
                <w:color w:val="000000"/>
                <w:kern w:val="0"/>
                <w:sz w:val="20"/>
                <w:szCs w:val="20"/>
              </w:rPr>
            </w:pPr>
            <w:r>
              <w:rPr>
                <w:rFonts w:hint="eastAsia" w:ascii="仿宋_GB2312"/>
                <w:color w:val="000000"/>
                <w:kern w:val="0"/>
                <w:sz w:val="20"/>
                <w:szCs w:val="20"/>
              </w:rPr>
              <w:t>A1部门目标（12分）</w:t>
            </w:r>
          </w:p>
        </w:tc>
        <w:tc>
          <w:tcPr>
            <w:tcW w:w="2040" w:type="dxa"/>
            <w:tcBorders>
              <w:top w:val="nil"/>
              <w:left w:val="nil"/>
              <w:bottom w:val="single" w:color="auto" w:sz="4" w:space="0"/>
              <w:right w:val="single" w:color="auto" w:sz="4" w:space="0"/>
            </w:tcBorders>
            <w:shd w:val="clear" w:color="000000" w:fill="FFFFFF"/>
            <w:vAlign w:val="center"/>
          </w:tcPr>
          <w:p w14:paraId="72C205F9">
            <w:pPr>
              <w:widowControl/>
              <w:jc w:val="left"/>
              <w:rPr>
                <w:rFonts w:ascii="仿宋_GB2312"/>
                <w:color w:val="000000"/>
                <w:kern w:val="0"/>
                <w:sz w:val="20"/>
                <w:szCs w:val="20"/>
              </w:rPr>
            </w:pPr>
            <w:r>
              <w:rPr>
                <w:rFonts w:hint="eastAsia" w:ascii="仿宋_GB2312"/>
                <w:color w:val="000000"/>
                <w:kern w:val="0"/>
                <w:sz w:val="20"/>
                <w:szCs w:val="20"/>
              </w:rPr>
              <w:t>A11部门中长期规划目标的明确性与合理性（2分）</w:t>
            </w:r>
          </w:p>
        </w:tc>
        <w:tc>
          <w:tcPr>
            <w:tcW w:w="680" w:type="dxa"/>
            <w:tcBorders>
              <w:top w:val="nil"/>
              <w:left w:val="nil"/>
              <w:bottom w:val="single" w:color="auto" w:sz="4" w:space="0"/>
              <w:right w:val="single" w:color="auto" w:sz="4" w:space="0"/>
            </w:tcBorders>
            <w:shd w:val="clear" w:color="auto" w:fill="auto"/>
            <w:vAlign w:val="center"/>
          </w:tcPr>
          <w:p w14:paraId="2279FEE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760" w:type="dxa"/>
            <w:tcBorders>
              <w:top w:val="nil"/>
              <w:left w:val="nil"/>
              <w:bottom w:val="single" w:color="auto" w:sz="4" w:space="0"/>
              <w:right w:val="single" w:color="auto" w:sz="4" w:space="0"/>
            </w:tcBorders>
            <w:shd w:val="clear" w:color="auto" w:fill="auto"/>
            <w:vAlign w:val="center"/>
          </w:tcPr>
          <w:p w14:paraId="7E2E0173">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3220" w:type="dxa"/>
            <w:tcBorders>
              <w:top w:val="nil"/>
              <w:left w:val="nil"/>
              <w:bottom w:val="single" w:color="auto" w:sz="4" w:space="0"/>
              <w:right w:val="single" w:color="auto" w:sz="4" w:space="0"/>
            </w:tcBorders>
            <w:shd w:val="clear" w:color="auto" w:fill="auto"/>
            <w:vAlign w:val="center"/>
          </w:tcPr>
          <w:p w14:paraId="1EDB70AE">
            <w:pPr>
              <w:widowControl/>
              <w:rPr>
                <w:rFonts w:ascii="仿宋_GB2312"/>
                <w:color w:val="000000"/>
                <w:kern w:val="0"/>
                <w:sz w:val="20"/>
                <w:szCs w:val="20"/>
              </w:rPr>
            </w:pPr>
            <w:r>
              <w:rPr>
                <w:rFonts w:hint="eastAsia" w:ascii="仿宋_GB2312"/>
                <w:color w:val="000000"/>
                <w:kern w:val="0"/>
                <w:sz w:val="20"/>
                <w:szCs w:val="20"/>
              </w:rPr>
              <w:t>部门（单位）中长期规划目标的设定情况；中长期规划目标应设定明确，应与政府中长期规划目标相适应，且应与部门职能相适应。</w:t>
            </w:r>
          </w:p>
        </w:tc>
        <w:tc>
          <w:tcPr>
            <w:tcW w:w="3900" w:type="dxa"/>
            <w:tcBorders>
              <w:top w:val="nil"/>
              <w:left w:val="nil"/>
              <w:bottom w:val="single" w:color="auto" w:sz="4" w:space="0"/>
              <w:right w:val="single" w:color="auto" w:sz="4" w:space="0"/>
            </w:tcBorders>
            <w:shd w:val="clear" w:color="auto" w:fill="auto"/>
            <w:vAlign w:val="center"/>
          </w:tcPr>
          <w:p w14:paraId="7E100733">
            <w:pPr>
              <w:widowControl/>
              <w:rPr>
                <w:rFonts w:ascii="仿宋_GB2312"/>
                <w:color w:val="000000"/>
                <w:kern w:val="0"/>
                <w:sz w:val="20"/>
                <w:szCs w:val="20"/>
              </w:rPr>
            </w:pPr>
            <w:r>
              <w:rPr>
                <w:rFonts w:hint="eastAsia" w:ascii="仿宋_GB2312"/>
                <w:color w:val="000000"/>
                <w:kern w:val="0"/>
                <w:sz w:val="20"/>
                <w:szCs w:val="20"/>
              </w:rPr>
              <w:t>①设定了部门中长期规划目标，得0.5分；②设定的部门中长期规划目标明确，得0.5分；③能够适应市、县政府相关规划，得0.5分；④能够与部门职能相适应，得0.5分。</w:t>
            </w:r>
          </w:p>
        </w:tc>
        <w:tc>
          <w:tcPr>
            <w:tcW w:w="1840" w:type="dxa"/>
            <w:tcBorders>
              <w:top w:val="nil"/>
              <w:left w:val="nil"/>
              <w:bottom w:val="single" w:color="auto" w:sz="4" w:space="0"/>
              <w:right w:val="single" w:color="auto" w:sz="4" w:space="0"/>
            </w:tcBorders>
            <w:shd w:val="clear" w:color="auto" w:fill="auto"/>
            <w:vAlign w:val="center"/>
          </w:tcPr>
          <w:p w14:paraId="3D16F1E8">
            <w:pPr>
              <w:widowControl/>
              <w:rPr>
                <w:rFonts w:ascii="仿宋_GB2312"/>
                <w:color w:val="000000"/>
                <w:kern w:val="0"/>
                <w:sz w:val="20"/>
                <w:szCs w:val="20"/>
              </w:rPr>
            </w:pPr>
            <w:r>
              <w:rPr>
                <w:rFonts w:hint="eastAsia" w:ascii="仿宋_GB2312"/>
                <w:color w:val="000000"/>
                <w:kern w:val="0"/>
                <w:sz w:val="20"/>
                <w:szCs w:val="20"/>
              </w:rPr>
              <w:t>部门中长期规划目标、市、县政府相关规划、部门“三定”方案、部门职能文件。</w:t>
            </w:r>
          </w:p>
        </w:tc>
      </w:tr>
      <w:tr w14:paraId="20BA3112">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000000" w:sz="4" w:space="0"/>
              <w:right w:val="single" w:color="auto" w:sz="4" w:space="0"/>
            </w:tcBorders>
            <w:vAlign w:val="center"/>
          </w:tcPr>
          <w:p w14:paraId="7FA72087">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34B0F96A">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493A338F">
            <w:pPr>
              <w:widowControl/>
              <w:jc w:val="left"/>
              <w:rPr>
                <w:rFonts w:ascii="仿宋_GB2312"/>
                <w:color w:val="000000"/>
                <w:kern w:val="0"/>
                <w:sz w:val="20"/>
                <w:szCs w:val="20"/>
              </w:rPr>
            </w:pPr>
            <w:r>
              <w:rPr>
                <w:rFonts w:hint="eastAsia" w:ascii="仿宋_GB2312"/>
                <w:color w:val="000000"/>
                <w:kern w:val="0"/>
                <w:sz w:val="20"/>
                <w:szCs w:val="20"/>
              </w:rPr>
              <w:t>A12年度工作目标的明确性与合理性（2分）</w:t>
            </w:r>
          </w:p>
        </w:tc>
        <w:tc>
          <w:tcPr>
            <w:tcW w:w="680" w:type="dxa"/>
            <w:tcBorders>
              <w:top w:val="nil"/>
              <w:left w:val="nil"/>
              <w:bottom w:val="single" w:color="auto" w:sz="4" w:space="0"/>
              <w:right w:val="single" w:color="auto" w:sz="4" w:space="0"/>
            </w:tcBorders>
            <w:shd w:val="clear" w:color="auto" w:fill="auto"/>
            <w:vAlign w:val="center"/>
          </w:tcPr>
          <w:p w14:paraId="2956B043">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760" w:type="dxa"/>
            <w:tcBorders>
              <w:top w:val="nil"/>
              <w:left w:val="nil"/>
              <w:bottom w:val="single" w:color="auto" w:sz="4" w:space="0"/>
              <w:right w:val="single" w:color="auto" w:sz="4" w:space="0"/>
            </w:tcBorders>
            <w:shd w:val="clear" w:color="auto" w:fill="auto"/>
            <w:vAlign w:val="center"/>
          </w:tcPr>
          <w:p w14:paraId="441B8D0B">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3220" w:type="dxa"/>
            <w:tcBorders>
              <w:top w:val="nil"/>
              <w:left w:val="nil"/>
              <w:bottom w:val="single" w:color="auto" w:sz="4" w:space="0"/>
              <w:right w:val="single" w:color="auto" w:sz="4" w:space="0"/>
            </w:tcBorders>
            <w:shd w:val="clear" w:color="auto" w:fill="auto"/>
            <w:vAlign w:val="center"/>
          </w:tcPr>
          <w:p w14:paraId="1B2AFCA5">
            <w:pPr>
              <w:widowControl/>
              <w:rPr>
                <w:rFonts w:ascii="仿宋_GB2312"/>
                <w:color w:val="000000"/>
                <w:kern w:val="0"/>
                <w:sz w:val="20"/>
                <w:szCs w:val="20"/>
              </w:rPr>
            </w:pPr>
            <w:r>
              <w:rPr>
                <w:rFonts w:hint="eastAsia" w:ascii="仿宋_GB2312"/>
                <w:color w:val="000000"/>
                <w:kern w:val="0"/>
                <w:sz w:val="20"/>
                <w:szCs w:val="20"/>
              </w:rPr>
              <w:t>部门年度工作目标的设定是否明确合理</w:t>
            </w:r>
          </w:p>
        </w:tc>
        <w:tc>
          <w:tcPr>
            <w:tcW w:w="3900" w:type="dxa"/>
            <w:tcBorders>
              <w:top w:val="nil"/>
              <w:left w:val="nil"/>
              <w:bottom w:val="single" w:color="auto" w:sz="4" w:space="0"/>
              <w:right w:val="single" w:color="auto" w:sz="4" w:space="0"/>
            </w:tcBorders>
            <w:shd w:val="clear" w:color="auto" w:fill="auto"/>
            <w:vAlign w:val="center"/>
          </w:tcPr>
          <w:p w14:paraId="191CCDDB">
            <w:pPr>
              <w:widowControl/>
              <w:rPr>
                <w:rFonts w:ascii="仿宋_GB2312"/>
                <w:color w:val="000000"/>
                <w:kern w:val="0"/>
                <w:sz w:val="20"/>
                <w:szCs w:val="20"/>
              </w:rPr>
            </w:pPr>
            <w:r>
              <w:rPr>
                <w:rFonts w:hint="eastAsia" w:ascii="仿宋_GB2312"/>
                <w:color w:val="000000"/>
                <w:kern w:val="0"/>
                <w:sz w:val="20"/>
                <w:szCs w:val="20"/>
              </w:rPr>
              <w:t>①部门年度工作目标明确设定，得1分；②年度工作目标与部门中长期规划目标一致，得1分。</w:t>
            </w:r>
          </w:p>
        </w:tc>
        <w:tc>
          <w:tcPr>
            <w:tcW w:w="1840" w:type="dxa"/>
            <w:tcBorders>
              <w:top w:val="nil"/>
              <w:left w:val="nil"/>
              <w:bottom w:val="single" w:color="auto" w:sz="4" w:space="0"/>
              <w:right w:val="single" w:color="auto" w:sz="4" w:space="0"/>
            </w:tcBorders>
            <w:shd w:val="clear" w:color="auto" w:fill="auto"/>
            <w:vAlign w:val="center"/>
          </w:tcPr>
          <w:p w14:paraId="325AF945">
            <w:pPr>
              <w:widowControl/>
              <w:rPr>
                <w:rFonts w:ascii="仿宋_GB2312"/>
                <w:color w:val="000000"/>
                <w:kern w:val="0"/>
                <w:sz w:val="20"/>
                <w:szCs w:val="20"/>
              </w:rPr>
            </w:pPr>
            <w:r>
              <w:rPr>
                <w:rFonts w:hint="eastAsia" w:ascii="仿宋_GB2312"/>
                <w:color w:val="000000"/>
                <w:kern w:val="0"/>
                <w:sz w:val="20"/>
                <w:szCs w:val="20"/>
              </w:rPr>
              <w:t>年度工作目标与部门中长期规划文件</w:t>
            </w:r>
          </w:p>
        </w:tc>
      </w:tr>
      <w:tr w14:paraId="6CCC6D87">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000000" w:sz="4" w:space="0"/>
              <w:right w:val="single" w:color="auto" w:sz="4" w:space="0"/>
            </w:tcBorders>
            <w:vAlign w:val="center"/>
          </w:tcPr>
          <w:p w14:paraId="525EC82F">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52B350D2">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19287598">
            <w:pPr>
              <w:widowControl/>
              <w:jc w:val="left"/>
              <w:rPr>
                <w:rFonts w:ascii="仿宋_GB2312"/>
                <w:color w:val="000000"/>
                <w:kern w:val="0"/>
                <w:sz w:val="20"/>
                <w:szCs w:val="20"/>
              </w:rPr>
            </w:pPr>
            <w:r>
              <w:rPr>
                <w:rFonts w:hint="eastAsia" w:ascii="仿宋_GB2312"/>
                <w:color w:val="000000"/>
                <w:kern w:val="0"/>
                <w:sz w:val="20"/>
                <w:szCs w:val="20"/>
              </w:rPr>
              <w:t>A13年度工作计划与年度工作目标的一致性（2分）</w:t>
            </w:r>
          </w:p>
        </w:tc>
        <w:tc>
          <w:tcPr>
            <w:tcW w:w="680" w:type="dxa"/>
            <w:tcBorders>
              <w:top w:val="nil"/>
              <w:left w:val="nil"/>
              <w:bottom w:val="single" w:color="auto" w:sz="4" w:space="0"/>
              <w:right w:val="single" w:color="auto" w:sz="4" w:space="0"/>
            </w:tcBorders>
            <w:shd w:val="clear" w:color="auto" w:fill="auto"/>
            <w:vAlign w:val="center"/>
          </w:tcPr>
          <w:p w14:paraId="366E0F77">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760" w:type="dxa"/>
            <w:tcBorders>
              <w:top w:val="nil"/>
              <w:left w:val="nil"/>
              <w:bottom w:val="single" w:color="auto" w:sz="4" w:space="0"/>
              <w:right w:val="single" w:color="auto" w:sz="4" w:space="0"/>
            </w:tcBorders>
            <w:shd w:val="clear" w:color="auto" w:fill="auto"/>
            <w:vAlign w:val="center"/>
          </w:tcPr>
          <w:p w14:paraId="57D46BB5">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3220" w:type="dxa"/>
            <w:tcBorders>
              <w:top w:val="nil"/>
              <w:left w:val="nil"/>
              <w:bottom w:val="single" w:color="auto" w:sz="4" w:space="0"/>
              <w:right w:val="single" w:color="auto" w:sz="4" w:space="0"/>
            </w:tcBorders>
            <w:shd w:val="clear" w:color="auto" w:fill="auto"/>
            <w:vAlign w:val="center"/>
          </w:tcPr>
          <w:p w14:paraId="15007231">
            <w:pPr>
              <w:widowControl/>
              <w:rPr>
                <w:rFonts w:ascii="仿宋_GB2312"/>
                <w:color w:val="000000"/>
                <w:kern w:val="0"/>
                <w:sz w:val="20"/>
                <w:szCs w:val="20"/>
              </w:rPr>
            </w:pPr>
            <w:r>
              <w:rPr>
                <w:rFonts w:hint="eastAsia" w:ascii="仿宋_GB2312"/>
                <w:color w:val="000000"/>
                <w:kern w:val="0"/>
                <w:sz w:val="20"/>
                <w:szCs w:val="20"/>
              </w:rPr>
              <w:t>部门年度工作计划是否与部门年度工作目标相一致。</w:t>
            </w:r>
          </w:p>
        </w:tc>
        <w:tc>
          <w:tcPr>
            <w:tcW w:w="3900" w:type="dxa"/>
            <w:tcBorders>
              <w:top w:val="nil"/>
              <w:left w:val="nil"/>
              <w:bottom w:val="single" w:color="auto" w:sz="4" w:space="0"/>
              <w:right w:val="single" w:color="auto" w:sz="4" w:space="0"/>
            </w:tcBorders>
            <w:shd w:val="clear" w:color="auto" w:fill="auto"/>
            <w:vAlign w:val="center"/>
          </w:tcPr>
          <w:p w14:paraId="52CBBE8F">
            <w:pPr>
              <w:widowControl/>
              <w:rPr>
                <w:rFonts w:ascii="仿宋_GB2312"/>
                <w:color w:val="000000"/>
                <w:kern w:val="0"/>
                <w:sz w:val="20"/>
                <w:szCs w:val="20"/>
              </w:rPr>
            </w:pPr>
            <w:r>
              <w:rPr>
                <w:rFonts w:hint="eastAsia" w:ascii="仿宋_GB2312"/>
                <w:color w:val="000000"/>
                <w:kern w:val="0"/>
                <w:sz w:val="20"/>
                <w:szCs w:val="20"/>
              </w:rPr>
              <w:t>将部门详细工作计划与年度工作目标对应匹配，视匹配情况酌情得0-2分。</w:t>
            </w:r>
          </w:p>
        </w:tc>
        <w:tc>
          <w:tcPr>
            <w:tcW w:w="1840" w:type="dxa"/>
            <w:tcBorders>
              <w:top w:val="nil"/>
              <w:left w:val="nil"/>
              <w:bottom w:val="single" w:color="auto" w:sz="4" w:space="0"/>
              <w:right w:val="single" w:color="auto" w:sz="4" w:space="0"/>
            </w:tcBorders>
            <w:shd w:val="clear" w:color="auto" w:fill="auto"/>
            <w:vAlign w:val="center"/>
          </w:tcPr>
          <w:p w14:paraId="35697F72">
            <w:pPr>
              <w:widowControl/>
              <w:rPr>
                <w:rFonts w:ascii="仿宋_GB2312"/>
                <w:color w:val="000000"/>
                <w:kern w:val="0"/>
                <w:sz w:val="20"/>
                <w:szCs w:val="20"/>
              </w:rPr>
            </w:pPr>
            <w:r>
              <w:rPr>
                <w:rFonts w:hint="eastAsia" w:ascii="仿宋_GB2312"/>
                <w:color w:val="000000"/>
                <w:kern w:val="0"/>
                <w:sz w:val="20"/>
                <w:szCs w:val="20"/>
              </w:rPr>
              <w:t>年度工作计划与年度工作目标文件</w:t>
            </w:r>
          </w:p>
        </w:tc>
      </w:tr>
      <w:tr w14:paraId="593B1CBA">
        <w:tblPrEx>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000000" w:sz="4" w:space="0"/>
              <w:right w:val="single" w:color="auto" w:sz="4" w:space="0"/>
            </w:tcBorders>
            <w:vAlign w:val="center"/>
          </w:tcPr>
          <w:p w14:paraId="372E70D8">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64CBE9B6">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35A2359B">
            <w:pPr>
              <w:widowControl/>
              <w:jc w:val="left"/>
              <w:rPr>
                <w:rFonts w:ascii="仿宋_GB2312"/>
                <w:color w:val="000000"/>
                <w:kern w:val="0"/>
                <w:sz w:val="20"/>
                <w:szCs w:val="20"/>
              </w:rPr>
            </w:pPr>
            <w:r>
              <w:rPr>
                <w:rFonts w:hint="eastAsia" w:ascii="仿宋_GB2312"/>
                <w:color w:val="000000"/>
                <w:kern w:val="0"/>
                <w:sz w:val="20"/>
                <w:szCs w:val="20"/>
              </w:rPr>
              <w:t>A14绩效目标合理性（3分）</w:t>
            </w:r>
          </w:p>
        </w:tc>
        <w:tc>
          <w:tcPr>
            <w:tcW w:w="680" w:type="dxa"/>
            <w:tcBorders>
              <w:top w:val="nil"/>
              <w:left w:val="nil"/>
              <w:bottom w:val="single" w:color="auto" w:sz="4" w:space="0"/>
              <w:right w:val="single" w:color="auto" w:sz="4" w:space="0"/>
            </w:tcBorders>
            <w:shd w:val="clear" w:color="auto" w:fill="auto"/>
            <w:vAlign w:val="center"/>
          </w:tcPr>
          <w:p w14:paraId="09E9AFF2">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760" w:type="dxa"/>
            <w:tcBorders>
              <w:top w:val="nil"/>
              <w:left w:val="nil"/>
              <w:bottom w:val="single" w:color="auto" w:sz="4" w:space="0"/>
              <w:right w:val="single" w:color="auto" w:sz="4" w:space="0"/>
            </w:tcBorders>
            <w:shd w:val="clear" w:color="auto" w:fill="auto"/>
            <w:vAlign w:val="center"/>
          </w:tcPr>
          <w:p w14:paraId="0697DFA8">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3220" w:type="dxa"/>
            <w:tcBorders>
              <w:top w:val="nil"/>
              <w:left w:val="nil"/>
              <w:bottom w:val="single" w:color="auto" w:sz="4" w:space="0"/>
              <w:right w:val="single" w:color="auto" w:sz="4" w:space="0"/>
            </w:tcBorders>
            <w:shd w:val="clear" w:color="auto" w:fill="auto"/>
            <w:vAlign w:val="center"/>
          </w:tcPr>
          <w:p w14:paraId="654E169D">
            <w:pPr>
              <w:widowControl/>
              <w:rPr>
                <w:rFonts w:ascii="仿宋_GB2312"/>
                <w:color w:val="000000"/>
                <w:kern w:val="0"/>
                <w:sz w:val="20"/>
                <w:szCs w:val="20"/>
              </w:rPr>
            </w:pPr>
            <w:r>
              <w:rPr>
                <w:rFonts w:hint="eastAsia" w:ascii="仿宋_GB2312"/>
                <w:color w:val="000000"/>
                <w:kern w:val="0"/>
                <w:sz w:val="20"/>
                <w:szCs w:val="20"/>
              </w:rPr>
              <w:t>用以反映和考核部门整体绩效目标与部门职能、年度工作目标的一致性。</w:t>
            </w:r>
          </w:p>
        </w:tc>
        <w:tc>
          <w:tcPr>
            <w:tcW w:w="3900" w:type="dxa"/>
            <w:tcBorders>
              <w:top w:val="nil"/>
              <w:left w:val="nil"/>
              <w:bottom w:val="single" w:color="auto" w:sz="4" w:space="0"/>
              <w:right w:val="single" w:color="auto" w:sz="4" w:space="0"/>
            </w:tcBorders>
            <w:shd w:val="clear" w:color="auto" w:fill="auto"/>
            <w:vAlign w:val="center"/>
          </w:tcPr>
          <w:p w14:paraId="561278D8">
            <w:pPr>
              <w:widowControl/>
              <w:rPr>
                <w:rFonts w:ascii="仿宋_GB2312"/>
                <w:color w:val="000000"/>
                <w:kern w:val="0"/>
                <w:sz w:val="20"/>
                <w:szCs w:val="20"/>
              </w:rPr>
            </w:pPr>
            <w:r>
              <w:rPr>
                <w:rFonts w:hint="eastAsia" w:ascii="仿宋_GB2312"/>
                <w:color w:val="000000"/>
                <w:kern w:val="0"/>
                <w:sz w:val="20"/>
                <w:szCs w:val="20"/>
              </w:rPr>
              <w:t>①符合部门制定的中长期实施规划计1分；②符合部门“三定”方案确定的职责计1分；③与部门年度工作目标、任务相一致计1分。</w:t>
            </w:r>
          </w:p>
        </w:tc>
        <w:tc>
          <w:tcPr>
            <w:tcW w:w="1840" w:type="dxa"/>
            <w:tcBorders>
              <w:top w:val="nil"/>
              <w:left w:val="nil"/>
              <w:bottom w:val="single" w:color="auto" w:sz="4" w:space="0"/>
              <w:right w:val="single" w:color="auto" w:sz="4" w:space="0"/>
            </w:tcBorders>
            <w:shd w:val="clear" w:color="auto" w:fill="auto"/>
            <w:vAlign w:val="center"/>
          </w:tcPr>
          <w:p w14:paraId="50697A3F">
            <w:pPr>
              <w:widowControl/>
              <w:rPr>
                <w:rFonts w:ascii="仿宋_GB2312"/>
                <w:color w:val="000000"/>
                <w:kern w:val="0"/>
                <w:sz w:val="20"/>
                <w:szCs w:val="20"/>
              </w:rPr>
            </w:pPr>
            <w:r>
              <w:rPr>
                <w:rFonts w:hint="eastAsia" w:ascii="仿宋_GB2312"/>
                <w:color w:val="000000"/>
                <w:kern w:val="0"/>
                <w:sz w:val="20"/>
                <w:szCs w:val="20"/>
              </w:rPr>
              <w:t>部门中长期规划、部门“三定”方案、年度重点工作任务与工作计划</w:t>
            </w:r>
          </w:p>
        </w:tc>
      </w:tr>
      <w:tr w14:paraId="17DF2277">
        <w:tblPrEx>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000000" w:sz="4" w:space="0"/>
              <w:right w:val="single" w:color="auto" w:sz="4" w:space="0"/>
            </w:tcBorders>
            <w:vAlign w:val="center"/>
          </w:tcPr>
          <w:p w14:paraId="59A02490">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78056E11">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609B420F">
            <w:pPr>
              <w:widowControl/>
              <w:jc w:val="left"/>
              <w:rPr>
                <w:rFonts w:ascii="仿宋_GB2312"/>
                <w:color w:val="000000"/>
                <w:kern w:val="0"/>
                <w:sz w:val="20"/>
                <w:szCs w:val="20"/>
              </w:rPr>
            </w:pPr>
            <w:r>
              <w:rPr>
                <w:rFonts w:hint="eastAsia" w:ascii="仿宋_GB2312"/>
                <w:color w:val="000000"/>
                <w:kern w:val="0"/>
                <w:sz w:val="20"/>
                <w:szCs w:val="20"/>
              </w:rPr>
              <w:t>A15绩效指标明确性（3分）</w:t>
            </w:r>
          </w:p>
        </w:tc>
        <w:tc>
          <w:tcPr>
            <w:tcW w:w="680" w:type="dxa"/>
            <w:tcBorders>
              <w:top w:val="nil"/>
              <w:left w:val="nil"/>
              <w:bottom w:val="single" w:color="auto" w:sz="4" w:space="0"/>
              <w:right w:val="single" w:color="auto" w:sz="4" w:space="0"/>
            </w:tcBorders>
            <w:shd w:val="clear" w:color="auto" w:fill="auto"/>
            <w:vAlign w:val="center"/>
          </w:tcPr>
          <w:p w14:paraId="4F014E92">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760" w:type="dxa"/>
            <w:tcBorders>
              <w:top w:val="nil"/>
              <w:left w:val="nil"/>
              <w:bottom w:val="single" w:color="auto" w:sz="4" w:space="0"/>
              <w:right w:val="single" w:color="auto" w:sz="4" w:space="0"/>
            </w:tcBorders>
            <w:shd w:val="clear" w:color="auto" w:fill="auto"/>
            <w:vAlign w:val="center"/>
          </w:tcPr>
          <w:p w14:paraId="48B1132C">
            <w:pPr>
              <w:widowControl/>
              <w:jc w:val="center"/>
              <w:rPr>
                <w:rFonts w:hint="eastAsia" w:ascii="Times New Roman" w:hAnsi="Times New Roman" w:eastAsia="宋体" w:cs="Times New Roman"/>
                <w:color w:val="000000"/>
                <w:kern w:val="0"/>
                <w:sz w:val="22"/>
                <w:szCs w:val="22"/>
                <w:lang w:val="en-US" w:eastAsia="zh-CN"/>
              </w:rPr>
            </w:pPr>
            <w:r>
              <w:rPr>
                <w:rFonts w:hint="eastAsia" w:ascii="Times New Roman" w:hAnsi="Times New Roman" w:eastAsia="宋体" w:cs="Times New Roman"/>
                <w:color w:val="000000"/>
                <w:kern w:val="0"/>
                <w:sz w:val="22"/>
                <w:szCs w:val="22"/>
                <w:lang w:val="en-US" w:eastAsia="zh-CN"/>
              </w:rPr>
              <w:t>3</w:t>
            </w:r>
          </w:p>
        </w:tc>
        <w:tc>
          <w:tcPr>
            <w:tcW w:w="3220" w:type="dxa"/>
            <w:tcBorders>
              <w:top w:val="nil"/>
              <w:left w:val="nil"/>
              <w:bottom w:val="single" w:color="auto" w:sz="4" w:space="0"/>
              <w:right w:val="single" w:color="auto" w:sz="4" w:space="0"/>
            </w:tcBorders>
            <w:shd w:val="clear" w:color="auto" w:fill="auto"/>
            <w:vAlign w:val="center"/>
          </w:tcPr>
          <w:p w14:paraId="136B8E26">
            <w:pPr>
              <w:widowControl/>
              <w:rPr>
                <w:rFonts w:ascii="仿宋_GB2312"/>
                <w:color w:val="000000"/>
                <w:kern w:val="0"/>
                <w:sz w:val="20"/>
                <w:szCs w:val="20"/>
              </w:rPr>
            </w:pPr>
            <w:r>
              <w:rPr>
                <w:rFonts w:hint="eastAsia" w:ascii="仿宋_GB2312"/>
                <w:color w:val="000000"/>
                <w:kern w:val="0"/>
                <w:sz w:val="20"/>
                <w:szCs w:val="20"/>
              </w:rPr>
              <w:t>整体绩效目标所设定的绩效指标是否依据部门工作目标和工作任务进行细化、量化，绩效指标是否可衡量。</w:t>
            </w:r>
          </w:p>
        </w:tc>
        <w:tc>
          <w:tcPr>
            <w:tcW w:w="3900" w:type="dxa"/>
            <w:tcBorders>
              <w:top w:val="nil"/>
              <w:left w:val="nil"/>
              <w:bottom w:val="single" w:color="auto" w:sz="4" w:space="0"/>
              <w:right w:val="single" w:color="auto" w:sz="4" w:space="0"/>
            </w:tcBorders>
            <w:shd w:val="clear" w:color="auto" w:fill="auto"/>
            <w:vAlign w:val="center"/>
          </w:tcPr>
          <w:p w14:paraId="672116C9">
            <w:pPr>
              <w:widowControl/>
              <w:rPr>
                <w:rFonts w:ascii="仿宋_GB2312"/>
                <w:color w:val="000000"/>
                <w:kern w:val="0"/>
                <w:sz w:val="20"/>
                <w:szCs w:val="20"/>
              </w:rPr>
            </w:pPr>
            <w:r>
              <w:rPr>
                <w:rFonts w:hint="eastAsia" w:ascii="仿宋_GB2312"/>
                <w:color w:val="000000"/>
                <w:kern w:val="0"/>
                <w:sz w:val="20"/>
                <w:szCs w:val="20"/>
              </w:rPr>
              <w:t>①将部门整体的绩效目标细化分解为具体的工作任务计1分；②通过清晰、可衡量的指标值予以体现计0.5分。③与部门年度的任务数或计划数相对应计0.5分；④与本年度部门预算资金相匹配计1分。</w:t>
            </w:r>
          </w:p>
        </w:tc>
        <w:tc>
          <w:tcPr>
            <w:tcW w:w="1840" w:type="dxa"/>
            <w:tcBorders>
              <w:top w:val="nil"/>
              <w:left w:val="nil"/>
              <w:bottom w:val="single" w:color="auto" w:sz="4" w:space="0"/>
              <w:right w:val="single" w:color="auto" w:sz="4" w:space="0"/>
            </w:tcBorders>
            <w:shd w:val="clear" w:color="auto" w:fill="auto"/>
            <w:vAlign w:val="center"/>
          </w:tcPr>
          <w:p w14:paraId="03004B79">
            <w:pPr>
              <w:widowControl/>
              <w:rPr>
                <w:rFonts w:ascii="仿宋_GB2312"/>
                <w:color w:val="000000"/>
                <w:kern w:val="0"/>
                <w:sz w:val="20"/>
                <w:szCs w:val="20"/>
              </w:rPr>
            </w:pPr>
            <w:r>
              <w:rPr>
                <w:rFonts w:hint="eastAsia" w:ascii="仿宋_GB2312"/>
                <w:color w:val="000000"/>
                <w:kern w:val="0"/>
                <w:sz w:val="20"/>
                <w:szCs w:val="20"/>
              </w:rPr>
              <w:t>部门年度重点工作任务与工作计划。</w:t>
            </w:r>
          </w:p>
        </w:tc>
      </w:tr>
      <w:tr w14:paraId="5C4631E0">
        <w:tblPrEx>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000000" w:sz="4" w:space="0"/>
              <w:right w:val="single" w:color="auto" w:sz="4" w:space="0"/>
            </w:tcBorders>
            <w:vAlign w:val="center"/>
          </w:tcPr>
          <w:p w14:paraId="7805A585">
            <w:pPr>
              <w:widowControl/>
              <w:jc w:val="left"/>
              <w:rPr>
                <w:rFonts w:ascii="仿宋_GB2312"/>
                <w:b/>
                <w:bCs/>
                <w:color w:val="000000"/>
                <w:kern w:val="0"/>
                <w:sz w:val="20"/>
                <w:szCs w:val="20"/>
              </w:rPr>
            </w:pPr>
          </w:p>
        </w:tc>
        <w:tc>
          <w:tcPr>
            <w:tcW w:w="820" w:type="dxa"/>
            <w:vMerge w:val="restart"/>
            <w:tcBorders>
              <w:top w:val="nil"/>
              <w:left w:val="single" w:color="auto" w:sz="4" w:space="0"/>
              <w:bottom w:val="single" w:color="000000" w:sz="4" w:space="0"/>
              <w:right w:val="single" w:color="auto" w:sz="4" w:space="0"/>
            </w:tcBorders>
            <w:shd w:val="clear" w:color="auto" w:fill="auto"/>
            <w:vAlign w:val="center"/>
          </w:tcPr>
          <w:p w14:paraId="27A453B8">
            <w:pPr>
              <w:widowControl/>
              <w:jc w:val="center"/>
              <w:rPr>
                <w:rFonts w:ascii="仿宋_GB2312"/>
                <w:color w:val="000000"/>
                <w:kern w:val="0"/>
                <w:sz w:val="20"/>
                <w:szCs w:val="20"/>
              </w:rPr>
            </w:pPr>
            <w:r>
              <w:rPr>
                <w:rFonts w:hint="eastAsia" w:ascii="仿宋_GB2312"/>
                <w:color w:val="000000"/>
                <w:kern w:val="0"/>
                <w:sz w:val="20"/>
                <w:szCs w:val="20"/>
              </w:rPr>
              <w:t>A2部门职能（10分）</w:t>
            </w:r>
          </w:p>
        </w:tc>
        <w:tc>
          <w:tcPr>
            <w:tcW w:w="2040" w:type="dxa"/>
            <w:tcBorders>
              <w:top w:val="nil"/>
              <w:left w:val="nil"/>
              <w:bottom w:val="single" w:color="auto" w:sz="4" w:space="0"/>
              <w:right w:val="single" w:color="auto" w:sz="4" w:space="0"/>
            </w:tcBorders>
            <w:shd w:val="clear" w:color="000000" w:fill="FFFFFF"/>
            <w:vAlign w:val="center"/>
          </w:tcPr>
          <w:p w14:paraId="75C5B9F7">
            <w:pPr>
              <w:widowControl/>
              <w:jc w:val="left"/>
              <w:rPr>
                <w:rFonts w:ascii="仿宋_GB2312"/>
                <w:color w:val="000000"/>
                <w:kern w:val="0"/>
                <w:sz w:val="20"/>
                <w:szCs w:val="20"/>
              </w:rPr>
            </w:pPr>
            <w:r>
              <w:rPr>
                <w:rFonts w:hint="eastAsia" w:ascii="仿宋_GB2312"/>
                <w:color w:val="000000"/>
                <w:kern w:val="0"/>
                <w:sz w:val="20"/>
                <w:szCs w:val="20"/>
              </w:rPr>
              <w:t>A21部门职能的明确性与科学性（1分）</w:t>
            </w:r>
          </w:p>
        </w:tc>
        <w:tc>
          <w:tcPr>
            <w:tcW w:w="680" w:type="dxa"/>
            <w:tcBorders>
              <w:top w:val="nil"/>
              <w:left w:val="nil"/>
              <w:bottom w:val="single" w:color="auto" w:sz="4" w:space="0"/>
              <w:right w:val="single" w:color="auto" w:sz="4" w:space="0"/>
            </w:tcBorders>
            <w:shd w:val="clear" w:color="auto" w:fill="auto"/>
            <w:vAlign w:val="center"/>
          </w:tcPr>
          <w:p w14:paraId="30EFDB73">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760" w:type="dxa"/>
            <w:tcBorders>
              <w:top w:val="nil"/>
              <w:left w:val="nil"/>
              <w:bottom w:val="single" w:color="auto" w:sz="4" w:space="0"/>
              <w:right w:val="single" w:color="auto" w:sz="4" w:space="0"/>
            </w:tcBorders>
            <w:shd w:val="clear" w:color="auto" w:fill="auto"/>
            <w:vAlign w:val="center"/>
          </w:tcPr>
          <w:p w14:paraId="336A1BC2">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3220" w:type="dxa"/>
            <w:tcBorders>
              <w:top w:val="nil"/>
              <w:left w:val="nil"/>
              <w:bottom w:val="single" w:color="auto" w:sz="4" w:space="0"/>
              <w:right w:val="single" w:color="auto" w:sz="4" w:space="0"/>
            </w:tcBorders>
            <w:shd w:val="clear" w:color="auto" w:fill="auto"/>
            <w:vAlign w:val="center"/>
          </w:tcPr>
          <w:p w14:paraId="0607B69E">
            <w:pPr>
              <w:widowControl/>
              <w:rPr>
                <w:rFonts w:ascii="仿宋_GB2312"/>
                <w:color w:val="000000"/>
                <w:kern w:val="0"/>
                <w:sz w:val="20"/>
                <w:szCs w:val="20"/>
              </w:rPr>
            </w:pPr>
            <w:r>
              <w:rPr>
                <w:rFonts w:hint="eastAsia" w:ascii="仿宋_GB2312"/>
                <w:color w:val="000000"/>
                <w:kern w:val="0"/>
                <w:sz w:val="20"/>
                <w:szCs w:val="20"/>
              </w:rPr>
              <w:t>考察部门职能界定是否明确科学，是否有相关文件。</w:t>
            </w:r>
          </w:p>
        </w:tc>
        <w:tc>
          <w:tcPr>
            <w:tcW w:w="3900" w:type="dxa"/>
            <w:tcBorders>
              <w:top w:val="nil"/>
              <w:left w:val="nil"/>
              <w:bottom w:val="single" w:color="auto" w:sz="4" w:space="0"/>
              <w:right w:val="single" w:color="auto" w:sz="4" w:space="0"/>
            </w:tcBorders>
            <w:shd w:val="clear" w:color="auto" w:fill="auto"/>
            <w:vAlign w:val="center"/>
          </w:tcPr>
          <w:p w14:paraId="3DC23BA3">
            <w:pPr>
              <w:widowControl/>
              <w:rPr>
                <w:rFonts w:ascii="仿宋_GB2312"/>
                <w:color w:val="000000"/>
                <w:kern w:val="0"/>
                <w:sz w:val="20"/>
                <w:szCs w:val="20"/>
              </w:rPr>
            </w:pPr>
            <w:r>
              <w:rPr>
                <w:rFonts w:hint="eastAsia" w:ascii="仿宋_GB2312"/>
                <w:color w:val="000000"/>
                <w:kern w:val="0"/>
                <w:sz w:val="20"/>
                <w:szCs w:val="20"/>
              </w:rPr>
              <w:t>①职能明确、设定依据充分，得1分；②有“三定”文件，但职能描述不明确，得0.5分;③没有职能设定的文件依据且职能不清，得0分</w:t>
            </w:r>
          </w:p>
        </w:tc>
        <w:tc>
          <w:tcPr>
            <w:tcW w:w="1840" w:type="dxa"/>
            <w:tcBorders>
              <w:top w:val="nil"/>
              <w:left w:val="nil"/>
              <w:bottom w:val="single" w:color="auto" w:sz="4" w:space="0"/>
              <w:right w:val="single" w:color="auto" w:sz="4" w:space="0"/>
            </w:tcBorders>
            <w:shd w:val="clear" w:color="auto" w:fill="auto"/>
            <w:vAlign w:val="center"/>
          </w:tcPr>
          <w:p w14:paraId="3E701464">
            <w:pPr>
              <w:widowControl/>
              <w:rPr>
                <w:rFonts w:ascii="仿宋_GB2312"/>
                <w:color w:val="000000"/>
                <w:kern w:val="0"/>
                <w:sz w:val="20"/>
                <w:szCs w:val="20"/>
              </w:rPr>
            </w:pPr>
            <w:r>
              <w:rPr>
                <w:rFonts w:hint="eastAsia" w:ascii="仿宋_GB2312"/>
                <w:color w:val="000000"/>
                <w:kern w:val="0"/>
                <w:sz w:val="20"/>
                <w:szCs w:val="20"/>
              </w:rPr>
              <w:t>部门职能描述、“三定”文件</w:t>
            </w:r>
          </w:p>
        </w:tc>
      </w:tr>
      <w:tr w14:paraId="57E8C5F8">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000000" w:sz="4" w:space="0"/>
              <w:right w:val="single" w:color="auto" w:sz="4" w:space="0"/>
            </w:tcBorders>
            <w:vAlign w:val="center"/>
          </w:tcPr>
          <w:p w14:paraId="2D1F2E40">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5640A787">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7D7E200B">
            <w:pPr>
              <w:widowControl/>
              <w:jc w:val="left"/>
              <w:rPr>
                <w:rFonts w:ascii="仿宋_GB2312"/>
                <w:color w:val="000000"/>
                <w:kern w:val="0"/>
                <w:sz w:val="20"/>
                <w:szCs w:val="20"/>
              </w:rPr>
            </w:pPr>
            <w:r>
              <w:rPr>
                <w:rFonts w:hint="eastAsia" w:ascii="仿宋_GB2312"/>
                <w:color w:val="000000"/>
                <w:kern w:val="0"/>
                <w:sz w:val="20"/>
                <w:szCs w:val="20"/>
              </w:rPr>
              <w:t>A22年度工作目标与部门职能的适应性（4分）</w:t>
            </w:r>
          </w:p>
        </w:tc>
        <w:tc>
          <w:tcPr>
            <w:tcW w:w="680" w:type="dxa"/>
            <w:tcBorders>
              <w:top w:val="nil"/>
              <w:left w:val="nil"/>
              <w:bottom w:val="single" w:color="auto" w:sz="4" w:space="0"/>
              <w:right w:val="single" w:color="auto" w:sz="4" w:space="0"/>
            </w:tcBorders>
            <w:shd w:val="clear" w:color="auto" w:fill="auto"/>
            <w:vAlign w:val="center"/>
          </w:tcPr>
          <w:p w14:paraId="1B755C97">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w:t>
            </w:r>
          </w:p>
        </w:tc>
        <w:tc>
          <w:tcPr>
            <w:tcW w:w="760" w:type="dxa"/>
            <w:tcBorders>
              <w:top w:val="nil"/>
              <w:left w:val="nil"/>
              <w:bottom w:val="single" w:color="auto" w:sz="4" w:space="0"/>
              <w:right w:val="single" w:color="auto" w:sz="4" w:space="0"/>
            </w:tcBorders>
            <w:shd w:val="clear" w:color="auto" w:fill="auto"/>
            <w:vAlign w:val="center"/>
          </w:tcPr>
          <w:p w14:paraId="49EF958D">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w:t>
            </w:r>
          </w:p>
        </w:tc>
        <w:tc>
          <w:tcPr>
            <w:tcW w:w="3220" w:type="dxa"/>
            <w:tcBorders>
              <w:top w:val="nil"/>
              <w:left w:val="nil"/>
              <w:bottom w:val="single" w:color="auto" w:sz="4" w:space="0"/>
              <w:right w:val="single" w:color="auto" w:sz="4" w:space="0"/>
            </w:tcBorders>
            <w:shd w:val="clear" w:color="auto" w:fill="auto"/>
            <w:vAlign w:val="center"/>
          </w:tcPr>
          <w:p w14:paraId="032B7568">
            <w:pPr>
              <w:widowControl/>
              <w:rPr>
                <w:rFonts w:ascii="仿宋_GB2312"/>
                <w:color w:val="000000"/>
                <w:kern w:val="0"/>
                <w:sz w:val="20"/>
                <w:szCs w:val="20"/>
              </w:rPr>
            </w:pPr>
            <w:r>
              <w:rPr>
                <w:rFonts w:hint="eastAsia" w:ascii="仿宋_GB2312"/>
                <w:color w:val="000000"/>
                <w:kern w:val="0"/>
                <w:sz w:val="20"/>
                <w:szCs w:val="20"/>
              </w:rPr>
              <w:t>部门所设定的具体目标是否与部门职能相适应。</w:t>
            </w:r>
          </w:p>
        </w:tc>
        <w:tc>
          <w:tcPr>
            <w:tcW w:w="3900" w:type="dxa"/>
            <w:tcBorders>
              <w:top w:val="nil"/>
              <w:left w:val="nil"/>
              <w:bottom w:val="single" w:color="auto" w:sz="4" w:space="0"/>
              <w:right w:val="single" w:color="auto" w:sz="4" w:space="0"/>
            </w:tcBorders>
            <w:shd w:val="clear" w:color="auto" w:fill="auto"/>
            <w:vAlign w:val="center"/>
          </w:tcPr>
          <w:p w14:paraId="4CD4DD45">
            <w:pPr>
              <w:widowControl/>
              <w:rPr>
                <w:rFonts w:ascii="仿宋_GB2312"/>
                <w:color w:val="000000"/>
                <w:kern w:val="0"/>
                <w:sz w:val="20"/>
                <w:szCs w:val="20"/>
              </w:rPr>
            </w:pPr>
            <w:r>
              <w:rPr>
                <w:rFonts w:hint="eastAsia" w:ascii="仿宋_GB2312"/>
                <w:color w:val="000000"/>
                <w:kern w:val="0"/>
                <w:sz w:val="20"/>
                <w:szCs w:val="20"/>
              </w:rPr>
              <w:t>将部门详细工作目标与部门职能对应匹配，视匹配情况酌情得0-4分。</w:t>
            </w:r>
          </w:p>
        </w:tc>
        <w:tc>
          <w:tcPr>
            <w:tcW w:w="1840" w:type="dxa"/>
            <w:tcBorders>
              <w:top w:val="nil"/>
              <w:left w:val="nil"/>
              <w:bottom w:val="single" w:color="auto" w:sz="4" w:space="0"/>
              <w:right w:val="single" w:color="auto" w:sz="4" w:space="0"/>
            </w:tcBorders>
            <w:shd w:val="clear" w:color="auto" w:fill="auto"/>
            <w:vAlign w:val="center"/>
          </w:tcPr>
          <w:p w14:paraId="147D605B">
            <w:pPr>
              <w:widowControl/>
              <w:rPr>
                <w:rFonts w:ascii="仿宋_GB2312"/>
                <w:color w:val="000000"/>
                <w:kern w:val="0"/>
                <w:sz w:val="20"/>
                <w:szCs w:val="20"/>
              </w:rPr>
            </w:pPr>
            <w:r>
              <w:rPr>
                <w:rFonts w:hint="eastAsia" w:ascii="仿宋_GB2312"/>
                <w:color w:val="000000"/>
                <w:kern w:val="0"/>
                <w:sz w:val="20"/>
                <w:szCs w:val="20"/>
              </w:rPr>
              <w:t>部门年度工作目标、部门职能</w:t>
            </w:r>
          </w:p>
        </w:tc>
      </w:tr>
      <w:tr w14:paraId="04379124">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000000" w:sz="4" w:space="0"/>
              <w:right w:val="single" w:color="auto" w:sz="4" w:space="0"/>
            </w:tcBorders>
            <w:vAlign w:val="center"/>
          </w:tcPr>
          <w:p w14:paraId="06D0BC4E">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7933EED4">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345B3FD7">
            <w:pPr>
              <w:widowControl/>
              <w:jc w:val="left"/>
              <w:rPr>
                <w:rFonts w:ascii="仿宋_GB2312"/>
                <w:color w:val="000000"/>
                <w:kern w:val="0"/>
                <w:sz w:val="20"/>
                <w:szCs w:val="20"/>
              </w:rPr>
            </w:pPr>
            <w:r>
              <w:rPr>
                <w:rFonts w:hint="eastAsia" w:ascii="仿宋_GB2312"/>
                <w:color w:val="000000"/>
                <w:kern w:val="0"/>
                <w:sz w:val="20"/>
                <w:szCs w:val="20"/>
              </w:rPr>
              <w:t>A23年度具体工作与部门职能的匹配性（4分）</w:t>
            </w:r>
          </w:p>
        </w:tc>
        <w:tc>
          <w:tcPr>
            <w:tcW w:w="680" w:type="dxa"/>
            <w:tcBorders>
              <w:top w:val="nil"/>
              <w:left w:val="nil"/>
              <w:bottom w:val="single" w:color="auto" w:sz="4" w:space="0"/>
              <w:right w:val="single" w:color="auto" w:sz="4" w:space="0"/>
            </w:tcBorders>
            <w:shd w:val="clear" w:color="auto" w:fill="auto"/>
            <w:vAlign w:val="center"/>
          </w:tcPr>
          <w:p w14:paraId="1BE35C04">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w:t>
            </w:r>
          </w:p>
        </w:tc>
        <w:tc>
          <w:tcPr>
            <w:tcW w:w="760" w:type="dxa"/>
            <w:tcBorders>
              <w:top w:val="nil"/>
              <w:left w:val="nil"/>
              <w:bottom w:val="single" w:color="auto" w:sz="4" w:space="0"/>
              <w:right w:val="single" w:color="auto" w:sz="4" w:space="0"/>
            </w:tcBorders>
            <w:shd w:val="clear" w:color="auto" w:fill="auto"/>
            <w:vAlign w:val="center"/>
          </w:tcPr>
          <w:p w14:paraId="0A931ADB">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w:t>
            </w:r>
          </w:p>
        </w:tc>
        <w:tc>
          <w:tcPr>
            <w:tcW w:w="3220" w:type="dxa"/>
            <w:tcBorders>
              <w:top w:val="nil"/>
              <w:left w:val="nil"/>
              <w:bottom w:val="single" w:color="auto" w:sz="4" w:space="0"/>
              <w:right w:val="single" w:color="auto" w:sz="4" w:space="0"/>
            </w:tcBorders>
            <w:shd w:val="clear" w:color="auto" w:fill="auto"/>
            <w:vAlign w:val="center"/>
          </w:tcPr>
          <w:p w14:paraId="68B21975">
            <w:pPr>
              <w:widowControl/>
              <w:rPr>
                <w:rFonts w:ascii="仿宋_GB2312"/>
                <w:color w:val="000000"/>
                <w:kern w:val="0"/>
                <w:sz w:val="20"/>
                <w:szCs w:val="20"/>
              </w:rPr>
            </w:pPr>
            <w:r>
              <w:rPr>
                <w:rFonts w:hint="eastAsia" w:ascii="仿宋_GB2312"/>
                <w:color w:val="000000"/>
                <w:kern w:val="0"/>
                <w:sz w:val="20"/>
                <w:szCs w:val="20"/>
              </w:rPr>
              <w:t>部门年度各类具体工作是否与部门职能相匹配。</w:t>
            </w:r>
          </w:p>
        </w:tc>
        <w:tc>
          <w:tcPr>
            <w:tcW w:w="3900" w:type="dxa"/>
            <w:tcBorders>
              <w:top w:val="nil"/>
              <w:left w:val="nil"/>
              <w:bottom w:val="single" w:color="auto" w:sz="4" w:space="0"/>
              <w:right w:val="single" w:color="auto" w:sz="4" w:space="0"/>
            </w:tcBorders>
            <w:shd w:val="clear" w:color="auto" w:fill="auto"/>
            <w:vAlign w:val="center"/>
          </w:tcPr>
          <w:p w14:paraId="13D56774">
            <w:pPr>
              <w:widowControl/>
              <w:rPr>
                <w:rFonts w:ascii="仿宋_GB2312"/>
                <w:color w:val="000000"/>
                <w:kern w:val="0"/>
                <w:sz w:val="20"/>
                <w:szCs w:val="20"/>
              </w:rPr>
            </w:pPr>
            <w:r>
              <w:rPr>
                <w:rFonts w:hint="eastAsia" w:ascii="仿宋_GB2312"/>
                <w:color w:val="000000"/>
                <w:kern w:val="0"/>
                <w:sz w:val="20"/>
                <w:szCs w:val="20"/>
              </w:rPr>
              <w:t>将部门年度具体工作与部门职能对应匹配，视匹配情况酌情得0-4分。</w:t>
            </w:r>
          </w:p>
        </w:tc>
        <w:tc>
          <w:tcPr>
            <w:tcW w:w="1840" w:type="dxa"/>
            <w:tcBorders>
              <w:top w:val="nil"/>
              <w:left w:val="nil"/>
              <w:bottom w:val="single" w:color="auto" w:sz="4" w:space="0"/>
              <w:right w:val="single" w:color="auto" w:sz="4" w:space="0"/>
            </w:tcBorders>
            <w:shd w:val="clear" w:color="auto" w:fill="auto"/>
            <w:vAlign w:val="center"/>
          </w:tcPr>
          <w:p w14:paraId="2EEF7786">
            <w:pPr>
              <w:widowControl/>
              <w:rPr>
                <w:rFonts w:ascii="仿宋_GB2312"/>
                <w:color w:val="000000"/>
                <w:kern w:val="0"/>
                <w:sz w:val="20"/>
                <w:szCs w:val="20"/>
              </w:rPr>
            </w:pPr>
            <w:r>
              <w:rPr>
                <w:rFonts w:hint="eastAsia" w:ascii="仿宋_GB2312"/>
                <w:color w:val="000000"/>
                <w:kern w:val="0"/>
                <w:sz w:val="20"/>
                <w:szCs w:val="20"/>
              </w:rPr>
              <w:t>部门年度各项具体工作，部门职能</w:t>
            </w:r>
          </w:p>
        </w:tc>
      </w:tr>
      <w:tr w14:paraId="5660E9B1">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000000" w:sz="4" w:space="0"/>
              <w:right w:val="single" w:color="auto" w:sz="4" w:space="0"/>
            </w:tcBorders>
            <w:vAlign w:val="center"/>
          </w:tcPr>
          <w:p w14:paraId="0902F268">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727600B3">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27D5257E">
            <w:pPr>
              <w:widowControl/>
              <w:jc w:val="left"/>
              <w:rPr>
                <w:rFonts w:ascii="仿宋_GB2312"/>
                <w:color w:val="000000"/>
                <w:kern w:val="0"/>
                <w:sz w:val="20"/>
                <w:szCs w:val="20"/>
              </w:rPr>
            </w:pPr>
            <w:r>
              <w:rPr>
                <w:rFonts w:hint="eastAsia" w:ascii="仿宋_GB2312"/>
                <w:color w:val="000000"/>
                <w:kern w:val="0"/>
                <w:sz w:val="20"/>
                <w:szCs w:val="20"/>
              </w:rPr>
              <w:t>A24部门内设科室及下属单位职责的明确性（1分）</w:t>
            </w:r>
          </w:p>
        </w:tc>
        <w:tc>
          <w:tcPr>
            <w:tcW w:w="680" w:type="dxa"/>
            <w:tcBorders>
              <w:top w:val="nil"/>
              <w:left w:val="nil"/>
              <w:bottom w:val="single" w:color="auto" w:sz="4" w:space="0"/>
              <w:right w:val="single" w:color="auto" w:sz="4" w:space="0"/>
            </w:tcBorders>
            <w:shd w:val="clear" w:color="auto" w:fill="auto"/>
            <w:vAlign w:val="center"/>
          </w:tcPr>
          <w:p w14:paraId="63B8B58F">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760" w:type="dxa"/>
            <w:tcBorders>
              <w:top w:val="nil"/>
              <w:left w:val="nil"/>
              <w:bottom w:val="single" w:color="auto" w:sz="4" w:space="0"/>
              <w:right w:val="single" w:color="auto" w:sz="4" w:space="0"/>
            </w:tcBorders>
            <w:shd w:val="clear" w:color="auto" w:fill="auto"/>
            <w:vAlign w:val="center"/>
          </w:tcPr>
          <w:p w14:paraId="2ACF18C3">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3220" w:type="dxa"/>
            <w:tcBorders>
              <w:top w:val="nil"/>
              <w:left w:val="nil"/>
              <w:bottom w:val="single" w:color="auto" w:sz="4" w:space="0"/>
              <w:right w:val="single" w:color="auto" w:sz="4" w:space="0"/>
            </w:tcBorders>
            <w:shd w:val="clear" w:color="auto" w:fill="auto"/>
            <w:vAlign w:val="center"/>
          </w:tcPr>
          <w:p w14:paraId="51E778A2">
            <w:pPr>
              <w:widowControl/>
              <w:rPr>
                <w:rFonts w:ascii="仿宋_GB2312"/>
                <w:color w:val="000000"/>
                <w:kern w:val="0"/>
                <w:sz w:val="20"/>
                <w:szCs w:val="20"/>
              </w:rPr>
            </w:pPr>
            <w:r>
              <w:rPr>
                <w:rFonts w:hint="eastAsia" w:ascii="仿宋_GB2312"/>
                <w:color w:val="000000"/>
                <w:kern w:val="0"/>
                <w:sz w:val="20"/>
                <w:szCs w:val="20"/>
              </w:rPr>
              <w:t>部门内设科室及下属单位具体职责是否明确</w:t>
            </w:r>
          </w:p>
        </w:tc>
        <w:tc>
          <w:tcPr>
            <w:tcW w:w="3900" w:type="dxa"/>
            <w:tcBorders>
              <w:top w:val="nil"/>
              <w:left w:val="nil"/>
              <w:bottom w:val="single" w:color="auto" w:sz="4" w:space="0"/>
              <w:right w:val="single" w:color="auto" w:sz="4" w:space="0"/>
            </w:tcBorders>
            <w:shd w:val="clear" w:color="auto" w:fill="auto"/>
            <w:vAlign w:val="center"/>
          </w:tcPr>
          <w:p w14:paraId="6434A8B1">
            <w:pPr>
              <w:widowControl/>
              <w:rPr>
                <w:rFonts w:ascii="仿宋_GB2312"/>
                <w:color w:val="000000"/>
                <w:kern w:val="0"/>
                <w:sz w:val="20"/>
                <w:szCs w:val="20"/>
              </w:rPr>
            </w:pPr>
            <w:r>
              <w:rPr>
                <w:rFonts w:hint="eastAsia" w:ascii="仿宋_GB2312"/>
                <w:color w:val="000000"/>
                <w:kern w:val="0"/>
                <w:sz w:val="20"/>
                <w:szCs w:val="20"/>
              </w:rPr>
              <w:t>①有职责文件制度规定部门各科（室）及下属单位具体职责，得0.5分；②具体职责明确，得0.5分。</w:t>
            </w:r>
          </w:p>
        </w:tc>
        <w:tc>
          <w:tcPr>
            <w:tcW w:w="1840" w:type="dxa"/>
            <w:tcBorders>
              <w:top w:val="nil"/>
              <w:left w:val="nil"/>
              <w:bottom w:val="single" w:color="auto" w:sz="4" w:space="0"/>
              <w:right w:val="single" w:color="auto" w:sz="4" w:space="0"/>
            </w:tcBorders>
            <w:shd w:val="clear" w:color="auto" w:fill="auto"/>
            <w:vAlign w:val="center"/>
          </w:tcPr>
          <w:p w14:paraId="0A47B073">
            <w:pPr>
              <w:widowControl/>
              <w:rPr>
                <w:rFonts w:ascii="仿宋_GB2312"/>
                <w:color w:val="000000"/>
                <w:kern w:val="0"/>
                <w:sz w:val="20"/>
                <w:szCs w:val="20"/>
              </w:rPr>
            </w:pPr>
            <w:r>
              <w:rPr>
                <w:rFonts w:hint="eastAsia" w:ascii="仿宋_GB2312"/>
                <w:color w:val="000000"/>
                <w:kern w:val="0"/>
                <w:sz w:val="20"/>
                <w:szCs w:val="20"/>
              </w:rPr>
              <w:t>内设科室及下属单位职责文件</w:t>
            </w:r>
          </w:p>
        </w:tc>
      </w:tr>
      <w:tr w14:paraId="5F66585C">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000000" w:sz="4" w:space="0"/>
              <w:right w:val="single" w:color="auto" w:sz="4" w:space="0"/>
            </w:tcBorders>
            <w:vAlign w:val="center"/>
          </w:tcPr>
          <w:p w14:paraId="0BC41B8A">
            <w:pPr>
              <w:widowControl/>
              <w:jc w:val="left"/>
              <w:rPr>
                <w:rFonts w:ascii="仿宋_GB2312"/>
                <w:b/>
                <w:bCs/>
                <w:color w:val="000000"/>
                <w:kern w:val="0"/>
                <w:sz w:val="20"/>
                <w:szCs w:val="20"/>
              </w:rPr>
            </w:pPr>
          </w:p>
        </w:tc>
        <w:tc>
          <w:tcPr>
            <w:tcW w:w="820" w:type="dxa"/>
            <w:vMerge w:val="restart"/>
            <w:tcBorders>
              <w:top w:val="nil"/>
              <w:left w:val="single" w:color="auto" w:sz="4" w:space="0"/>
              <w:bottom w:val="single" w:color="000000" w:sz="4" w:space="0"/>
              <w:right w:val="single" w:color="auto" w:sz="4" w:space="0"/>
            </w:tcBorders>
            <w:shd w:val="clear" w:color="auto" w:fill="auto"/>
            <w:vAlign w:val="center"/>
          </w:tcPr>
          <w:p w14:paraId="3B35BD6E">
            <w:pPr>
              <w:widowControl/>
              <w:jc w:val="center"/>
              <w:rPr>
                <w:rFonts w:ascii="仿宋_GB2312"/>
                <w:color w:val="000000"/>
                <w:kern w:val="0"/>
                <w:sz w:val="20"/>
                <w:szCs w:val="20"/>
              </w:rPr>
            </w:pPr>
            <w:r>
              <w:rPr>
                <w:rFonts w:hint="eastAsia" w:ascii="仿宋_GB2312"/>
                <w:color w:val="000000"/>
                <w:kern w:val="0"/>
                <w:sz w:val="20"/>
                <w:szCs w:val="20"/>
              </w:rPr>
              <w:t>A3资源配置（1</w:t>
            </w:r>
            <w:r>
              <w:rPr>
                <w:rFonts w:hint="eastAsia" w:ascii="仿宋_GB2312"/>
                <w:color w:val="000000"/>
                <w:kern w:val="0"/>
                <w:sz w:val="20"/>
                <w:szCs w:val="20"/>
                <w:lang w:val="en-US" w:eastAsia="zh-CN"/>
              </w:rPr>
              <w:t>4</w:t>
            </w:r>
            <w:r>
              <w:rPr>
                <w:rFonts w:hint="eastAsia" w:ascii="仿宋_GB2312"/>
                <w:color w:val="000000"/>
                <w:kern w:val="0"/>
                <w:sz w:val="20"/>
                <w:szCs w:val="20"/>
              </w:rPr>
              <w:t>分）</w:t>
            </w:r>
          </w:p>
        </w:tc>
        <w:tc>
          <w:tcPr>
            <w:tcW w:w="2040" w:type="dxa"/>
            <w:tcBorders>
              <w:top w:val="nil"/>
              <w:left w:val="nil"/>
              <w:bottom w:val="single" w:color="auto" w:sz="4" w:space="0"/>
              <w:right w:val="single" w:color="auto" w:sz="4" w:space="0"/>
            </w:tcBorders>
            <w:shd w:val="clear" w:color="000000" w:fill="FFFFFF"/>
            <w:vAlign w:val="center"/>
          </w:tcPr>
          <w:p w14:paraId="6C72F341">
            <w:pPr>
              <w:widowControl/>
              <w:jc w:val="left"/>
              <w:rPr>
                <w:rFonts w:ascii="仿宋_GB2312"/>
                <w:color w:val="000000"/>
                <w:kern w:val="0"/>
                <w:sz w:val="20"/>
                <w:szCs w:val="20"/>
              </w:rPr>
            </w:pPr>
            <w:r>
              <w:rPr>
                <w:rFonts w:hint="eastAsia" w:ascii="仿宋_GB2312"/>
                <w:color w:val="000000"/>
                <w:kern w:val="0"/>
                <w:sz w:val="20"/>
                <w:szCs w:val="20"/>
              </w:rPr>
              <w:t>A31基本支出预算合理性（2分）</w:t>
            </w:r>
          </w:p>
        </w:tc>
        <w:tc>
          <w:tcPr>
            <w:tcW w:w="680" w:type="dxa"/>
            <w:tcBorders>
              <w:top w:val="nil"/>
              <w:left w:val="nil"/>
              <w:bottom w:val="single" w:color="auto" w:sz="4" w:space="0"/>
              <w:right w:val="single" w:color="auto" w:sz="4" w:space="0"/>
            </w:tcBorders>
            <w:shd w:val="clear" w:color="auto" w:fill="auto"/>
            <w:vAlign w:val="center"/>
          </w:tcPr>
          <w:p w14:paraId="77235119">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760" w:type="dxa"/>
            <w:tcBorders>
              <w:top w:val="nil"/>
              <w:left w:val="nil"/>
              <w:bottom w:val="single" w:color="auto" w:sz="4" w:space="0"/>
              <w:right w:val="single" w:color="auto" w:sz="4" w:space="0"/>
            </w:tcBorders>
            <w:shd w:val="clear" w:color="auto" w:fill="auto"/>
            <w:vAlign w:val="center"/>
          </w:tcPr>
          <w:p w14:paraId="3157DEEA">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3220" w:type="dxa"/>
            <w:tcBorders>
              <w:top w:val="nil"/>
              <w:left w:val="nil"/>
              <w:bottom w:val="single" w:color="auto" w:sz="4" w:space="0"/>
              <w:right w:val="single" w:color="auto" w:sz="4" w:space="0"/>
            </w:tcBorders>
            <w:shd w:val="clear" w:color="auto" w:fill="auto"/>
            <w:vAlign w:val="center"/>
          </w:tcPr>
          <w:p w14:paraId="58C0A1AC">
            <w:pPr>
              <w:widowControl/>
              <w:rPr>
                <w:rFonts w:ascii="仿宋_GB2312"/>
                <w:color w:val="000000"/>
                <w:kern w:val="0"/>
                <w:sz w:val="20"/>
                <w:szCs w:val="20"/>
              </w:rPr>
            </w:pPr>
            <w:r>
              <w:rPr>
                <w:rFonts w:hint="eastAsia" w:ascii="仿宋_GB2312"/>
                <w:color w:val="000000"/>
                <w:kern w:val="0"/>
                <w:sz w:val="20"/>
                <w:szCs w:val="20"/>
              </w:rPr>
              <w:t>用以反映部门年度基本支出预算是否根据人员经费、公用经费标准进行合理编制。</w:t>
            </w:r>
          </w:p>
        </w:tc>
        <w:tc>
          <w:tcPr>
            <w:tcW w:w="3900" w:type="dxa"/>
            <w:tcBorders>
              <w:top w:val="nil"/>
              <w:left w:val="nil"/>
              <w:bottom w:val="single" w:color="auto" w:sz="4" w:space="0"/>
              <w:right w:val="single" w:color="auto" w:sz="4" w:space="0"/>
            </w:tcBorders>
            <w:shd w:val="clear" w:color="auto" w:fill="auto"/>
            <w:vAlign w:val="center"/>
          </w:tcPr>
          <w:p w14:paraId="39A15F21">
            <w:pPr>
              <w:widowControl/>
              <w:rPr>
                <w:rFonts w:ascii="仿宋_GB2312"/>
                <w:color w:val="000000"/>
                <w:kern w:val="0"/>
                <w:sz w:val="20"/>
                <w:szCs w:val="20"/>
              </w:rPr>
            </w:pPr>
            <w:r>
              <w:rPr>
                <w:rFonts w:hint="eastAsia" w:ascii="仿宋_GB2312"/>
                <w:color w:val="000000"/>
                <w:kern w:val="0"/>
                <w:sz w:val="20"/>
                <w:szCs w:val="20"/>
              </w:rPr>
              <w:t>①如实核定人员基数，得1分；②根据基本预算标准进行编制，得1分。</w:t>
            </w:r>
          </w:p>
        </w:tc>
        <w:tc>
          <w:tcPr>
            <w:tcW w:w="1840" w:type="dxa"/>
            <w:tcBorders>
              <w:top w:val="nil"/>
              <w:left w:val="nil"/>
              <w:bottom w:val="single" w:color="auto" w:sz="4" w:space="0"/>
              <w:right w:val="single" w:color="auto" w:sz="4" w:space="0"/>
            </w:tcBorders>
            <w:shd w:val="clear" w:color="auto" w:fill="auto"/>
            <w:vAlign w:val="center"/>
          </w:tcPr>
          <w:p w14:paraId="36580955">
            <w:pPr>
              <w:widowControl/>
              <w:rPr>
                <w:rFonts w:ascii="仿宋_GB2312"/>
                <w:color w:val="000000"/>
                <w:kern w:val="0"/>
                <w:sz w:val="20"/>
                <w:szCs w:val="20"/>
              </w:rPr>
            </w:pPr>
            <w:r>
              <w:rPr>
                <w:rFonts w:hint="eastAsia" w:ascii="仿宋_GB2312"/>
                <w:color w:val="000000"/>
                <w:kern w:val="0"/>
                <w:sz w:val="20"/>
                <w:szCs w:val="20"/>
              </w:rPr>
              <w:t>部门基本支出预算标准、基本支出预算</w:t>
            </w:r>
          </w:p>
        </w:tc>
      </w:tr>
      <w:tr w14:paraId="16429819">
        <w:tblPrEx>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000000" w:sz="4" w:space="0"/>
              <w:right w:val="single" w:color="auto" w:sz="4" w:space="0"/>
            </w:tcBorders>
            <w:vAlign w:val="center"/>
          </w:tcPr>
          <w:p w14:paraId="5B143B4C">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5AE5A8E5">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2E8F76BB">
            <w:pPr>
              <w:widowControl/>
              <w:jc w:val="left"/>
              <w:rPr>
                <w:rFonts w:ascii="仿宋_GB2312"/>
                <w:color w:val="000000"/>
                <w:kern w:val="0"/>
                <w:sz w:val="20"/>
                <w:szCs w:val="20"/>
              </w:rPr>
            </w:pPr>
            <w:r>
              <w:rPr>
                <w:rFonts w:hint="eastAsia" w:ascii="仿宋_GB2312"/>
                <w:color w:val="000000"/>
                <w:kern w:val="0"/>
                <w:sz w:val="20"/>
                <w:szCs w:val="20"/>
              </w:rPr>
              <w:t>A32项目支出预算合理性（4分）</w:t>
            </w:r>
          </w:p>
        </w:tc>
        <w:tc>
          <w:tcPr>
            <w:tcW w:w="680" w:type="dxa"/>
            <w:tcBorders>
              <w:top w:val="nil"/>
              <w:left w:val="nil"/>
              <w:bottom w:val="single" w:color="auto" w:sz="4" w:space="0"/>
              <w:right w:val="single" w:color="auto" w:sz="4" w:space="0"/>
            </w:tcBorders>
            <w:shd w:val="clear" w:color="auto" w:fill="auto"/>
            <w:vAlign w:val="center"/>
          </w:tcPr>
          <w:p w14:paraId="5663F307">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w:t>
            </w:r>
          </w:p>
        </w:tc>
        <w:tc>
          <w:tcPr>
            <w:tcW w:w="760" w:type="dxa"/>
            <w:tcBorders>
              <w:top w:val="nil"/>
              <w:left w:val="nil"/>
              <w:bottom w:val="single" w:color="auto" w:sz="4" w:space="0"/>
              <w:right w:val="single" w:color="auto" w:sz="4" w:space="0"/>
            </w:tcBorders>
            <w:shd w:val="clear" w:color="auto" w:fill="auto"/>
            <w:vAlign w:val="center"/>
          </w:tcPr>
          <w:p w14:paraId="5ADDD28E">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w:t>
            </w:r>
          </w:p>
        </w:tc>
        <w:tc>
          <w:tcPr>
            <w:tcW w:w="3220" w:type="dxa"/>
            <w:tcBorders>
              <w:top w:val="nil"/>
              <w:left w:val="nil"/>
              <w:bottom w:val="single" w:color="auto" w:sz="4" w:space="0"/>
              <w:right w:val="single" w:color="auto" w:sz="4" w:space="0"/>
            </w:tcBorders>
            <w:shd w:val="clear" w:color="auto" w:fill="auto"/>
            <w:vAlign w:val="center"/>
          </w:tcPr>
          <w:p w14:paraId="39456237">
            <w:pPr>
              <w:widowControl/>
              <w:rPr>
                <w:rFonts w:ascii="仿宋_GB2312"/>
                <w:color w:val="000000"/>
                <w:kern w:val="0"/>
                <w:sz w:val="20"/>
                <w:szCs w:val="20"/>
              </w:rPr>
            </w:pPr>
            <w:r>
              <w:rPr>
                <w:rFonts w:hint="eastAsia" w:ascii="仿宋_GB2312"/>
                <w:color w:val="000000"/>
                <w:kern w:val="0"/>
                <w:sz w:val="20"/>
                <w:szCs w:val="20"/>
              </w:rPr>
              <w:t>用以反映部门年度项目支出预算程序、预算依据、适用范围的合理性。</w:t>
            </w:r>
          </w:p>
        </w:tc>
        <w:tc>
          <w:tcPr>
            <w:tcW w:w="3900" w:type="dxa"/>
            <w:tcBorders>
              <w:top w:val="nil"/>
              <w:left w:val="nil"/>
              <w:bottom w:val="single" w:color="auto" w:sz="4" w:space="0"/>
              <w:right w:val="single" w:color="auto" w:sz="4" w:space="0"/>
            </w:tcBorders>
            <w:shd w:val="clear" w:color="auto" w:fill="auto"/>
            <w:vAlign w:val="center"/>
          </w:tcPr>
          <w:p w14:paraId="53A601D7">
            <w:pPr>
              <w:widowControl/>
              <w:rPr>
                <w:rFonts w:ascii="仿宋_GB2312"/>
                <w:color w:val="000000"/>
                <w:kern w:val="0"/>
                <w:sz w:val="20"/>
                <w:szCs w:val="20"/>
              </w:rPr>
            </w:pPr>
            <w:r>
              <w:rPr>
                <w:rFonts w:hint="eastAsia" w:ascii="仿宋_GB2312"/>
                <w:color w:val="000000"/>
                <w:kern w:val="0"/>
                <w:sz w:val="20"/>
                <w:szCs w:val="20"/>
              </w:rPr>
              <w:t>①预算程序合理，得1分；②预算依据充分，得2分；③符合资金使用范围，得1分。</w:t>
            </w:r>
          </w:p>
        </w:tc>
        <w:tc>
          <w:tcPr>
            <w:tcW w:w="1840" w:type="dxa"/>
            <w:tcBorders>
              <w:top w:val="nil"/>
              <w:left w:val="nil"/>
              <w:bottom w:val="single" w:color="auto" w:sz="4" w:space="0"/>
              <w:right w:val="single" w:color="auto" w:sz="4" w:space="0"/>
            </w:tcBorders>
            <w:shd w:val="clear" w:color="auto" w:fill="auto"/>
            <w:vAlign w:val="center"/>
          </w:tcPr>
          <w:p w14:paraId="750BC180">
            <w:pPr>
              <w:widowControl/>
              <w:rPr>
                <w:rFonts w:ascii="仿宋_GB2312"/>
                <w:color w:val="000000"/>
                <w:kern w:val="0"/>
                <w:sz w:val="20"/>
                <w:szCs w:val="20"/>
              </w:rPr>
            </w:pPr>
            <w:r>
              <w:rPr>
                <w:rFonts w:hint="eastAsia" w:ascii="仿宋_GB2312"/>
                <w:color w:val="000000"/>
                <w:kern w:val="0"/>
                <w:sz w:val="20"/>
                <w:szCs w:val="20"/>
              </w:rPr>
              <w:t>部门项目支出预算编制详细资料，访谈、文件梳理等、其他资料</w:t>
            </w:r>
          </w:p>
        </w:tc>
      </w:tr>
      <w:tr w14:paraId="2429073D">
        <w:tblPrEx>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000000" w:sz="4" w:space="0"/>
              <w:right w:val="single" w:color="auto" w:sz="4" w:space="0"/>
            </w:tcBorders>
            <w:vAlign w:val="center"/>
          </w:tcPr>
          <w:p w14:paraId="16FA32FA">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77E84F28">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64E17034">
            <w:pPr>
              <w:widowControl/>
              <w:jc w:val="left"/>
              <w:rPr>
                <w:rFonts w:ascii="仿宋_GB2312"/>
                <w:color w:val="000000"/>
                <w:kern w:val="0"/>
                <w:sz w:val="20"/>
                <w:szCs w:val="20"/>
              </w:rPr>
            </w:pPr>
            <w:r>
              <w:rPr>
                <w:rFonts w:hint="eastAsia" w:ascii="仿宋_GB2312"/>
                <w:color w:val="000000"/>
                <w:kern w:val="0"/>
                <w:sz w:val="20"/>
                <w:szCs w:val="20"/>
              </w:rPr>
              <w:t>A33人力资源投入合理性（2分）</w:t>
            </w:r>
          </w:p>
        </w:tc>
        <w:tc>
          <w:tcPr>
            <w:tcW w:w="680" w:type="dxa"/>
            <w:tcBorders>
              <w:top w:val="nil"/>
              <w:left w:val="nil"/>
              <w:bottom w:val="single" w:color="auto" w:sz="4" w:space="0"/>
              <w:right w:val="single" w:color="auto" w:sz="4" w:space="0"/>
            </w:tcBorders>
            <w:shd w:val="clear" w:color="auto" w:fill="auto"/>
            <w:vAlign w:val="center"/>
          </w:tcPr>
          <w:p w14:paraId="33D603A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760" w:type="dxa"/>
            <w:tcBorders>
              <w:top w:val="nil"/>
              <w:left w:val="nil"/>
              <w:bottom w:val="single" w:color="auto" w:sz="4" w:space="0"/>
              <w:right w:val="single" w:color="auto" w:sz="4" w:space="0"/>
            </w:tcBorders>
            <w:shd w:val="clear" w:color="auto" w:fill="auto"/>
            <w:vAlign w:val="center"/>
          </w:tcPr>
          <w:p w14:paraId="57742A2A">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3220" w:type="dxa"/>
            <w:tcBorders>
              <w:top w:val="nil"/>
              <w:left w:val="nil"/>
              <w:bottom w:val="single" w:color="auto" w:sz="4" w:space="0"/>
              <w:right w:val="single" w:color="auto" w:sz="4" w:space="0"/>
            </w:tcBorders>
            <w:shd w:val="clear" w:color="auto" w:fill="auto"/>
            <w:vAlign w:val="center"/>
          </w:tcPr>
          <w:p w14:paraId="12DBDB35">
            <w:pPr>
              <w:widowControl/>
              <w:rPr>
                <w:rFonts w:ascii="仿宋_GB2312"/>
                <w:color w:val="000000"/>
                <w:kern w:val="0"/>
                <w:sz w:val="20"/>
                <w:szCs w:val="20"/>
              </w:rPr>
            </w:pPr>
            <w:r>
              <w:rPr>
                <w:rFonts w:hint="eastAsia" w:ascii="仿宋_GB2312"/>
                <w:color w:val="000000"/>
                <w:kern w:val="0"/>
                <w:sz w:val="20"/>
                <w:szCs w:val="20"/>
              </w:rPr>
              <w:t>用以反映部门核定人员的编制与部门工作内容的合理性</w:t>
            </w:r>
          </w:p>
        </w:tc>
        <w:tc>
          <w:tcPr>
            <w:tcW w:w="3900" w:type="dxa"/>
            <w:tcBorders>
              <w:top w:val="nil"/>
              <w:left w:val="nil"/>
              <w:bottom w:val="single" w:color="auto" w:sz="4" w:space="0"/>
              <w:right w:val="single" w:color="auto" w:sz="4" w:space="0"/>
            </w:tcBorders>
            <w:shd w:val="clear" w:color="auto" w:fill="auto"/>
            <w:vAlign w:val="center"/>
          </w:tcPr>
          <w:p w14:paraId="085A1B54">
            <w:pPr>
              <w:widowControl/>
              <w:rPr>
                <w:rFonts w:ascii="仿宋_GB2312"/>
                <w:color w:val="000000"/>
                <w:kern w:val="0"/>
                <w:sz w:val="20"/>
                <w:szCs w:val="20"/>
              </w:rPr>
            </w:pPr>
            <w:r>
              <w:rPr>
                <w:rFonts w:hint="eastAsia" w:ascii="仿宋_GB2312"/>
                <w:color w:val="000000"/>
                <w:kern w:val="0"/>
                <w:sz w:val="20"/>
                <w:szCs w:val="20"/>
              </w:rPr>
              <w:t>通过问卷及访谈调研,分析人员的工作量和工作时长，视匹配情况得0-2分。</w:t>
            </w:r>
          </w:p>
        </w:tc>
        <w:tc>
          <w:tcPr>
            <w:tcW w:w="1840" w:type="dxa"/>
            <w:tcBorders>
              <w:top w:val="nil"/>
              <w:left w:val="nil"/>
              <w:bottom w:val="single" w:color="auto" w:sz="4" w:space="0"/>
              <w:right w:val="single" w:color="auto" w:sz="4" w:space="0"/>
            </w:tcBorders>
            <w:shd w:val="clear" w:color="auto" w:fill="auto"/>
            <w:vAlign w:val="center"/>
          </w:tcPr>
          <w:p w14:paraId="14111014">
            <w:pPr>
              <w:widowControl/>
              <w:rPr>
                <w:rFonts w:ascii="仿宋_GB2312"/>
                <w:color w:val="000000"/>
                <w:kern w:val="0"/>
                <w:sz w:val="20"/>
                <w:szCs w:val="20"/>
              </w:rPr>
            </w:pPr>
            <w:r>
              <w:rPr>
                <w:rFonts w:hint="eastAsia" w:ascii="仿宋_GB2312"/>
                <w:color w:val="000000"/>
                <w:kern w:val="0"/>
                <w:sz w:val="20"/>
                <w:szCs w:val="20"/>
              </w:rPr>
              <w:t>人员编制文件、调研</w:t>
            </w:r>
          </w:p>
        </w:tc>
      </w:tr>
      <w:tr w14:paraId="7C3C283D">
        <w:tblPrEx>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single" w:color="000000" w:sz="4" w:space="0"/>
              <w:right w:val="single" w:color="auto" w:sz="4" w:space="0"/>
            </w:tcBorders>
            <w:vAlign w:val="center"/>
          </w:tcPr>
          <w:p w14:paraId="2BB4074C">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35ADFB70">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5F257249">
            <w:pPr>
              <w:widowControl/>
              <w:jc w:val="left"/>
              <w:rPr>
                <w:rFonts w:ascii="仿宋_GB2312"/>
                <w:color w:val="000000"/>
                <w:kern w:val="0"/>
                <w:sz w:val="20"/>
                <w:szCs w:val="20"/>
              </w:rPr>
            </w:pPr>
            <w:r>
              <w:rPr>
                <w:rFonts w:hint="eastAsia" w:ascii="仿宋_GB2312"/>
                <w:color w:val="000000"/>
                <w:kern w:val="0"/>
                <w:sz w:val="20"/>
                <w:szCs w:val="20"/>
              </w:rPr>
              <w:t>A34办公资源投入合理性（2分）</w:t>
            </w:r>
          </w:p>
        </w:tc>
        <w:tc>
          <w:tcPr>
            <w:tcW w:w="680" w:type="dxa"/>
            <w:tcBorders>
              <w:top w:val="nil"/>
              <w:left w:val="nil"/>
              <w:bottom w:val="single" w:color="auto" w:sz="4" w:space="0"/>
              <w:right w:val="single" w:color="auto" w:sz="4" w:space="0"/>
            </w:tcBorders>
            <w:shd w:val="clear" w:color="auto" w:fill="auto"/>
            <w:vAlign w:val="center"/>
          </w:tcPr>
          <w:p w14:paraId="359E7A45">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760" w:type="dxa"/>
            <w:tcBorders>
              <w:top w:val="nil"/>
              <w:left w:val="nil"/>
              <w:bottom w:val="single" w:color="auto" w:sz="4" w:space="0"/>
              <w:right w:val="single" w:color="auto" w:sz="4" w:space="0"/>
            </w:tcBorders>
            <w:shd w:val="clear" w:color="auto" w:fill="auto"/>
            <w:vAlign w:val="center"/>
          </w:tcPr>
          <w:p w14:paraId="325C711D">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3220" w:type="dxa"/>
            <w:tcBorders>
              <w:top w:val="nil"/>
              <w:left w:val="nil"/>
              <w:bottom w:val="single" w:color="auto" w:sz="4" w:space="0"/>
              <w:right w:val="single" w:color="auto" w:sz="4" w:space="0"/>
            </w:tcBorders>
            <w:shd w:val="clear" w:color="auto" w:fill="auto"/>
            <w:vAlign w:val="center"/>
          </w:tcPr>
          <w:p w14:paraId="32F56D99">
            <w:pPr>
              <w:widowControl/>
              <w:rPr>
                <w:rFonts w:ascii="仿宋_GB2312"/>
                <w:color w:val="000000"/>
                <w:kern w:val="0"/>
                <w:sz w:val="20"/>
                <w:szCs w:val="20"/>
              </w:rPr>
            </w:pPr>
            <w:r>
              <w:rPr>
                <w:rFonts w:hint="eastAsia" w:ascii="仿宋_GB2312"/>
                <w:color w:val="000000"/>
                <w:kern w:val="0"/>
                <w:sz w:val="20"/>
                <w:szCs w:val="20"/>
              </w:rPr>
              <w:t>用以反映部门现有办公资源能否满足部门日常工作需求</w:t>
            </w:r>
          </w:p>
        </w:tc>
        <w:tc>
          <w:tcPr>
            <w:tcW w:w="3900" w:type="dxa"/>
            <w:tcBorders>
              <w:top w:val="nil"/>
              <w:left w:val="nil"/>
              <w:bottom w:val="single" w:color="auto" w:sz="4" w:space="0"/>
              <w:right w:val="single" w:color="auto" w:sz="4" w:space="0"/>
            </w:tcBorders>
            <w:shd w:val="clear" w:color="auto" w:fill="auto"/>
            <w:vAlign w:val="center"/>
          </w:tcPr>
          <w:p w14:paraId="5260EBEA">
            <w:pPr>
              <w:widowControl/>
              <w:rPr>
                <w:rFonts w:ascii="仿宋_GB2312"/>
                <w:color w:val="000000"/>
                <w:kern w:val="0"/>
                <w:sz w:val="20"/>
                <w:szCs w:val="20"/>
              </w:rPr>
            </w:pPr>
            <w:r>
              <w:rPr>
                <w:rFonts w:hint="eastAsia" w:ascii="仿宋_GB2312"/>
                <w:color w:val="000000"/>
                <w:kern w:val="0"/>
                <w:sz w:val="20"/>
                <w:szCs w:val="20"/>
              </w:rPr>
              <w:t>①办公资源经费保障充足，得1分；②办公资源配置合理，得1分。</w:t>
            </w:r>
          </w:p>
        </w:tc>
        <w:tc>
          <w:tcPr>
            <w:tcW w:w="1840" w:type="dxa"/>
            <w:tcBorders>
              <w:top w:val="nil"/>
              <w:left w:val="nil"/>
              <w:bottom w:val="single" w:color="auto" w:sz="4" w:space="0"/>
              <w:right w:val="single" w:color="auto" w:sz="4" w:space="0"/>
            </w:tcBorders>
            <w:shd w:val="clear" w:color="auto" w:fill="auto"/>
            <w:vAlign w:val="center"/>
          </w:tcPr>
          <w:p w14:paraId="1377FD80">
            <w:pPr>
              <w:widowControl/>
              <w:rPr>
                <w:rFonts w:ascii="仿宋_GB2312"/>
                <w:color w:val="000000"/>
                <w:kern w:val="0"/>
                <w:sz w:val="20"/>
                <w:szCs w:val="20"/>
              </w:rPr>
            </w:pPr>
            <w:r>
              <w:rPr>
                <w:rFonts w:hint="eastAsia" w:ascii="仿宋_GB2312"/>
                <w:color w:val="000000"/>
                <w:kern w:val="0"/>
                <w:sz w:val="20"/>
                <w:szCs w:val="20"/>
              </w:rPr>
              <w:t>部门办公资源配置情况、调研等资料</w:t>
            </w:r>
          </w:p>
        </w:tc>
      </w:tr>
      <w:tr w14:paraId="41EC0B01">
        <w:tblPrEx>
          <w:tblCellMar>
            <w:top w:w="0" w:type="dxa"/>
            <w:left w:w="108" w:type="dxa"/>
            <w:bottom w:w="0" w:type="dxa"/>
            <w:right w:w="108" w:type="dxa"/>
          </w:tblCellMar>
        </w:tblPrEx>
        <w:trPr>
          <w:trHeight w:val="1440" w:hRule="atLeast"/>
        </w:trPr>
        <w:tc>
          <w:tcPr>
            <w:tcW w:w="740" w:type="dxa"/>
            <w:vMerge w:val="continue"/>
            <w:tcBorders>
              <w:top w:val="nil"/>
              <w:left w:val="single" w:color="auto" w:sz="4" w:space="0"/>
              <w:bottom w:val="single" w:color="000000" w:sz="4" w:space="0"/>
              <w:right w:val="single" w:color="auto" w:sz="4" w:space="0"/>
            </w:tcBorders>
            <w:vAlign w:val="center"/>
          </w:tcPr>
          <w:p w14:paraId="42E78924">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654D7389">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0AE2D4E9">
            <w:pPr>
              <w:widowControl/>
              <w:jc w:val="left"/>
              <w:rPr>
                <w:rFonts w:ascii="仿宋_GB2312"/>
                <w:color w:val="000000"/>
                <w:kern w:val="0"/>
                <w:sz w:val="20"/>
                <w:szCs w:val="20"/>
              </w:rPr>
            </w:pPr>
            <w:r>
              <w:rPr>
                <w:rFonts w:hint="eastAsia" w:ascii="仿宋_GB2312"/>
                <w:color w:val="000000"/>
                <w:kern w:val="0"/>
                <w:sz w:val="20"/>
                <w:szCs w:val="20"/>
              </w:rPr>
              <w:t>A35重点项目资源分配合理性（3分）</w:t>
            </w:r>
          </w:p>
        </w:tc>
        <w:tc>
          <w:tcPr>
            <w:tcW w:w="680" w:type="dxa"/>
            <w:tcBorders>
              <w:top w:val="nil"/>
              <w:left w:val="nil"/>
              <w:bottom w:val="single" w:color="auto" w:sz="4" w:space="0"/>
              <w:right w:val="single" w:color="auto" w:sz="4" w:space="0"/>
            </w:tcBorders>
            <w:shd w:val="clear" w:color="auto" w:fill="auto"/>
            <w:vAlign w:val="center"/>
          </w:tcPr>
          <w:p w14:paraId="7332B358">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760" w:type="dxa"/>
            <w:tcBorders>
              <w:top w:val="nil"/>
              <w:left w:val="nil"/>
              <w:bottom w:val="single" w:color="auto" w:sz="4" w:space="0"/>
              <w:right w:val="single" w:color="auto" w:sz="4" w:space="0"/>
            </w:tcBorders>
            <w:shd w:val="clear" w:color="auto" w:fill="auto"/>
            <w:vAlign w:val="center"/>
          </w:tcPr>
          <w:p w14:paraId="3705AA0A">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3220" w:type="dxa"/>
            <w:tcBorders>
              <w:top w:val="nil"/>
              <w:left w:val="nil"/>
              <w:bottom w:val="single" w:color="auto" w:sz="4" w:space="0"/>
              <w:right w:val="single" w:color="auto" w:sz="4" w:space="0"/>
            </w:tcBorders>
            <w:shd w:val="clear" w:color="auto" w:fill="auto"/>
            <w:vAlign w:val="center"/>
          </w:tcPr>
          <w:p w14:paraId="41FE4B3A">
            <w:pPr>
              <w:widowControl/>
              <w:rPr>
                <w:rFonts w:ascii="仿宋_GB2312"/>
                <w:color w:val="000000"/>
                <w:kern w:val="0"/>
                <w:sz w:val="20"/>
                <w:szCs w:val="20"/>
              </w:rPr>
            </w:pPr>
            <w:r>
              <w:rPr>
                <w:rFonts w:hint="eastAsia" w:ascii="仿宋_GB2312"/>
                <w:color w:val="000000"/>
                <w:kern w:val="0"/>
                <w:sz w:val="20"/>
                <w:szCs w:val="20"/>
              </w:rPr>
              <w:t>部门本年度预算安排的重点项目支出与部门项目总支出的比率，用以反映和考核部门对履行主要职责或完成重点任务的保障程度。</w:t>
            </w:r>
          </w:p>
        </w:tc>
        <w:tc>
          <w:tcPr>
            <w:tcW w:w="3900" w:type="dxa"/>
            <w:tcBorders>
              <w:top w:val="nil"/>
              <w:left w:val="nil"/>
              <w:bottom w:val="single" w:color="auto" w:sz="4" w:space="0"/>
              <w:right w:val="single" w:color="auto" w:sz="4" w:space="0"/>
            </w:tcBorders>
            <w:shd w:val="clear" w:color="auto" w:fill="auto"/>
            <w:vAlign w:val="center"/>
          </w:tcPr>
          <w:p w14:paraId="4B61B0BC">
            <w:pPr>
              <w:widowControl/>
              <w:rPr>
                <w:rFonts w:ascii="仿宋_GB2312"/>
                <w:color w:val="000000"/>
                <w:kern w:val="0"/>
                <w:sz w:val="20"/>
                <w:szCs w:val="20"/>
              </w:rPr>
            </w:pPr>
            <w:r>
              <w:rPr>
                <w:rFonts w:hint="eastAsia" w:ascii="仿宋_GB2312"/>
                <w:color w:val="000000"/>
                <w:kern w:val="0"/>
                <w:sz w:val="20"/>
                <w:szCs w:val="20"/>
              </w:rPr>
              <w:t>根据重点项目资源分配，对重点项目完成实施的保障程度进行评分。能够保障重点项目顺利实施、全面完成当年工作目标任务的得满分，每有一项重点项目因资金不足无法完成，按权重（3分）的1/3扣分，扣完为止。</w:t>
            </w:r>
          </w:p>
        </w:tc>
        <w:tc>
          <w:tcPr>
            <w:tcW w:w="1840" w:type="dxa"/>
            <w:tcBorders>
              <w:top w:val="nil"/>
              <w:left w:val="nil"/>
              <w:bottom w:val="single" w:color="auto" w:sz="4" w:space="0"/>
              <w:right w:val="single" w:color="auto" w:sz="4" w:space="0"/>
            </w:tcBorders>
            <w:shd w:val="clear" w:color="auto" w:fill="auto"/>
            <w:vAlign w:val="center"/>
          </w:tcPr>
          <w:p w14:paraId="75837839">
            <w:pPr>
              <w:widowControl/>
              <w:rPr>
                <w:rFonts w:ascii="仿宋_GB2312"/>
                <w:color w:val="000000"/>
                <w:kern w:val="0"/>
                <w:sz w:val="20"/>
                <w:szCs w:val="20"/>
              </w:rPr>
            </w:pPr>
            <w:r>
              <w:rPr>
                <w:rFonts w:hint="eastAsia" w:ascii="仿宋_GB2312"/>
                <w:color w:val="000000"/>
                <w:kern w:val="0"/>
                <w:sz w:val="20"/>
                <w:szCs w:val="20"/>
              </w:rPr>
              <w:t>重点项目相关资料</w:t>
            </w:r>
          </w:p>
        </w:tc>
      </w:tr>
      <w:tr w14:paraId="2EF85D94">
        <w:tblPrEx>
          <w:tblCellMar>
            <w:top w:w="0" w:type="dxa"/>
            <w:left w:w="108" w:type="dxa"/>
            <w:bottom w:w="0" w:type="dxa"/>
            <w:right w:w="108" w:type="dxa"/>
          </w:tblCellMar>
        </w:tblPrEx>
        <w:trPr>
          <w:trHeight w:val="168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64ECA636">
            <w:pPr>
              <w:widowControl/>
              <w:jc w:val="center"/>
              <w:rPr>
                <w:rFonts w:ascii="仿宋_GB2312"/>
                <w:b/>
                <w:bCs/>
                <w:color w:val="000000"/>
                <w:kern w:val="0"/>
                <w:sz w:val="20"/>
                <w:szCs w:val="20"/>
              </w:rPr>
            </w:pPr>
            <w:r>
              <w:rPr>
                <w:rFonts w:hint="eastAsia" w:ascii="仿宋_GB2312"/>
                <w:b/>
                <w:bCs/>
                <w:color w:val="000000"/>
                <w:kern w:val="0"/>
                <w:sz w:val="20"/>
                <w:szCs w:val="20"/>
              </w:rPr>
              <w:t>B部门管理（20分）</w:t>
            </w:r>
          </w:p>
        </w:tc>
        <w:tc>
          <w:tcPr>
            <w:tcW w:w="820" w:type="dxa"/>
            <w:vMerge w:val="restart"/>
            <w:tcBorders>
              <w:top w:val="nil"/>
              <w:left w:val="single" w:color="auto" w:sz="4" w:space="0"/>
              <w:bottom w:val="single" w:color="000000" w:sz="4" w:space="0"/>
              <w:right w:val="single" w:color="auto" w:sz="4" w:space="0"/>
            </w:tcBorders>
            <w:shd w:val="clear" w:color="auto" w:fill="auto"/>
            <w:vAlign w:val="center"/>
          </w:tcPr>
          <w:p w14:paraId="6EF1A306">
            <w:pPr>
              <w:widowControl/>
              <w:jc w:val="center"/>
              <w:rPr>
                <w:rFonts w:ascii="仿宋_GB2312"/>
                <w:color w:val="000000"/>
                <w:kern w:val="0"/>
                <w:sz w:val="20"/>
                <w:szCs w:val="20"/>
              </w:rPr>
            </w:pPr>
            <w:r>
              <w:rPr>
                <w:rFonts w:hint="eastAsia" w:ascii="仿宋_GB2312"/>
                <w:color w:val="000000"/>
                <w:kern w:val="0"/>
                <w:sz w:val="20"/>
                <w:szCs w:val="20"/>
              </w:rPr>
              <w:t>B1预算管理（7分）</w:t>
            </w:r>
          </w:p>
        </w:tc>
        <w:tc>
          <w:tcPr>
            <w:tcW w:w="2040" w:type="dxa"/>
            <w:tcBorders>
              <w:top w:val="nil"/>
              <w:left w:val="nil"/>
              <w:bottom w:val="single" w:color="auto" w:sz="4" w:space="0"/>
              <w:right w:val="single" w:color="auto" w:sz="4" w:space="0"/>
            </w:tcBorders>
            <w:shd w:val="clear" w:color="000000" w:fill="FFFFFF"/>
            <w:vAlign w:val="center"/>
          </w:tcPr>
          <w:p w14:paraId="2F50D9F6">
            <w:pPr>
              <w:widowControl/>
              <w:jc w:val="left"/>
              <w:rPr>
                <w:rFonts w:ascii="仿宋_GB2312"/>
                <w:color w:val="000000"/>
                <w:kern w:val="0"/>
                <w:sz w:val="20"/>
                <w:szCs w:val="20"/>
              </w:rPr>
            </w:pPr>
            <w:r>
              <w:rPr>
                <w:rFonts w:hint="eastAsia" w:ascii="仿宋_GB2312"/>
                <w:color w:val="000000"/>
                <w:kern w:val="0"/>
                <w:sz w:val="20"/>
                <w:szCs w:val="20"/>
              </w:rPr>
              <w:t>B11基本支出预算执行率（1分）</w:t>
            </w:r>
          </w:p>
        </w:tc>
        <w:tc>
          <w:tcPr>
            <w:tcW w:w="680" w:type="dxa"/>
            <w:tcBorders>
              <w:top w:val="nil"/>
              <w:left w:val="nil"/>
              <w:bottom w:val="single" w:color="auto" w:sz="4" w:space="0"/>
              <w:right w:val="single" w:color="auto" w:sz="4" w:space="0"/>
            </w:tcBorders>
            <w:shd w:val="clear" w:color="auto" w:fill="auto"/>
            <w:vAlign w:val="center"/>
          </w:tcPr>
          <w:p w14:paraId="0EDD6ABE">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760" w:type="dxa"/>
            <w:tcBorders>
              <w:top w:val="nil"/>
              <w:left w:val="nil"/>
              <w:bottom w:val="single" w:color="auto" w:sz="4" w:space="0"/>
              <w:right w:val="single" w:color="auto" w:sz="4" w:space="0"/>
            </w:tcBorders>
            <w:shd w:val="clear" w:color="auto" w:fill="auto"/>
            <w:vAlign w:val="center"/>
          </w:tcPr>
          <w:p w14:paraId="69D695BB">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3220" w:type="dxa"/>
            <w:tcBorders>
              <w:top w:val="nil"/>
              <w:left w:val="nil"/>
              <w:bottom w:val="single" w:color="auto" w:sz="4" w:space="0"/>
              <w:right w:val="single" w:color="auto" w:sz="4" w:space="0"/>
            </w:tcBorders>
            <w:shd w:val="clear" w:color="auto" w:fill="auto"/>
            <w:vAlign w:val="center"/>
          </w:tcPr>
          <w:p w14:paraId="5328EF65">
            <w:pPr>
              <w:widowControl/>
              <w:rPr>
                <w:rFonts w:ascii="仿宋_GB2312"/>
                <w:color w:val="000000"/>
                <w:kern w:val="0"/>
                <w:sz w:val="20"/>
                <w:szCs w:val="20"/>
              </w:rPr>
            </w:pPr>
            <w:r>
              <w:rPr>
                <w:rFonts w:hint="eastAsia" w:ascii="仿宋_GB2312"/>
                <w:color w:val="000000"/>
                <w:kern w:val="0"/>
                <w:sz w:val="20"/>
                <w:szCs w:val="20"/>
              </w:rPr>
              <w:t>部门基本支出本年度决算数与预算数的比率，用以反映和考核部门（单位）基本支出预算执行程度。</w:t>
            </w:r>
          </w:p>
        </w:tc>
        <w:tc>
          <w:tcPr>
            <w:tcW w:w="3900" w:type="dxa"/>
            <w:tcBorders>
              <w:top w:val="nil"/>
              <w:left w:val="nil"/>
              <w:bottom w:val="single" w:color="auto" w:sz="4" w:space="0"/>
              <w:right w:val="single" w:color="auto" w:sz="4" w:space="0"/>
            </w:tcBorders>
            <w:shd w:val="clear" w:color="auto" w:fill="auto"/>
            <w:vAlign w:val="center"/>
          </w:tcPr>
          <w:p w14:paraId="08EF057B">
            <w:pPr>
              <w:widowControl/>
              <w:rPr>
                <w:rFonts w:ascii="仿宋_GB2312"/>
                <w:color w:val="000000"/>
                <w:kern w:val="0"/>
                <w:sz w:val="20"/>
                <w:szCs w:val="20"/>
              </w:rPr>
            </w:pPr>
            <w:r>
              <w:rPr>
                <w:rFonts w:hint="eastAsia" w:ascii="仿宋_GB2312"/>
                <w:color w:val="000000"/>
                <w:kern w:val="0"/>
                <w:sz w:val="20"/>
                <w:szCs w:val="20"/>
              </w:rPr>
              <w:t>预算执行率=部门基本支出决算/部门基本支出预算×100%。决算数：部门本年度基本支出实际支出资金数。预算数：财政部门批复的本年度部门基本支出预算数以及当年批复的调整数。预算完成率≥95%得满分，未达到的每低于1%扣0.1分，扣完为止。</w:t>
            </w:r>
          </w:p>
        </w:tc>
        <w:tc>
          <w:tcPr>
            <w:tcW w:w="1840" w:type="dxa"/>
            <w:tcBorders>
              <w:top w:val="nil"/>
              <w:left w:val="nil"/>
              <w:bottom w:val="single" w:color="auto" w:sz="4" w:space="0"/>
              <w:right w:val="single" w:color="auto" w:sz="4" w:space="0"/>
            </w:tcBorders>
            <w:shd w:val="clear" w:color="auto" w:fill="auto"/>
            <w:vAlign w:val="center"/>
          </w:tcPr>
          <w:p w14:paraId="431A141E">
            <w:pPr>
              <w:widowControl/>
              <w:rPr>
                <w:rFonts w:ascii="仿宋_GB2312"/>
                <w:color w:val="000000"/>
                <w:kern w:val="0"/>
                <w:sz w:val="20"/>
                <w:szCs w:val="20"/>
              </w:rPr>
            </w:pPr>
            <w:r>
              <w:rPr>
                <w:rFonts w:hint="eastAsia" w:ascii="仿宋_GB2312"/>
                <w:color w:val="000000"/>
                <w:kern w:val="0"/>
                <w:sz w:val="20"/>
                <w:szCs w:val="20"/>
              </w:rPr>
              <w:t>基本支出预算批复，预算调整批复、预算编制等其他资料</w:t>
            </w:r>
          </w:p>
        </w:tc>
      </w:tr>
      <w:tr w14:paraId="22BA2D7F">
        <w:tblPrEx>
          <w:tblCellMar>
            <w:top w:w="0" w:type="dxa"/>
            <w:left w:w="108" w:type="dxa"/>
            <w:bottom w:w="0" w:type="dxa"/>
            <w:right w:w="108" w:type="dxa"/>
          </w:tblCellMar>
        </w:tblPrEx>
        <w:trPr>
          <w:trHeight w:val="1680" w:hRule="atLeast"/>
        </w:trPr>
        <w:tc>
          <w:tcPr>
            <w:tcW w:w="740" w:type="dxa"/>
            <w:vMerge w:val="continue"/>
            <w:tcBorders>
              <w:top w:val="nil"/>
              <w:left w:val="single" w:color="auto" w:sz="4" w:space="0"/>
              <w:bottom w:val="single" w:color="000000" w:sz="4" w:space="0"/>
              <w:right w:val="single" w:color="auto" w:sz="4" w:space="0"/>
            </w:tcBorders>
            <w:vAlign w:val="center"/>
          </w:tcPr>
          <w:p w14:paraId="3F1914D5">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6E58115A">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43DFB756">
            <w:pPr>
              <w:widowControl/>
              <w:jc w:val="left"/>
              <w:rPr>
                <w:rFonts w:ascii="仿宋_GB2312"/>
                <w:color w:val="000000"/>
                <w:kern w:val="0"/>
                <w:sz w:val="20"/>
                <w:szCs w:val="20"/>
              </w:rPr>
            </w:pPr>
            <w:r>
              <w:rPr>
                <w:rFonts w:hint="eastAsia" w:ascii="仿宋_GB2312"/>
                <w:color w:val="000000"/>
                <w:kern w:val="0"/>
                <w:sz w:val="20"/>
                <w:szCs w:val="20"/>
              </w:rPr>
              <w:t>B12项目支出预算执行率（4分）</w:t>
            </w:r>
          </w:p>
        </w:tc>
        <w:tc>
          <w:tcPr>
            <w:tcW w:w="680" w:type="dxa"/>
            <w:tcBorders>
              <w:top w:val="nil"/>
              <w:left w:val="nil"/>
              <w:bottom w:val="single" w:color="auto" w:sz="4" w:space="0"/>
              <w:right w:val="single" w:color="auto" w:sz="4" w:space="0"/>
            </w:tcBorders>
            <w:shd w:val="clear" w:color="auto" w:fill="auto"/>
            <w:vAlign w:val="center"/>
          </w:tcPr>
          <w:p w14:paraId="1A640512">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w:t>
            </w:r>
          </w:p>
        </w:tc>
        <w:tc>
          <w:tcPr>
            <w:tcW w:w="760" w:type="dxa"/>
            <w:tcBorders>
              <w:top w:val="nil"/>
              <w:left w:val="nil"/>
              <w:bottom w:val="single" w:color="auto" w:sz="4" w:space="0"/>
              <w:right w:val="single" w:color="auto" w:sz="4" w:space="0"/>
            </w:tcBorders>
            <w:shd w:val="clear" w:color="auto" w:fill="auto"/>
            <w:vAlign w:val="center"/>
          </w:tcPr>
          <w:p w14:paraId="607ECFB6">
            <w:pPr>
              <w:widowControl/>
              <w:jc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eastAsia="宋体" w:cs="Times New Roman"/>
                <w:color w:val="000000"/>
                <w:kern w:val="0"/>
                <w:sz w:val="22"/>
                <w:szCs w:val="22"/>
                <w:lang w:val="en-US" w:eastAsia="zh-CN"/>
              </w:rPr>
              <w:t>3.5</w:t>
            </w:r>
          </w:p>
        </w:tc>
        <w:tc>
          <w:tcPr>
            <w:tcW w:w="3220" w:type="dxa"/>
            <w:tcBorders>
              <w:top w:val="nil"/>
              <w:left w:val="nil"/>
              <w:bottom w:val="single" w:color="auto" w:sz="4" w:space="0"/>
              <w:right w:val="single" w:color="auto" w:sz="4" w:space="0"/>
            </w:tcBorders>
            <w:shd w:val="clear" w:color="auto" w:fill="auto"/>
            <w:vAlign w:val="center"/>
          </w:tcPr>
          <w:p w14:paraId="26A58B16">
            <w:pPr>
              <w:widowControl/>
              <w:rPr>
                <w:rFonts w:ascii="仿宋_GB2312"/>
                <w:color w:val="000000"/>
                <w:kern w:val="0"/>
                <w:sz w:val="20"/>
                <w:szCs w:val="20"/>
              </w:rPr>
            </w:pPr>
            <w:r>
              <w:rPr>
                <w:rFonts w:hint="eastAsia" w:ascii="仿宋_GB2312"/>
                <w:color w:val="000000"/>
                <w:kern w:val="0"/>
                <w:sz w:val="20"/>
                <w:szCs w:val="20"/>
              </w:rPr>
              <w:t>部门项目支出本年度决算数与预算数的比率，用以反映和考核部门项目支出预算执行程度。</w:t>
            </w:r>
          </w:p>
        </w:tc>
        <w:tc>
          <w:tcPr>
            <w:tcW w:w="3900" w:type="dxa"/>
            <w:tcBorders>
              <w:top w:val="nil"/>
              <w:left w:val="nil"/>
              <w:bottom w:val="single" w:color="auto" w:sz="4" w:space="0"/>
              <w:right w:val="single" w:color="auto" w:sz="4" w:space="0"/>
            </w:tcBorders>
            <w:shd w:val="clear" w:color="auto" w:fill="auto"/>
            <w:vAlign w:val="center"/>
          </w:tcPr>
          <w:p w14:paraId="110C119C">
            <w:pPr>
              <w:widowControl/>
              <w:rPr>
                <w:rFonts w:ascii="仿宋_GB2312"/>
                <w:color w:val="000000"/>
                <w:kern w:val="0"/>
                <w:sz w:val="20"/>
                <w:szCs w:val="20"/>
              </w:rPr>
            </w:pPr>
            <w:r>
              <w:rPr>
                <w:rFonts w:hint="eastAsia" w:ascii="仿宋_GB2312"/>
                <w:color w:val="000000"/>
                <w:kern w:val="0"/>
                <w:sz w:val="20"/>
                <w:szCs w:val="20"/>
              </w:rPr>
              <w:t>预算执行率=部门项目支出决算/部门项目支出预算×100%。决算数：部门（单位）本年度项目支出实际支出资金数。预算数：财政部门批复的本年度部门（单位）项目支出预算数以及当年批复的调整数。预算完成率≥95%得满分，每低于1%扣0.2分，扣完为止。</w:t>
            </w:r>
          </w:p>
        </w:tc>
        <w:tc>
          <w:tcPr>
            <w:tcW w:w="1840" w:type="dxa"/>
            <w:tcBorders>
              <w:top w:val="nil"/>
              <w:left w:val="nil"/>
              <w:bottom w:val="single" w:color="auto" w:sz="4" w:space="0"/>
              <w:right w:val="single" w:color="auto" w:sz="4" w:space="0"/>
            </w:tcBorders>
            <w:shd w:val="clear" w:color="auto" w:fill="auto"/>
            <w:vAlign w:val="center"/>
          </w:tcPr>
          <w:p w14:paraId="3DEAD21B">
            <w:pPr>
              <w:widowControl/>
              <w:rPr>
                <w:rFonts w:ascii="仿宋_GB2312"/>
                <w:color w:val="000000"/>
                <w:kern w:val="0"/>
                <w:sz w:val="20"/>
                <w:szCs w:val="20"/>
              </w:rPr>
            </w:pPr>
            <w:r>
              <w:rPr>
                <w:rFonts w:hint="eastAsia" w:ascii="仿宋_GB2312"/>
                <w:color w:val="000000"/>
                <w:kern w:val="0"/>
                <w:sz w:val="20"/>
                <w:szCs w:val="20"/>
              </w:rPr>
              <w:t>项目支出预算批复，预算调整批复、预算编制等其他资料</w:t>
            </w:r>
          </w:p>
        </w:tc>
      </w:tr>
      <w:tr w14:paraId="4C1B28DB">
        <w:tblPrEx>
          <w:tblCellMar>
            <w:top w:w="0" w:type="dxa"/>
            <w:left w:w="108" w:type="dxa"/>
            <w:bottom w:w="0" w:type="dxa"/>
            <w:right w:w="108" w:type="dxa"/>
          </w:tblCellMar>
        </w:tblPrEx>
        <w:trPr>
          <w:trHeight w:val="1680" w:hRule="atLeast"/>
        </w:trPr>
        <w:tc>
          <w:tcPr>
            <w:tcW w:w="740" w:type="dxa"/>
            <w:vMerge w:val="continue"/>
            <w:tcBorders>
              <w:top w:val="nil"/>
              <w:left w:val="single" w:color="auto" w:sz="4" w:space="0"/>
              <w:bottom w:val="single" w:color="000000" w:sz="4" w:space="0"/>
              <w:right w:val="single" w:color="auto" w:sz="4" w:space="0"/>
            </w:tcBorders>
            <w:vAlign w:val="center"/>
          </w:tcPr>
          <w:p w14:paraId="7A23FB2F">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305A1D35">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57574E39">
            <w:pPr>
              <w:widowControl/>
              <w:jc w:val="left"/>
              <w:rPr>
                <w:rFonts w:ascii="仿宋_GB2312"/>
                <w:color w:val="000000"/>
                <w:kern w:val="0"/>
                <w:sz w:val="20"/>
                <w:szCs w:val="20"/>
              </w:rPr>
            </w:pPr>
            <w:r>
              <w:rPr>
                <w:rFonts w:hint="eastAsia" w:ascii="仿宋_GB2312"/>
                <w:color w:val="000000"/>
                <w:kern w:val="0"/>
                <w:sz w:val="20"/>
                <w:szCs w:val="20"/>
              </w:rPr>
              <w:t>B13“三公经费”控制率（1分）</w:t>
            </w:r>
          </w:p>
        </w:tc>
        <w:tc>
          <w:tcPr>
            <w:tcW w:w="680" w:type="dxa"/>
            <w:tcBorders>
              <w:top w:val="nil"/>
              <w:left w:val="nil"/>
              <w:bottom w:val="single" w:color="auto" w:sz="4" w:space="0"/>
              <w:right w:val="single" w:color="auto" w:sz="4" w:space="0"/>
            </w:tcBorders>
            <w:shd w:val="clear" w:color="auto" w:fill="auto"/>
            <w:vAlign w:val="center"/>
          </w:tcPr>
          <w:p w14:paraId="03A6B77A">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760" w:type="dxa"/>
            <w:tcBorders>
              <w:top w:val="nil"/>
              <w:left w:val="nil"/>
              <w:bottom w:val="single" w:color="auto" w:sz="4" w:space="0"/>
              <w:right w:val="single" w:color="auto" w:sz="4" w:space="0"/>
            </w:tcBorders>
            <w:shd w:val="clear" w:color="auto" w:fill="auto"/>
            <w:vAlign w:val="center"/>
          </w:tcPr>
          <w:p w14:paraId="3889528C">
            <w:pPr>
              <w:widowControl/>
              <w:jc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eastAsia="宋体" w:cs="Times New Roman"/>
                <w:color w:val="000000"/>
                <w:kern w:val="0"/>
                <w:sz w:val="22"/>
                <w:szCs w:val="22"/>
                <w:lang w:val="en-US" w:eastAsia="zh-CN"/>
              </w:rPr>
              <w:t>1</w:t>
            </w:r>
          </w:p>
        </w:tc>
        <w:tc>
          <w:tcPr>
            <w:tcW w:w="3220" w:type="dxa"/>
            <w:tcBorders>
              <w:top w:val="nil"/>
              <w:left w:val="nil"/>
              <w:bottom w:val="single" w:color="auto" w:sz="4" w:space="0"/>
              <w:right w:val="single" w:color="auto" w:sz="4" w:space="0"/>
            </w:tcBorders>
            <w:shd w:val="clear" w:color="auto" w:fill="auto"/>
            <w:vAlign w:val="center"/>
          </w:tcPr>
          <w:p w14:paraId="250DE0D2">
            <w:pPr>
              <w:widowControl/>
              <w:rPr>
                <w:rFonts w:ascii="仿宋_GB2312"/>
                <w:color w:val="000000"/>
                <w:kern w:val="0"/>
                <w:sz w:val="20"/>
                <w:szCs w:val="20"/>
              </w:rPr>
            </w:pPr>
            <w:r>
              <w:rPr>
                <w:rFonts w:hint="eastAsia" w:ascii="仿宋_GB2312"/>
                <w:color w:val="000000"/>
                <w:kern w:val="0"/>
                <w:sz w:val="20"/>
                <w:szCs w:val="20"/>
              </w:rPr>
              <w:t>部门本年度“三公”经费预算数与上年度“三公”经费预算数的变动比率，用以反映和考核部门（单位）对控制行政成本的努力程度。</w:t>
            </w:r>
          </w:p>
        </w:tc>
        <w:tc>
          <w:tcPr>
            <w:tcW w:w="3900" w:type="dxa"/>
            <w:tcBorders>
              <w:top w:val="nil"/>
              <w:left w:val="nil"/>
              <w:bottom w:val="single" w:color="auto" w:sz="4" w:space="0"/>
              <w:right w:val="single" w:color="auto" w:sz="4" w:space="0"/>
            </w:tcBorders>
            <w:shd w:val="clear" w:color="auto" w:fill="auto"/>
            <w:vAlign w:val="center"/>
          </w:tcPr>
          <w:p w14:paraId="33C5B5EB">
            <w:pPr>
              <w:widowControl/>
              <w:rPr>
                <w:rFonts w:ascii="仿宋_GB2312"/>
                <w:color w:val="000000"/>
                <w:kern w:val="0"/>
                <w:sz w:val="20"/>
                <w:szCs w:val="20"/>
              </w:rPr>
            </w:pPr>
            <w:r>
              <w:rPr>
                <w:rFonts w:hint="eastAsia" w:ascii="仿宋_GB2312"/>
                <w:color w:val="000000"/>
                <w:kern w:val="0"/>
                <w:sz w:val="20"/>
                <w:szCs w:val="20"/>
              </w:rPr>
              <w:t>“三公”经费控制率=（本年度“三公”经费总额/上年度“三公”经费总额）×100%。“三公”经费：年度预算安排的因公出国（境）费、公务用车购置及运行费和公务接待费。三公经费控制率≤100%得满分，≥120%得0分，区间内按权重进行扣分。</w:t>
            </w:r>
          </w:p>
        </w:tc>
        <w:tc>
          <w:tcPr>
            <w:tcW w:w="1840" w:type="dxa"/>
            <w:tcBorders>
              <w:top w:val="nil"/>
              <w:left w:val="nil"/>
              <w:bottom w:val="single" w:color="auto" w:sz="4" w:space="0"/>
              <w:right w:val="single" w:color="auto" w:sz="4" w:space="0"/>
            </w:tcBorders>
            <w:shd w:val="clear" w:color="auto" w:fill="auto"/>
            <w:vAlign w:val="center"/>
          </w:tcPr>
          <w:p w14:paraId="282D2207">
            <w:pPr>
              <w:widowControl/>
              <w:rPr>
                <w:rFonts w:ascii="仿宋_GB2312"/>
                <w:color w:val="000000"/>
                <w:kern w:val="0"/>
                <w:sz w:val="20"/>
                <w:szCs w:val="20"/>
              </w:rPr>
            </w:pPr>
            <w:r>
              <w:rPr>
                <w:rFonts w:hint="eastAsia" w:ascii="仿宋_GB2312"/>
                <w:color w:val="000000"/>
                <w:kern w:val="0"/>
                <w:sz w:val="20"/>
                <w:szCs w:val="20"/>
              </w:rPr>
              <w:t>三公经费使用情况</w:t>
            </w:r>
          </w:p>
        </w:tc>
      </w:tr>
      <w:tr w14:paraId="24D64587">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000000" w:sz="4" w:space="0"/>
              <w:right w:val="single" w:color="auto" w:sz="4" w:space="0"/>
            </w:tcBorders>
            <w:vAlign w:val="center"/>
          </w:tcPr>
          <w:p w14:paraId="05C47790">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5207FAC9">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6048D2B9">
            <w:pPr>
              <w:widowControl/>
              <w:jc w:val="left"/>
              <w:rPr>
                <w:rFonts w:ascii="仿宋_GB2312"/>
                <w:color w:val="000000"/>
                <w:kern w:val="0"/>
                <w:sz w:val="20"/>
                <w:szCs w:val="20"/>
              </w:rPr>
            </w:pPr>
            <w:r>
              <w:rPr>
                <w:rFonts w:hint="eastAsia" w:ascii="仿宋_GB2312"/>
                <w:color w:val="000000"/>
                <w:kern w:val="0"/>
                <w:sz w:val="20"/>
                <w:szCs w:val="20"/>
              </w:rPr>
              <w:t>B14预算调整情况（1分）</w:t>
            </w:r>
          </w:p>
        </w:tc>
        <w:tc>
          <w:tcPr>
            <w:tcW w:w="680" w:type="dxa"/>
            <w:tcBorders>
              <w:top w:val="nil"/>
              <w:left w:val="nil"/>
              <w:bottom w:val="single" w:color="auto" w:sz="4" w:space="0"/>
              <w:right w:val="single" w:color="auto" w:sz="4" w:space="0"/>
            </w:tcBorders>
            <w:shd w:val="clear" w:color="auto" w:fill="auto"/>
            <w:vAlign w:val="center"/>
          </w:tcPr>
          <w:p w14:paraId="24246FC4">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760" w:type="dxa"/>
            <w:tcBorders>
              <w:top w:val="nil"/>
              <w:left w:val="nil"/>
              <w:bottom w:val="single" w:color="auto" w:sz="4" w:space="0"/>
              <w:right w:val="single" w:color="auto" w:sz="4" w:space="0"/>
            </w:tcBorders>
            <w:shd w:val="clear" w:color="auto" w:fill="auto"/>
            <w:vAlign w:val="center"/>
          </w:tcPr>
          <w:p w14:paraId="2125E77F">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3220" w:type="dxa"/>
            <w:tcBorders>
              <w:top w:val="nil"/>
              <w:left w:val="nil"/>
              <w:bottom w:val="single" w:color="auto" w:sz="4" w:space="0"/>
              <w:right w:val="single" w:color="auto" w:sz="4" w:space="0"/>
            </w:tcBorders>
            <w:shd w:val="clear" w:color="auto" w:fill="auto"/>
            <w:vAlign w:val="center"/>
          </w:tcPr>
          <w:p w14:paraId="1DBB6CDC">
            <w:pPr>
              <w:widowControl/>
              <w:rPr>
                <w:rFonts w:ascii="仿宋_GB2312"/>
                <w:color w:val="000000"/>
                <w:kern w:val="0"/>
                <w:sz w:val="20"/>
                <w:szCs w:val="20"/>
              </w:rPr>
            </w:pPr>
            <w:r>
              <w:rPr>
                <w:rFonts w:hint="eastAsia" w:ascii="仿宋_GB2312"/>
                <w:color w:val="000000"/>
                <w:kern w:val="0"/>
                <w:sz w:val="20"/>
                <w:szCs w:val="20"/>
              </w:rPr>
              <w:t>用以反映预算单位是否根据年中预算实际执行情况及时合规进行预算调整。</w:t>
            </w:r>
          </w:p>
        </w:tc>
        <w:tc>
          <w:tcPr>
            <w:tcW w:w="3900" w:type="dxa"/>
            <w:tcBorders>
              <w:top w:val="nil"/>
              <w:left w:val="nil"/>
              <w:bottom w:val="single" w:color="auto" w:sz="4" w:space="0"/>
              <w:right w:val="single" w:color="auto" w:sz="4" w:space="0"/>
            </w:tcBorders>
            <w:shd w:val="clear" w:color="auto" w:fill="auto"/>
            <w:vAlign w:val="center"/>
          </w:tcPr>
          <w:p w14:paraId="1C11CC2E">
            <w:pPr>
              <w:widowControl/>
              <w:rPr>
                <w:rFonts w:ascii="仿宋_GB2312"/>
                <w:color w:val="000000"/>
                <w:kern w:val="0"/>
                <w:sz w:val="20"/>
                <w:szCs w:val="20"/>
              </w:rPr>
            </w:pPr>
            <w:r>
              <w:rPr>
                <w:rFonts w:hint="eastAsia" w:ascii="仿宋_GB2312"/>
                <w:color w:val="000000"/>
                <w:kern w:val="0"/>
                <w:sz w:val="20"/>
                <w:szCs w:val="20"/>
              </w:rPr>
              <w:t>①根据年中预算执行情况及时申请预算调整，得0.5分；②按规定程序进行预算调整，得0.5分</w:t>
            </w:r>
          </w:p>
        </w:tc>
        <w:tc>
          <w:tcPr>
            <w:tcW w:w="1840" w:type="dxa"/>
            <w:tcBorders>
              <w:top w:val="nil"/>
              <w:left w:val="nil"/>
              <w:bottom w:val="single" w:color="auto" w:sz="4" w:space="0"/>
              <w:right w:val="single" w:color="auto" w:sz="4" w:space="0"/>
            </w:tcBorders>
            <w:shd w:val="clear" w:color="auto" w:fill="auto"/>
            <w:vAlign w:val="center"/>
          </w:tcPr>
          <w:p w14:paraId="3C267F0A">
            <w:pPr>
              <w:widowControl/>
              <w:rPr>
                <w:rFonts w:ascii="仿宋_GB2312"/>
                <w:color w:val="000000"/>
                <w:kern w:val="0"/>
                <w:sz w:val="20"/>
                <w:szCs w:val="20"/>
              </w:rPr>
            </w:pPr>
            <w:r>
              <w:rPr>
                <w:rFonts w:hint="eastAsia" w:ascii="仿宋_GB2312"/>
                <w:color w:val="000000"/>
                <w:kern w:val="0"/>
                <w:sz w:val="20"/>
                <w:szCs w:val="20"/>
              </w:rPr>
              <w:t>预算调整相关资料</w:t>
            </w:r>
          </w:p>
        </w:tc>
      </w:tr>
      <w:tr w14:paraId="3DC9533B">
        <w:tblPrEx>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000000" w:sz="4" w:space="0"/>
              <w:right w:val="single" w:color="auto" w:sz="4" w:space="0"/>
            </w:tcBorders>
            <w:vAlign w:val="center"/>
          </w:tcPr>
          <w:p w14:paraId="7DAE725B">
            <w:pPr>
              <w:widowControl/>
              <w:jc w:val="left"/>
              <w:rPr>
                <w:rFonts w:ascii="仿宋_GB2312"/>
                <w:b/>
                <w:bCs/>
                <w:color w:val="000000"/>
                <w:kern w:val="0"/>
                <w:sz w:val="20"/>
                <w:szCs w:val="20"/>
              </w:rPr>
            </w:pPr>
          </w:p>
        </w:tc>
        <w:tc>
          <w:tcPr>
            <w:tcW w:w="820" w:type="dxa"/>
            <w:vMerge w:val="restart"/>
            <w:tcBorders>
              <w:top w:val="nil"/>
              <w:left w:val="single" w:color="auto" w:sz="4" w:space="0"/>
              <w:bottom w:val="single" w:color="000000" w:sz="4" w:space="0"/>
              <w:right w:val="single" w:color="auto" w:sz="4" w:space="0"/>
            </w:tcBorders>
            <w:shd w:val="clear" w:color="auto" w:fill="auto"/>
            <w:vAlign w:val="center"/>
          </w:tcPr>
          <w:p w14:paraId="0312CC95">
            <w:pPr>
              <w:widowControl/>
              <w:jc w:val="center"/>
              <w:rPr>
                <w:rFonts w:ascii="仿宋_GB2312"/>
                <w:color w:val="000000"/>
                <w:kern w:val="0"/>
                <w:sz w:val="20"/>
                <w:szCs w:val="20"/>
              </w:rPr>
            </w:pPr>
            <w:r>
              <w:rPr>
                <w:rFonts w:hint="eastAsia" w:ascii="仿宋_GB2312"/>
                <w:color w:val="000000"/>
                <w:kern w:val="0"/>
                <w:sz w:val="20"/>
                <w:szCs w:val="20"/>
              </w:rPr>
              <w:t>B2财务管理（6分）</w:t>
            </w:r>
          </w:p>
        </w:tc>
        <w:tc>
          <w:tcPr>
            <w:tcW w:w="2040" w:type="dxa"/>
            <w:tcBorders>
              <w:top w:val="nil"/>
              <w:left w:val="nil"/>
              <w:bottom w:val="single" w:color="auto" w:sz="4" w:space="0"/>
              <w:right w:val="single" w:color="auto" w:sz="4" w:space="0"/>
            </w:tcBorders>
            <w:shd w:val="clear" w:color="000000" w:fill="FFFFFF"/>
            <w:vAlign w:val="center"/>
          </w:tcPr>
          <w:p w14:paraId="756ECBA8">
            <w:pPr>
              <w:widowControl/>
              <w:jc w:val="left"/>
              <w:rPr>
                <w:rFonts w:ascii="仿宋_GB2312"/>
                <w:color w:val="000000"/>
                <w:kern w:val="0"/>
                <w:sz w:val="20"/>
                <w:szCs w:val="20"/>
              </w:rPr>
            </w:pPr>
            <w:r>
              <w:rPr>
                <w:rFonts w:hint="eastAsia" w:ascii="仿宋_GB2312"/>
                <w:color w:val="000000"/>
                <w:kern w:val="0"/>
                <w:sz w:val="20"/>
                <w:szCs w:val="20"/>
              </w:rPr>
              <w:t>B21财务管理制度健全性及执行情况（1分）</w:t>
            </w:r>
          </w:p>
        </w:tc>
        <w:tc>
          <w:tcPr>
            <w:tcW w:w="680" w:type="dxa"/>
            <w:tcBorders>
              <w:top w:val="nil"/>
              <w:left w:val="nil"/>
              <w:bottom w:val="single" w:color="auto" w:sz="4" w:space="0"/>
              <w:right w:val="single" w:color="auto" w:sz="4" w:space="0"/>
            </w:tcBorders>
            <w:shd w:val="clear" w:color="auto" w:fill="auto"/>
            <w:vAlign w:val="center"/>
          </w:tcPr>
          <w:p w14:paraId="5A2DC421">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760" w:type="dxa"/>
            <w:tcBorders>
              <w:top w:val="nil"/>
              <w:left w:val="nil"/>
              <w:bottom w:val="single" w:color="auto" w:sz="4" w:space="0"/>
              <w:right w:val="single" w:color="auto" w:sz="4" w:space="0"/>
            </w:tcBorders>
            <w:shd w:val="clear" w:color="auto" w:fill="auto"/>
            <w:vAlign w:val="center"/>
          </w:tcPr>
          <w:p w14:paraId="573CF32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3220" w:type="dxa"/>
            <w:tcBorders>
              <w:top w:val="nil"/>
              <w:left w:val="nil"/>
              <w:bottom w:val="single" w:color="auto" w:sz="4" w:space="0"/>
              <w:right w:val="single" w:color="auto" w:sz="4" w:space="0"/>
            </w:tcBorders>
            <w:shd w:val="clear" w:color="auto" w:fill="auto"/>
            <w:vAlign w:val="center"/>
          </w:tcPr>
          <w:p w14:paraId="2CCDDE56">
            <w:pPr>
              <w:widowControl/>
              <w:rPr>
                <w:rFonts w:ascii="仿宋_GB2312"/>
                <w:color w:val="000000"/>
                <w:kern w:val="0"/>
                <w:sz w:val="20"/>
                <w:szCs w:val="20"/>
              </w:rPr>
            </w:pPr>
            <w:r>
              <w:rPr>
                <w:rFonts w:hint="eastAsia" w:ascii="仿宋_GB2312"/>
                <w:color w:val="000000"/>
                <w:kern w:val="0"/>
                <w:sz w:val="20"/>
                <w:szCs w:val="20"/>
              </w:rPr>
              <w:t>部门为加强预算管理、规范财务行为而制定的财务管理制度是否健全完整。用以反映和考核部门预算管理制度对完成主要职责或促进事业发展的保障情况。</w:t>
            </w:r>
          </w:p>
        </w:tc>
        <w:tc>
          <w:tcPr>
            <w:tcW w:w="3900" w:type="dxa"/>
            <w:tcBorders>
              <w:top w:val="nil"/>
              <w:left w:val="nil"/>
              <w:bottom w:val="single" w:color="auto" w:sz="4" w:space="0"/>
              <w:right w:val="single" w:color="auto" w:sz="4" w:space="0"/>
            </w:tcBorders>
            <w:shd w:val="clear" w:color="auto" w:fill="auto"/>
            <w:vAlign w:val="center"/>
          </w:tcPr>
          <w:p w14:paraId="6671CF5E">
            <w:pPr>
              <w:widowControl/>
              <w:rPr>
                <w:rFonts w:ascii="仿宋_GB2312"/>
                <w:color w:val="000000"/>
                <w:kern w:val="0"/>
                <w:sz w:val="20"/>
                <w:szCs w:val="20"/>
              </w:rPr>
            </w:pPr>
            <w:r>
              <w:rPr>
                <w:rFonts w:hint="eastAsia" w:ascii="仿宋_GB2312"/>
                <w:color w:val="000000"/>
                <w:kern w:val="0"/>
                <w:sz w:val="20"/>
                <w:szCs w:val="20"/>
              </w:rPr>
              <w:t>①是否已制定预算资金管理办法、内部财务管理制度、会计核算制度等管理制度，0.25分；②相关管理制度是否合法、合规、完整，0.25分；③相关管理制度是否得到有效执行，0.5分。</w:t>
            </w:r>
          </w:p>
        </w:tc>
        <w:tc>
          <w:tcPr>
            <w:tcW w:w="1840" w:type="dxa"/>
            <w:tcBorders>
              <w:top w:val="nil"/>
              <w:left w:val="nil"/>
              <w:bottom w:val="single" w:color="auto" w:sz="4" w:space="0"/>
              <w:right w:val="single" w:color="auto" w:sz="4" w:space="0"/>
            </w:tcBorders>
            <w:shd w:val="clear" w:color="auto" w:fill="auto"/>
            <w:vAlign w:val="center"/>
          </w:tcPr>
          <w:p w14:paraId="0BAD9D93">
            <w:pPr>
              <w:widowControl/>
              <w:rPr>
                <w:rFonts w:ascii="仿宋_GB2312"/>
                <w:color w:val="000000"/>
                <w:kern w:val="0"/>
                <w:sz w:val="20"/>
                <w:szCs w:val="20"/>
              </w:rPr>
            </w:pPr>
            <w:r>
              <w:rPr>
                <w:rFonts w:hint="eastAsia" w:ascii="仿宋_GB2312"/>
                <w:color w:val="000000"/>
                <w:kern w:val="0"/>
                <w:sz w:val="20"/>
                <w:szCs w:val="20"/>
              </w:rPr>
              <w:t>财务管理相关制度及执行情况调研</w:t>
            </w:r>
          </w:p>
        </w:tc>
      </w:tr>
      <w:tr w14:paraId="728FF633">
        <w:tblPrEx>
          <w:tblCellMar>
            <w:top w:w="0" w:type="dxa"/>
            <w:left w:w="108" w:type="dxa"/>
            <w:bottom w:w="0" w:type="dxa"/>
            <w:right w:w="108" w:type="dxa"/>
          </w:tblCellMar>
        </w:tblPrEx>
        <w:trPr>
          <w:trHeight w:val="1680" w:hRule="atLeast"/>
        </w:trPr>
        <w:tc>
          <w:tcPr>
            <w:tcW w:w="740" w:type="dxa"/>
            <w:vMerge w:val="continue"/>
            <w:tcBorders>
              <w:top w:val="nil"/>
              <w:left w:val="single" w:color="auto" w:sz="4" w:space="0"/>
              <w:bottom w:val="single" w:color="000000" w:sz="4" w:space="0"/>
              <w:right w:val="single" w:color="auto" w:sz="4" w:space="0"/>
            </w:tcBorders>
            <w:vAlign w:val="center"/>
          </w:tcPr>
          <w:p w14:paraId="05A16E16">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7D47992B">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498E4C8E">
            <w:pPr>
              <w:widowControl/>
              <w:jc w:val="left"/>
              <w:rPr>
                <w:rFonts w:ascii="仿宋_GB2312"/>
                <w:color w:val="000000"/>
                <w:kern w:val="0"/>
                <w:sz w:val="20"/>
                <w:szCs w:val="20"/>
              </w:rPr>
            </w:pPr>
            <w:r>
              <w:rPr>
                <w:rFonts w:hint="eastAsia" w:ascii="仿宋_GB2312"/>
                <w:color w:val="000000"/>
                <w:kern w:val="0"/>
                <w:sz w:val="20"/>
                <w:szCs w:val="20"/>
              </w:rPr>
              <w:t>B22资金使用合规性（4分）</w:t>
            </w:r>
          </w:p>
        </w:tc>
        <w:tc>
          <w:tcPr>
            <w:tcW w:w="680" w:type="dxa"/>
            <w:tcBorders>
              <w:top w:val="nil"/>
              <w:left w:val="nil"/>
              <w:bottom w:val="single" w:color="auto" w:sz="4" w:space="0"/>
              <w:right w:val="single" w:color="auto" w:sz="4" w:space="0"/>
            </w:tcBorders>
            <w:shd w:val="clear" w:color="auto" w:fill="auto"/>
            <w:vAlign w:val="center"/>
          </w:tcPr>
          <w:p w14:paraId="0B15CDF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w:t>
            </w:r>
          </w:p>
        </w:tc>
        <w:tc>
          <w:tcPr>
            <w:tcW w:w="760" w:type="dxa"/>
            <w:tcBorders>
              <w:top w:val="nil"/>
              <w:left w:val="nil"/>
              <w:bottom w:val="single" w:color="auto" w:sz="4" w:space="0"/>
              <w:right w:val="single" w:color="auto" w:sz="4" w:space="0"/>
            </w:tcBorders>
            <w:shd w:val="clear" w:color="auto" w:fill="auto"/>
            <w:vAlign w:val="center"/>
          </w:tcPr>
          <w:p w14:paraId="7F646497">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4</w:t>
            </w:r>
          </w:p>
        </w:tc>
        <w:tc>
          <w:tcPr>
            <w:tcW w:w="3220" w:type="dxa"/>
            <w:tcBorders>
              <w:top w:val="nil"/>
              <w:left w:val="nil"/>
              <w:bottom w:val="single" w:color="auto" w:sz="4" w:space="0"/>
              <w:right w:val="single" w:color="auto" w:sz="4" w:space="0"/>
            </w:tcBorders>
            <w:shd w:val="clear" w:color="auto" w:fill="auto"/>
            <w:vAlign w:val="center"/>
          </w:tcPr>
          <w:p w14:paraId="21F37009">
            <w:pPr>
              <w:widowControl/>
              <w:rPr>
                <w:rFonts w:ascii="仿宋_GB2312"/>
                <w:color w:val="000000"/>
                <w:kern w:val="0"/>
                <w:sz w:val="20"/>
                <w:szCs w:val="20"/>
              </w:rPr>
            </w:pPr>
            <w:r>
              <w:rPr>
                <w:rFonts w:hint="eastAsia" w:ascii="仿宋_GB2312"/>
                <w:color w:val="000000"/>
                <w:kern w:val="0"/>
                <w:sz w:val="20"/>
                <w:szCs w:val="20"/>
              </w:rPr>
              <w:t>部门使用预算资金是否符合相关财务管理制度的规定，用以反映和考核部门预算资金的规范运行情况。</w:t>
            </w:r>
          </w:p>
        </w:tc>
        <w:tc>
          <w:tcPr>
            <w:tcW w:w="3900" w:type="dxa"/>
            <w:tcBorders>
              <w:top w:val="nil"/>
              <w:left w:val="nil"/>
              <w:bottom w:val="single" w:color="auto" w:sz="4" w:space="0"/>
              <w:right w:val="single" w:color="auto" w:sz="4" w:space="0"/>
            </w:tcBorders>
            <w:shd w:val="clear" w:color="auto" w:fill="auto"/>
            <w:vAlign w:val="center"/>
          </w:tcPr>
          <w:p w14:paraId="381ABFC3">
            <w:pPr>
              <w:widowControl/>
              <w:rPr>
                <w:rFonts w:ascii="仿宋_GB2312"/>
                <w:color w:val="000000"/>
                <w:kern w:val="0"/>
                <w:sz w:val="20"/>
                <w:szCs w:val="20"/>
              </w:rPr>
            </w:pPr>
            <w:r>
              <w:rPr>
                <w:rFonts w:hint="eastAsia" w:ascii="仿宋_GB2312"/>
                <w:color w:val="000000"/>
                <w:kern w:val="0"/>
                <w:sz w:val="20"/>
                <w:szCs w:val="20"/>
              </w:rPr>
              <w:t>①符合国家财经法规和财务管理制度规定以及有关专项资金管理办法的规定,1分；②资金的拨付有完整的审批程序和手续，1分；③项目的重大开支经过专题论证，1分；④符合部门预算批复的用途，1分；⑤是否存在截留、挤占、挪用、虚列支出等情况，一旦存在该指标不得分。</w:t>
            </w:r>
          </w:p>
        </w:tc>
        <w:tc>
          <w:tcPr>
            <w:tcW w:w="1840" w:type="dxa"/>
            <w:tcBorders>
              <w:top w:val="nil"/>
              <w:left w:val="nil"/>
              <w:bottom w:val="single" w:color="auto" w:sz="4" w:space="0"/>
              <w:right w:val="single" w:color="auto" w:sz="4" w:space="0"/>
            </w:tcBorders>
            <w:shd w:val="clear" w:color="auto" w:fill="auto"/>
            <w:vAlign w:val="center"/>
          </w:tcPr>
          <w:p w14:paraId="55090911">
            <w:pPr>
              <w:widowControl/>
              <w:rPr>
                <w:rFonts w:ascii="仿宋_GB2312"/>
                <w:color w:val="000000"/>
                <w:kern w:val="0"/>
                <w:sz w:val="20"/>
                <w:szCs w:val="20"/>
              </w:rPr>
            </w:pPr>
            <w:r>
              <w:rPr>
                <w:rFonts w:hint="eastAsia" w:ascii="仿宋_GB2312"/>
                <w:color w:val="000000"/>
                <w:kern w:val="0"/>
                <w:sz w:val="20"/>
                <w:szCs w:val="20"/>
              </w:rPr>
              <w:t>资金支出相关凭证、流程梳理等</w:t>
            </w:r>
          </w:p>
        </w:tc>
      </w:tr>
      <w:tr w14:paraId="64F3B506">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000000" w:sz="4" w:space="0"/>
              <w:right w:val="single" w:color="auto" w:sz="4" w:space="0"/>
            </w:tcBorders>
            <w:vAlign w:val="center"/>
          </w:tcPr>
          <w:p w14:paraId="366D0B8D">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2623AC0A">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401B914F">
            <w:pPr>
              <w:widowControl/>
              <w:jc w:val="left"/>
              <w:rPr>
                <w:rFonts w:ascii="仿宋_GB2312"/>
                <w:color w:val="000000"/>
                <w:kern w:val="0"/>
                <w:sz w:val="20"/>
                <w:szCs w:val="20"/>
              </w:rPr>
            </w:pPr>
            <w:r>
              <w:rPr>
                <w:rFonts w:hint="eastAsia" w:ascii="仿宋_GB2312"/>
                <w:color w:val="000000"/>
                <w:kern w:val="0"/>
                <w:sz w:val="20"/>
                <w:szCs w:val="20"/>
              </w:rPr>
              <w:t>B23财务监控的有效性（1分）</w:t>
            </w:r>
          </w:p>
        </w:tc>
        <w:tc>
          <w:tcPr>
            <w:tcW w:w="680" w:type="dxa"/>
            <w:tcBorders>
              <w:top w:val="nil"/>
              <w:left w:val="nil"/>
              <w:bottom w:val="single" w:color="auto" w:sz="4" w:space="0"/>
              <w:right w:val="single" w:color="auto" w:sz="4" w:space="0"/>
            </w:tcBorders>
            <w:shd w:val="clear" w:color="auto" w:fill="auto"/>
            <w:vAlign w:val="center"/>
          </w:tcPr>
          <w:p w14:paraId="15FC7C2A">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760" w:type="dxa"/>
            <w:tcBorders>
              <w:top w:val="nil"/>
              <w:left w:val="nil"/>
              <w:bottom w:val="single" w:color="auto" w:sz="4" w:space="0"/>
              <w:right w:val="single" w:color="auto" w:sz="4" w:space="0"/>
            </w:tcBorders>
            <w:shd w:val="clear" w:color="auto" w:fill="auto"/>
            <w:vAlign w:val="center"/>
          </w:tcPr>
          <w:p w14:paraId="1AD055E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3220" w:type="dxa"/>
            <w:tcBorders>
              <w:top w:val="nil"/>
              <w:left w:val="nil"/>
              <w:bottom w:val="single" w:color="auto" w:sz="4" w:space="0"/>
              <w:right w:val="single" w:color="auto" w:sz="4" w:space="0"/>
            </w:tcBorders>
            <w:shd w:val="clear" w:color="auto" w:fill="auto"/>
            <w:vAlign w:val="center"/>
          </w:tcPr>
          <w:p w14:paraId="0A0C1DBB">
            <w:pPr>
              <w:widowControl/>
              <w:rPr>
                <w:rFonts w:ascii="仿宋_GB2312"/>
                <w:color w:val="000000"/>
                <w:kern w:val="0"/>
                <w:sz w:val="20"/>
                <w:szCs w:val="20"/>
              </w:rPr>
            </w:pPr>
            <w:r>
              <w:rPr>
                <w:rFonts w:hint="eastAsia" w:ascii="仿宋_GB2312"/>
                <w:color w:val="000000"/>
                <w:kern w:val="0"/>
                <w:sz w:val="20"/>
                <w:szCs w:val="20"/>
              </w:rPr>
              <w:t>用以反映部门财务监控监督工作的有效性，包括监控、监督措施的制定及执行等方面。</w:t>
            </w:r>
          </w:p>
        </w:tc>
        <w:tc>
          <w:tcPr>
            <w:tcW w:w="3900" w:type="dxa"/>
            <w:tcBorders>
              <w:top w:val="nil"/>
              <w:left w:val="nil"/>
              <w:bottom w:val="single" w:color="auto" w:sz="4" w:space="0"/>
              <w:right w:val="single" w:color="auto" w:sz="4" w:space="0"/>
            </w:tcBorders>
            <w:shd w:val="clear" w:color="auto" w:fill="auto"/>
            <w:vAlign w:val="center"/>
          </w:tcPr>
          <w:p w14:paraId="2D35D6D5">
            <w:pPr>
              <w:widowControl/>
              <w:rPr>
                <w:rFonts w:ascii="仿宋_GB2312"/>
                <w:color w:val="000000"/>
                <w:kern w:val="0"/>
                <w:sz w:val="20"/>
                <w:szCs w:val="20"/>
              </w:rPr>
            </w:pPr>
            <w:r>
              <w:rPr>
                <w:rFonts w:hint="eastAsia" w:ascii="仿宋_GB2312"/>
                <w:color w:val="000000"/>
                <w:kern w:val="0"/>
                <w:sz w:val="20"/>
                <w:szCs w:val="20"/>
              </w:rPr>
              <w:t>①制定明确的财务监控监督措施，得0.5分；②监控、监督措施执行有效，得0.5分；</w:t>
            </w:r>
          </w:p>
        </w:tc>
        <w:tc>
          <w:tcPr>
            <w:tcW w:w="1840" w:type="dxa"/>
            <w:tcBorders>
              <w:top w:val="nil"/>
              <w:left w:val="nil"/>
              <w:bottom w:val="single" w:color="auto" w:sz="4" w:space="0"/>
              <w:right w:val="single" w:color="auto" w:sz="4" w:space="0"/>
            </w:tcBorders>
            <w:shd w:val="clear" w:color="auto" w:fill="auto"/>
            <w:vAlign w:val="center"/>
          </w:tcPr>
          <w:p w14:paraId="1BE2A652">
            <w:pPr>
              <w:widowControl/>
              <w:rPr>
                <w:rFonts w:ascii="仿宋_GB2312"/>
                <w:color w:val="000000"/>
                <w:kern w:val="0"/>
                <w:sz w:val="20"/>
                <w:szCs w:val="20"/>
              </w:rPr>
            </w:pPr>
            <w:r>
              <w:rPr>
                <w:rFonts w:hint="eastAsia" w:ascii="仿宋_GB2312"/>
                <w:color w:val="000000"/>
                <w:kern w:val="0"/>
                <w:sz w:val="20"/>
                <w:szCs w:val="20"/>
              </w:rPr>
              <w:t>财务监控监督相关办法及条款，实际执行情况资料</w:t>
            </w:r>
          </w:p>
        </w:tc>
      </w:tr>
      <w:tr w14:paraId="134E22E2">
        <w:tblPrEx>
          <w:tblCellMar>
            <w:top w:w="0" w:type="dxa"/>
            <w:left w:w="108" w:type="dxa"/>
            <w:bottom w:w="0" w:type="dxa"/>
            <w:right w:w="108" w:type="dxa"/>
          </w:tblCellMar>
        </w:tblPrEx>
        <w:trPr>
          <w:trHeight w:val="1440" w:hRule="atLeast"/>
        </w:trPr>
        <w:tc>
          <w:tcPr>
            <w:tcW w:w="740" w:type="dxa"/>
            <w:vMerge w:val="continue"/>
            <w:tcBorders>
              <w:top w:val="nil"/>
              <w:left w:val="single" w:color="auto" w:sz="4" w:space="0"/>
              <w:bottom w:val="single" w:color="000000" w:sz="4" w:space="0"/>
              <w:right w:val="single" w:color="auto" w:sz="4" w:space="0"/>
            </w:tcBorders>
            <w:vAlign w:val="center"/>
          </w:tcPr>
          <w:p w14:paraId="51A46EBB">
            <w:pPr>
              <w:widowControl/>
              <w:jc w:val="left"/>
              <w:rPr>
                <w:rFonts w:ascii="仿宋_GB2312"/>
                <w:b/>
                <w:bCs/>
                <w:color w:val="000000"/>
                <w:kern w:val="0"/>
                <w:sz w:val="20"/>
                <w:szCs w:val="20"/>
              </w:rPr>
            </w:pPr>
          </w:p>
        </w:tc>
        <w:tc>
          <w:tcPr>
            <w:tcW w:w="820" w:type="dxa"/>
            <w:vMerge w:val="restart"/>
            <w:tcBorders>
              <w:top w:val="nil"/>
              <w:left w:val="single" w:color="auto" w:sz="4" w:space="0"/>
              <w:bottom w:val="single" w:color="000000" w:sz="4" w:space="0"/>
              <w:right w:val="single" w:color="auto" w:sz="4" w:space="0"/>
            </w:tcBorders>
            <w:shd w:val="clear" w:color="auto" w:fill="auto"/>
            <w:vAlign w:val="center"/>
          </w:tcPr>
          <w:p w14:paraId="550A62FE">
            <w:pPr>
              <w:widowControl/>
              <w:jc w:val="center"/>
              <w:rPr>
                <w:rFonts w:ascii="仿宋_GB2312"/>
                <w:color w:val="000000"/>
                <w:kern w:val="0"/>
                <w:sz w:val="20"/>
                <w:szCs w:val="20"/>
              </w:rPr>
            </w:pPr>
            <w:r>
              <w:rPr>
                <w:rFonts w:hint="eastAsia" w:ascii="仿宋_GB2312"/>
                <w:color w:val="000000"/>
                <w:kern w:val="0"/>
                <w:sz w:val="20"/>
                <w:szCs w:val="20"/>
              </w:rPr>
              <w:t>B3人力资源管理（2分）</w:t>
            </w:r>
          </w:p>
        </w:tc>
        <w:tc>
          <w:tcPr>
            <w:tcW w:w="2040" w:type="dxa"/>
            <w:tcBorders>
              <w:top w:val="nil"/>
              <w:left w:val="nil"/>
              <w:bottom w:val="single" w:color="auto" w:sz="4" w:space="0"/>
              <w:right w:val="single" w:color="auto" w:sz="4" w:space="0"/>
            </w:tcBorders>
            <w:shd w:val="clear" w:color="000000" w:fill="FFFFFF"/>
            <w:vAlign w:val="center"/>
          </w:tcPr>
          <w:p w14:paraId="41B1F85B">
            <w:pPr>
              <w:widowControl/>
              <w:jc w:val="left"/>
              <w:rPr>
                <w:rFonts w:ascii="仿宋_GB2312"/>
                <w:color w:val="000000"/>
                <w:kern w:val="0"/>
                <w:sz w:val="20"/>
                <w:szCs w:val="20"/>
              </w:rPr>
            </w:pPr>
            <w:r>
              <w:rPr>
                <w:rFonts w:hint="eastAsia" w:ascii="仿宋_GB2312"/>
                <w:color w:val="000000"/>
                <w:kern w:val="0"/>
                <w:sz w:val="20"/>
                <w:szCs w:val="20"/>
              </w:rPr>
              <w:t>B31在职人员控制率（1分）</w:t>
            </w:r>
          </w:p>
        </w:tc>
        <w:tc>
          <w:tcPr>
            <w:tcW w:w="680" w:type="dxa"/>
            <w:tcBorders>
              <w:top w:val="nil"/>
              <w:left w:val="nil"/>
              <w:bottom w:val="single" w:color="auto" w:sz="4" w:space="0"/>
              <w:right w:val="single" w:color="auto" w:sz="4" w:space="0"/>
            </w:tcBorders>
            <w:shd w:val="clear" w:color="auto" w:fill="auto"/>
            <w:vAlign w:val="center"/>
          </w:tcPr>
          <w:p w14:paraId="34E47469">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760" w:type="dxa"/>
            <w:tcBorders>
              <w:top w:val="nil"/>
              <w:left w:val="nil"/>
              <w:bottom w:val="single" w:color="auto" w:sz="4" w:space="0"/>
              <w:right w:val="single" w:color="auto" w:sz="4" w:space="0"/>
            </w:tcBorders>
            <w:shd w:val="clear" w:color="auto" w:fill="auto"/>
            <w:vAlign w:val="center"/>
          </w:tcPr>
          <w:p w14:paraId="62268FB7">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3220" w:type="dxa"/>
            <w:tcBorders>
              <w:top w:val="nil"/>
              <w:left w:val="nil"/>
              <w:bottom w:val="single" w:color="auto" w:sz="4" w:space="0"/>
              <w:right w:val="single" w:color="auto" w:sz="4" w:space="0"/>
            </w:tcBorders>
            <w:shd w:val="clear" w:color="auto" w:fill="auto"/>
            <w:vAlign w:val="center"/>
          </w:tcPr>
          <w:p w14:paraId="2F923BC0">
            <w:pPr>
              <w:widowControl/>
              <w:rPr>
                <w:rFonts w:ascii="仿宋_GB2312"/>
                <w:color w:val="000000"/>
                <w:kern w:val="0"/>
                <w:sz w:val="20"/>
                <w:szCs w:val="20"/>
              </w:rPr>
            </w:pPr>
            <w:r>
              <w:rPr>
                <w:rFonts w:hint="eastAsia" w:ascii="仿宋_GB2312"/>
                <w:color w:val="000000"/>
                <w:kern w:val="0"/>
                <w:sz w:val="20"/>
                <w:szCs w:val="20"/>
              </w:rPr>
              <w:t>部门本年度实际在职人员数与编制数的比率，用以反映和考核部门对人员成本的控制程度。</w:t>
            </w:r>
          </w:p>
        </w:tc>
        <w:tc>
          <w:tcPr>
            <w:tcW w:w="3900" w:type="dxa"/>
            <w:tcBorders>
              <w:top w:val="nil"/>
              <w:left w:val="nil"/>
              <w:bottom w:val="single" w:color="auto" w:sz="4" w:space="0"/>
              <w:right w:val="single" w:color="auto" w:sz="4" w:space="0"/>
            </w:tcBorders>
            <w:shd w:val="clear" w:color="auto" w:fill="auto"/>
            <w:vAlign w:val="center"/>
          </w:tcPr>
          <w:p w14:paraId="6BE4560B">
            <w:pPr>
              <w:widowControl/>
              <w:rPr>
                <w:rFonts w:ascii="仿宋_GB2312"/>
                <w:color w:val="000000"/>
                <w:kern w:val="0"/>
                <w:sz w:val="20"/>
                <w:szCs w:val="20"/>
              </w:rPr>
            </w:pPr>
            <w:r>
              <w:rPr>
                <w:rFonts w:hint="eastAsia" w:ascii="仿宋_GB2312"/>
                <w:color w:val="000000"/>
                <w:kern w:val="0"/>
                <w:sz w:val="20"/>
                <w:szCs w:val="20"/>
              </w:rPr>
              <w:t>在职人员控制率=（在职人员数/编制数）×100%。在职人员数：部门（单位）实际在职人数，以财政部门确定的部门决算编制口径为准。编制数：机构编制部门核定批复的部门人员编制数。在职人员控制率≤100%得满分，有超出不得分。</w:t>
            </w:r>
          </w:p>
        </w:tc>
        <w:tc>
          <w:tcPr>
            <w:tcW w:w="1840" w:type="dxa"/>
            <w:tcBorders>
              <w:top w:val="nil"/>
              <w:left w:val="nil"/>
              <w:bottom w:val="single" w:color="auto" w:sz="4" w:space="0"/>
              <w:right w:val="single" w:color="auto" w:sz="4" w:space="0"/>
            </w:tcBorders>
            <w:shd w:val="clear" w:color="auto" w:fill="auto"/>
            <w:vAlign w:val="center"/>
          </w:tcPr>
          <w:p w14:paraId="0ADF61C4">
            <w:pPr>
              <w:widowControl/>
              <w:rPr>
                <w:rFonts w:ascii="仿宋_GB2312"/>
                <w:color w:val="000000"/>
                <w:kern w:val="0"/>
                <w:sz w:val="20"/>
                <w:szCs w:val="20"/>
              </w:rPr>
            </w:pPr>
            <w:r>
              <w:rPr>
                <w:rFonts w:hint="eastAsia" w:ascii="仿宋_GB2312"/>
                <w:color w:val="000000"/>
                <w:kern w:val="0"/>
                <w:sz w:val="20"/>
                <w:szCs w:val="20"/>
              </w:rPr>
              <w:t>部门编制数、在职人数、年内变化情况</w:t>
            </w:r>
          </w:p>
        </w:tc>
      </w:tr>
      <w:tr w14:paraId="73F97F5C">
        <w:tblPrEx>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000000" w:sz="4" w:space="0"/>
              <w:right w:val="single" w:color="auto" w:sz="4" w:space="0"/>
            </w:tcBorders>
            <w:vAlign w:val="center"/>
          </w:tcPr>
          <w:p w14:paraId="7B338B9D">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23281D16">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342ECAC2">
            <w:pPr>
              <w:widowControl/>
              <w:jc w:val="left"/>
              <w:rPr>
                <w:rFonts w:ascii="仿宋_GB2312"/>
                <w:color w:val="000000"/>
                <w:kern w:val="0"/>
                <w:sz w:val="20"/>
                <w:szCs w:val="20"/>
              </w:rPr>
            </w:pPr>
            <w:r>
              <w:rPr>
                <w:rFonts w:hint="eastAsia" w:ascii="仿宋_GB2312"/>
                <w:color w:val="000000"/>
                <w:kern w:val="0"/>
                <w:sz w:val="20"/>
                <w:szCs w:val="20"/>
              </w:rPr>
              <w:t>B32人力资源管理执行情况（1分）</w:t>
            </w:r>
          </w:p>
        </w:tc>
        <w:tc>
          <w:tcPr>
            <w:tcW w:w="680" w:type="dxa"/>
            <w:tcBorders>
              <w:top w:val="nil"/>
              <w:left w:val="nil"/>
              <w:bottom w:val="single" w:color="auto" w:sz="4" w:space="0"/>
              <w:right w:val="single" w:color="auto" w:sz="4" w:space="0"/>
            </w:tcBorders>
            <w:shd w:val="clear" w:color="auto" w:fill="auto"/>
            <w:vAlign w:val="center"/>
          </w:tcPr>
          <w:p w14:paraId="7C8588A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760" w:type="dxa"/>
            <w:tcBorders>
              <w:top w:val="nil"/>
              <w:left w:val="nil"/>
              <w:bottom w:val="single" w:color="auto" w:sz="4" w:space="0"/>
              <w:right w:val="single" w:color="auto" w:sz="4" w:space="0"/>
            </w:tcBorders>
            <w:shd w:val="clear" w:color="auto" w:fill="auto"/>
            <w:vAlign w:val="center"/>
          </w:tcPr>
          <w:p w14:paraId="54905240">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3220" w:type="dxa"/>
            <w:tcBorders>
              <w:top w:val="nil"/>
              <w:left w:val="nil"/>
              <w:bottom w:val="single" w:color="auto" w:sz="4" w:space="0"/>
              <w:right w:val="single" w:color="auto" w:sz="4" w:space="0"/>
            </w:tcBorders>
            <w:shd w:val="clear" w:color="auto" w:fill="auto"/>
            <w:vAlign w:val="center"/>
          </w:tcPr>
          <w:p w14:paraId="76C5E660">
            <w:pPr>
              <w:widowControl/>
              <w:rPr>
                <w:rFonts w:ascii="仿宋_GB2312"/>
                <w:color w:val="000000"/>
                <w:kern w:val="0"/>
                <w:sz w:val="20"/>
                <w:szCs w:val="20"/>
              </w:rPr>
            </w:pPr>
            <w:r>
              <w:rPr>
                <w:rFonts w:hint="eastAsia" w:ascii="仿宋_GB2312"/>
                <w:color w:val="000000"/>
                <w:kern w:val="0"/>
                <w:sz w:val="20"/>
                <w:szCs w:val="20"/>
              </w:rPr>
              <w:t>考察部门人力资源管理的健全性及执行规范性，包括在编、派遣、临时员工的管理，包括招聘、培训、工资发放及考核等。</w:t>
            </w:r>
          </w:p>
        </w:tc>
        <w:tc>
          <w:tcPr>
            <w:tcW w:w="3900" w:type="dxa"/>
            <w:tcBorders>
              <w:top w:val="nil"/>
              <w:left w:val="nil"/>
              <w:bottom w:val="single" w:color="auto" w:sz="4" w:space="0"/>
              <w:right w:val="single" w:color="auto" w:sz="4" w:space="0"/>
            </w:tcBorders>
            <w:shd w:val="clear" w:color="auto" w:fill="auto"/>
            <w:vAlign w:val="center"/>
          </w:tcPr>
          <w:p w14:paraId="0678ED9B">
            <w:pPr>
              <w:widowControl/>
              <w:rPr>
                <w:rFonts w:ascii="仿宋_GB2312"/>
                <w:color w:val="000000"/>
                <w:kern w:val="0"/>
                <w:sz w:val="20"/>
                <w:szCs w:val="20"/>
              </w:rPr>
            </w:pPr>
            <w:r>
              <w:rPr>
                <w:rFonts w:hint="eastAsia" w:ascii="仿宋_GB2312"/>
                <w:color w:val="000000"/>
                <w:kern w:val="0"/>
                <w:sz w:val="20"/>
                <w:szCs w:val="20"/>
              </w:rPr>
              <w:t>①有具体的人力资源管理制度文件或参照文件，得0.5分；②严格按照相关文件对各类型人员进行管理和考核，得0.5分</w:t>
            </w:r>
          </w:p>
        </w:tc>
        <w:tc>
          <w:tcPr>
            <w:tcW w:w="1840" w:type="dxa"/>
            <w:tcBorders>
              <w:top w:val="nil"/>
              <w:left w:val="nil"/>
              <w:bottom w:val="single" w:color="auto" w:sz="4" w:space="0"/>
              <w:right w:val="single" w:color="auto" w:sz="4" w:space="0"/>
            </w:tcBorders>
            <w:shd w:val="clear" w:color="auto" w:fill="auto"/>
            <w:vAlign w:val="center"/>
          </w:tcPr>
          <w:p w14:paraId="5D364A64">
            <w:pPr>
              <w:widowControl/>
              <w:rPr>
                <w:rFonts w:ascii="仿宋_GB2312"/>
                <w:color w:val="000000"/>
                <w:kern w:val="0"/>
                <w:sz w:val="20"/>
                <w:szCs w:val="20"/>
              </w:rPr>
            </w:pPr>
            <w:r>
              <w:rPr>
                <w:rFonts w:hint="eastAsia" w:ascii="仿宋_GB2312"/>
                <w:color w:val="000000"/>
                <w:kern w:val="0"/>
                <w:sz w:val="20"/>
                <w:szCs w:val="20"/>
              </w:rPr>
              <w:t>人力资源管理相关文件及实施情况</w:t>
            </w:r>
          </w:p>
        </w:tc>
      </w:tr>
      <w:tr w14:paraId="50BF7B16">
        <w:tblPrEx>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000000" w:sz="4" w:space="0"/>
              <w:right w:val="single" w:color="auto" w:sz="4" w:space="0"/>
            </w:tcBorders>
            <w:vAlign w:val="center"/>
          </w:tcPr>
          <w:p w14:paraId="5956268D">
            <w:pPr>
              <w:widowControl/>
              <w:jc w:val="left"/>
              <w:rPr>
                <w:rFonts w:ascii="仿宋_GB2312"/>
                <w:b/>
                <w:bCs/>
                <w:color w:val="000000"/>
                <w:kern w:val="0"/>
                <w:sz w:val="20"/>
                <w:szCs w:val="20"/>
              </w:rPr>
            </w:pPr>
          </w:p>
        </w:tc>
        <w:tc>
          <w:tcPr>
            <w:tcW w:w="820" w:type="dxa"/>
            <w:vMerge w:val="restart"/>
            <w:tcBorders>
              <w:top w:val="nil"/>
              <w:left w:val="single" w:color="auto" w:sz="4" w:space="0"/>
              <w:bottom w:val="single" w:color="000000" w:sz="4" w:space="0"/>
              <w:right w:val="single" w:color="auto" w:sz="4" w:space="0"/>
            </w:tcBorders>
            <w:shd w:val="clear" w:color="auto" w:fill="auto"/>
            <w:vAlign w:val="center"/>
          </w:tcPr>
          <w:p w14:paraId="52A66525">
            <w:pPr>
              <w:widowControl/>
              <w:jc w:val="center"/>
              <w:rPr>
                <w:rFonts w:ascii="仿宋_GB2312"/>
                <w:color w:val="000000"/>
                <w:kern w:val="0"/>
                <w:sz w:val="20"/>
                <w:szCs w:val="20"/>
              </w:rPr>
            </w:pPr>
            <w:r>
              <w:rPr>
                <w:rFonts w:hint="eastAsia" w:ascii="仿宋_GB2312"/>
                <w:color w:val="000000"/>
                <w:kern w:val="0"/>
                <w:sz w:val="20"/>
                <w:szCs w:val="20"/>
              </w:rPr>
              <w:t>B4资产管理（2分）</w:t>
            </w:r>
          </w:p>
        </w:tc>
        <w:tc>
          <w:tcPr>
            <w:tcW w:w="2040" w:type="dxa"/>
            <w:tcBorders>
              <w:top w:val="nil"/>
              <w:left w:val="nil"/>
              <w:bottom w:val="single" w:color="auto" w:sz="4" w:space="0"/>
              <w:right w:val="single" w:color="auto" w:sz="4" w:space="0"/>
            </w:tcBorders>
            <w:shd w:val="clear" w:color="000000" w:fill="FFFFFF"/>
            <w:vAlign w:val="center"/>
          </w:tcPr>
          <w:p w14:paraId="3EA6E235">
            <w:pPr>
              <w:widowControl/>
              <w:jc w:val="left"/>
              <w:rPr>
                <w:rFonts w:ascii="仿宋_GB2312"/>
                <w:color w:val="000000"/>
                <w:kern w:val="0"/>
                <w:sz w:val="20"/>
                <w:szCs w:val="20"/>
              </w:rPr>
            </w:pPr>
            <w:r>
              <w:rPr>
                <w:rFonts w:hint="eastAsia" w:ascii="仿宋_GB2312"/>
                <w:color w:val="000000"/>
                <w:kern w:val="0"/>
                <w:sz w:val="20"/>
                <w:szCs w:val="20"/>
              </w:rPr>
              <w:t>B41资产管理制度健全性及执行情况（1分）</w:t>
            </w:r>
          </w:p>
        </w:tc>
        <w:tc>
          <w:tcPr>
            <w:tcW w:w="680" w:type="dxa"/>
            <w:tcBorders>
              <w:top w:val="nil"/>
              <w:left w:val="nil"/>
              <w:bottom w:val="single" w:color="auto" w:sz="4" w:space="0"/>
              <w:right w:val="single" w:color="auto" w:sz="4" w:space="0"/>
            </w:tcBorders>
            <w:shd w:val="clear" w:color="auto" w:fill="auto"/>
            <w:vAlign w:val="center"/>
          </w:tcPr>
          <w:p w14:paraId="49A88AA1">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760" w:type="dxa"/>
            <w:tcBorders>
              <w:top w:val="nil"/>
              <w:left w:val="nil"/>
              <w:bottom w:val="single" w:color="auto" w:sz="4" w:space="0"/>
              <w:right w:val="single" w:color="auto" w:sz="4" w:space="0"/>
            </w:tcBorders>
            <w:shd w:val="clear" w:color="auto" w:fill="auto"/>
            <w:vAlign w:val="center"/>
          </w:tcPr>
          <w:p w14:paraId="5F4CA3C1">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3220" w:type="dxa"/>
            <w:tcBorders>
              <w:top w:val="nil"/>
              <w:left w:val="nil"/>
              <w:bottom w:val="single" w:color="auto" w:sz="4" w:space="0"/>
              <w:right w:val="single" w:color="auto" w:sz="4" w:space="0"/>
            </w:tcBorders>
            <w:shd w:val="clear" w:color="auto" w:fill="auto"/>
            <w:vAlign w:val="center"/>
          </w:tcPr>
          <w:p w14:paraId="624FF723">
            <w:pPr>
              <w:widowControl/>
              <w:rPr>
                <w:rFonts w:ascii="仿宋_GB2312"/>
                <w:color w:val="000000"/>
                <w:kern w:val="0"/>
                <w:sz w:val="20"/>
                <w:szCs w:val="20"/>
              </w:rPr>
            </w:pPr>
            <w:r>
              <w:rPr>
                <w:rFonts w:hint="eastAsia" w:ascii="仿宋_GB2312"/>
                <w:color w:val="000000"/>
                <w:kern w:val="0"/>
                <w:sz w:val="20"/>
                <w:szCs w:val="20"/>
              </w:rPr>
              <w:t>部门为加强资产管理、规范资产使用而制定的资产管理制度是否健全完整，用以反映和考核部门资产管理制度对完成主要职责或促进事业发展的保障情况。</w:t>
            </w:r>
          </w:p>
        </w:tc>
        <w:tc>
          <w:tcPr>
            <w:tcW w:w="3900" w:type="dxa"/>
            <w:tcBorders>
              <w:top w:val="nil"/>
              <w:left w:val="nil"/>
              <w:bottom w:val="single" w:color="auto" w:sz="4" w:space="0"/>
              <w:right w:val="single" w:color="auto" w:sz="4" w:space="0"/>
            </w:tcBorders>
            <w:shd w:val="clear" w:color="auto" w:fill="auto"/>
            <w:vAlign w:val="center"/>
          </w:tcPr>
          <w:p w14:paraId="0D9B6D63">
            <w:pPr>
              <w:widowControl/>
              <w:rPr>
                <w:rFonts w:ascii="仿宋_GB2312"/>
                <w:color w:val="000000"/>
                <w:kern w:val="0"/>
                <w:sz w:val="20"/>
                <w:szCs w:val="20"/>
              </w:rPr>
            </w:pPr>
            <w:r>
              <w:rPr>
                <w:rFonts w:hint="eastAsia" w:ascii="仿宋_GB2312"/>
                <w:color w:val="000000"/>
                <w:kern w:val="0"/>
                <w:sz w:val="20"/>
                <w:szCs w:val="20"/>
              </w:rPr>
              <w:t>①是否已制定或具有固定资产管理办法、资产使用办法等管理制度，得0.25分；②相关管理制度是否合法、合规、完整，得0.25分；③相关管理制度是否得到有效执行，得0.5分。</w:t>
            </w:r>
          </w:p>
        </w:tc>
        <w:tc>
          <w:tcPr>
            <w:tcW w:w="1840" w:type="dxa"/>
            <w:tcBorders>
              <w:top w:val="nil"/>
              <w:left w:val="nil"/>
              <w:bottom w:val="single" w:color="auto" w:sz="4" w:space="0"/>
              <w:right w:val="single" w:color="auto" w:sz="4" w:space="0"/>
            </w:tcBorders>
            <w:shd w:val="clear" w:color="auto" w:fill="auto"/>
            <w:vAlign w:val="center"/>
          </w:tcPr>
          <w:p w14:paraId="7541B8C2">
            <w:pPr>
              <w:widowControl/>
              <w:rPr>
                <w:rFonts w:ascii="仿宋_GB2312"/>
                <w:color w:val="000000"/>
                <w:kern w:val="0"/>
                <w:sz w:val="20"/>
                <w:szCs w:val="20"/>
              </w:rPr>
            </w:pPr>
            <w:r>
              <w:rPr>
                <w:rFonts w:hint="eastAsia" w:ascii="仿宋_GB2312"/>
                <w:color w:val="000000"/>
                <w:kern w:val="0"/>
                <w:sz w:val="20"/>
                <w:szCs w:val="20"/>
              </w:rPr>
              <w:t>资产管理相关办法</w:t>
            </w:r>
          </w:p>
        </w:tc>
      </w:tr>
      <w:tr w14:paraId="3EB32117">
        <w:tblPrEx>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single" w:color="000000" w:sz="4" w:space="0"/>
              <w:right w:val="single" w:color="auto" w:sz="4" w:space="0"/>
            </w:tcBorders>
            <w:vAlign w:val="center"/>
          </w:tcPr>
          <w:p w14:paraId="06611411">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0240CB41">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3BB1B04F">
            <w:pPr>
              <w:widowControl/>
              <w:jc w:val="left"/>
              <w:rPr>
                <w:rFonts w:ascii="仿宋_GB2312"/>
                <w:color w:val="000000"/>
                <w:kern w:val="0"/>
                <w:sz w:val="20"/>
                <w:szCs w:val="20"/>
              </w:rPr>
            </w:pPr>
            <w:r>
              <w:rPr>
                <w:rFonts w:hint="eastAsia" w:ascii="仿宋_GB2312"/>
                <w:color w:val="000000"/>
                <w:kern w:val="0"/>
                <w:sz w:val="20"/>
                <w:szCs w:val="20"/>
              </w:rPr>
              <w:t>B42固定资产在用率（1分）</w:t>
            </w:r>
          </w:p>
        </w:tc>
        <w:tc>
          <w:tcPr>
            <w:tcW w:w="680" w:type="dxa"/>
            <w:tcBorders>
              <w:top w:val="nil"/>
              <w:left w:val="nil"/>
              <w:bottom w:val="single" w:color="auto" w:sz="4" w:space="0"/>
              <w:right w:val="single" w:color="auto" w:sz="4" w:space="0"/>
            </w:tcBorders>
            <w:shd w:val="clear" w:color="auto" w:fill="auto"/>
            <w:vAlign w:val="center"/>
          </w:tcPr>
          <w:p w14:paraId="633FA8A2">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760" w:type="dxa"/>
            <w:tcBorders>
              <w:top w:val="nil"/>
              <w:left w:val="nil"/>
              <w:bottom w:val="single" w:color="auto" w:sz="4" w:space="0"/>
              <w:right w:val="single" w:color="auto" w:sz="4" w:space="0"/>
            </w:tcBorders>
            <w:shd w:val="clear" w:color="auto" w:fill="auto"/>
            <w:vAlign w:val="center"/>
          </w:tcPr>
          <w:p w14:paraId="332C2120">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3220" w:type="dxa"/>
            <w:tcBorders>
              <w:top w:val="nil"/>
              <w:left w:val="nil"/>
              <w:bottom w:val="single" w:color="auto" w:sz="4" w:space="0"/>
              <w:right w:val="single" w:color="auto" w:sz="4" w:space="0"/>
            </w:tcBorders>
            <w:shd w:val="clear" w:color="auto" w:fill="auto"/>
            <w:vAlign w:val="center"/>
          </w:tcPr>
          <w:p w14:paraId="1FCA876E">
            <w:pPr>
              <w:widowControl/>
              <w:rPr>
                <w:rFonts w:ascii="仿宋_GB2312"/>
                <w:color w:val="000000"/>
                <w:kern w:val="0"/>
                <w:sz w:val="20"/>
                <w:szCs w:val="20"/>
              </w:rPr>
            </w:pPr>
            <w:r>
              <w:rPr>
                <w:rFonts w:hint="eastAsia" w:ascii="仿宋_GB2312"/>
                <w:color w:val="000000"/>
                <w:kern w:val="0"/>
                <w:sz w:val="20"/>
                <w:szCs w:val="20"/>
              </w:rPr>
              <w:t>部门实际在用固定资产总额与所有固定资产总额的比率，用以反映和考核部门固定资产使用效率及程度。</w:t>
            </w:r>
          </w:p>
        </w:tc>
        <w:tc>
          <w:tcPr>
            <w:tcW w:w="3900" w:type="dxa"/>
            <w:tcBorders>
              <w:top w:val="nil"/>
              <w:left w:val="nil"/>
              <w:bottom w:val="single" w:color="auto" w:sz="4" w:space="0"/>
              <w:right w:val="single" w:color="auto" w:sz="4" w:space="0"/>
            </w:tcBorders>
            <w:shd w:val="clear" w:color="auto" w:fill="auto"/>
            <w:vAlign w:val="center"/>
          </w:tcPr>
          <w:p w14:paraId="4468929F">
            <w:pPr>
              <w:widowControl/>
              <w:rPr>
                <w:rFonts w:ascii="仿宋_GB2312"/>
                <w:color w:val="000000"/>
                <w:kern w:val="0"/>
                <w:sz w:val="20"/>
                <w:szCs w:val="20"/>
              </w:rPr>
            </w:pPr>
            <w:r>
              <w:rPr>
                <w:rFonts w:hint="eastAsia" w:ascii="仿宋_GB2312"/>
                <w:color w:val="000000"/>
                <w:kern w:val="0"/>
                <w:sz w:val="20"/>
                <w:szCs w:val="20"/>
              </w:rPr>
              <w:t>固定资产在用率=（实际在用固定资产总额/所有固定资产总额）×100%。固定资产在用率达到95%以上得满分.每降低1%扣权重分（1分）的5%，扣完为止。</w:t>
            </w:r>
          </w:p>
        </w:tc>
        <w:tc>
          <w:tcPr>
            <w:tcW w:w="1840" w:type="dxa"/>
            <w:tcBorders>
              <w:top w:val="nil"/>
              <w:left w:val="nil"/>
              <w:bottom w:val="single" w:color="auto" w:sz="4" w:space="0"/>
              <w:right w:val="single" w:color="auto" w:sz="4" w:space="0"/>
            </w:tcBorders>
            <w:shd w:val="clear" w:color="auto" w:fill="auto"/>
            <w:vAlign w:val="center"/>
          </w:tcPr>
          <w:p w14:paraId="122393C9">
            <w:pPr>
              <w:widowControl/>
              <w:rPr>
                <w:rFonts w:ascii="仿宋_GB2312"/>
                <w:color w:val="000000"/>
                <w:kern w:val="0"/>
                <w:sz w:val="20"/>
                <w:szCs w:val="20"/>
              </w:rPr>
            </w:pPr>
            <w:r>
              <w:rPr>
                <w:rFonts w:hint="eastAsia" w:ascii="仿宋_GB2312"/>
                <w:color w:val="000000"/>
                <w:kern w:val="0"/>
                <w:sz w:val="20"/>
                <w:szCs w:val="20"/>
              </w:rPr>
              <w:t>固定资产卡片、固定资产使用信息等</w:t>
            </w:r>
          </w:p>
        </w:tc>
      </w:tr>
      <w:tr w14:paraId="78D3A143">
        <w:tblPrEx>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000000" w:sz="4" w:space="0"/>
              <w:right w:val="single" w:color="auto" w:sz="4" w:space="0"/>
            </w:tcBorders>
            <w:vAlign w:val="center"/>
          </w:tcPr>
          <w:p w14:paraId="6B327BC6">
            <w:pPr>
              <w:widowControl/>
              <w:jc w:val="left"/>
              <w:rPr>
                <w:rFonts w:ascii="仿宋_GB2312"/>
                <w:b/>
                <w:bCs/>
                <w:color w:val="000000"/>
                <w:kern w:val="0"/>
                <w:sz w:val="20"/>
                <w:szCs w:val="20"/>
              </w:rPr>
            </w:pPr>
          </w:p>
        </w:tc>
        <w:tc>
          <w:tcPr>
            <w:tcW w:w="820" w:type="dxa"/>
            <w:vMerge w:val="restart"/>
            <w:tcBorders>
              <w:top w:val="nil"/>
              <w:left w:val="single" w:color="auto" w:sz="4" w:space="0"/>
              <w:bottom w:val="single" w:color="000000" w:sz="4" w:space="0"/>
              <w:right w:val="single" w:color="auto" w:sz="4" w:space="0"/>
            </w:tcBorders>
            <w:shd w:val="clear" w:color="auto" w:fill="auto"/>
            <w:vAlign w:val="center"/>
          </w:tcPr>
          <w:p w14:paraId="5ECD7024">
            <w:pPr>
              <w:widowControl/>
              <w:jc w:val="center"/>
              <w:rPr>
                <w:rFonts w:ascii="仿宋_GB2312"/>
                <w:color w:val="000000"/>
                <w:kern w:val="0"/>
                <w:sz w:val="20"/>
                <w:szCs w:val="20"/>
              </w:rPr>
            </w:pPr>
            <w:r>
              <w:rPr>
                <w:rFonts w:hint="eastAsia" w:ascii="仿宋_GB2312"/>
                <w:color w:val="000000"/>
                <w:kern w:val="0"/>
                <w:sz w:val="20"/>
                <w:szCs w:val="20"/>
              </w:rPr>
              <w:t>B5业务管理（3分）</w:t>
            </w:r>
          </w:p>
        </w:tc>
        <w:tc>
          <w:tcPr>
            <w:tcW w:w="2040" w:type="dxa"/>
            <w:tcBorders>
              <w:top w:val="nil"/>
              <w:left w:val="nil"/>
              <w:bottom w:val="single" w:color="auto" w:sz="4" w:space="0"/>
              <w:right w:val="single" w:color="auto" w:sz="4" w:space="0"/>
            </w:tcBorders>
            <w:shd w:val="clear" w:color="000000" w:fill="FFFFFF"/>
            <w:vAlign w:val="center"/>
          </w:tcPr>
          <w:p w14:paraId="7E0E331A">
            <w:pPr>
              <w:widowControl/>
              <w:jc w:val="left"/>
              <w:rPr>
                <w:rFonts w:ascii="仿宋_GB2312"/>
                <w:color w:val="000000"/>
                <w:kern w:val="0"/>
                <w:sz w:val="20"/>
                <w:szCs w:val="20"/>
              </w:rPr>
            </w:pPr>
            <w:r>
              <w:rPr>
                <w:rFonts w:hint="eastAsia" w:ascii="仿宋_GB2312"/>
                <w:color w:val="000000"/>
                <w:kern w:val="0"/>
                <w:sz w:val="20"/>
                <w:szCs w:val="20"/>
              </w:rPr>
              <w:t>B51业务管理制度健全性及执行情况（1分）</w:t>
            </w:r>
          </w:p>
        </w:tc>
        <w:tc>
          <w:tcPr>
            <w:tcW w:w="680" w:type="dxa"/>
            <w:tcBorders>
              <w:top w:val="nil"/>
              <w:left w:val="nil"/>
              <w:bottom w:val="single" w:color="auto" w:sz="4" w:space="0"/>
              <w:right w:val="single" w:color="auto" w:sz="4" w:space="0"/>
            </w:tcBorders>
            <w:shd w:val="clear" w:color="auto" w:fill="auto"/>
            <w:vAlign w:val="center"/>
          </w:tcPr>
          <w:p w14:paraId="614C75BB">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760" w:type="dxa"/>
            <w:tcBorders>
              <w:top w:val="nil"/>
              <w:left w:val="nil"/>
              <w:bottom w:val="single" w:color="auto" w:sz="4" w:space="0"/>
              <w:right w:val="single" w:color="auto" w:sz="4" w:space="0"/>
            </w:tcBorders>
            <w:shd w:val="clear" w:color="auto" w:fill="auto"/>
            <w:vAlign w:val="center"/>
          </w:tcPr>
          <w:p w14:paraId="7FCF0233">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3220" w:type="dxa"/>
            <w:tcBorders>
              <w:top w:val="nil"/>
              <w:left w:val="nil"/>
              <w:bottom w:val="single" w:color="auto" w:sz="4" w:space="0"/>
              <w:right w:val="single" w:color="auto" w:sz="4" w:space="0"/>
            </w:tcBorders>
            <w:shd w:val="clear" w:color="auto" w:fill="auto"/>
            <w:vAlign w:val="center"/>
          </w:tcPr>
          <w:p w14:paraId="2E92E292">
            <w:pPr>
              <w:widowControl/>
              <w:rPr>
                <w:rFonts w:ascii="仿宋_GB2312"/>
                <w:color w:val="000000"/>
                <w:kern w:val="0"/>
                <w:sz w:val="20"/>
                <w:szCs w:val="20"/>
              </w:rPr>
            </w:pPr>
            <w:r>
              <w:rPr>
                <w:rFonts w:hint="eastAsia" w:ascii="仿宋_GB2312"/>
                <w:color w:val="000000"/>
                <w:kern w:val="0"/>
                <w:sz w:val="20"/>
                <w:szCs w:val="20"/>
              </w:rPr>
              <w:t>部门为加强业务管理、规范业务执行而制定的管理制度是否健全完整，用以反映和考核部门业务管理制度对完成主要职责或促进事业发展的保障情况。</w:t>
            </w:r>
          </w:p>
        </w:tc>
        <w:tc>
          <w:tcPr>
            <w:tcW w:w="3900" w:type="dxa"/>
            <w:tcBorders>
              <w:top w:val="nil"/>
              <w:left w:val="nil"/>
              <w:bottom w:val="single" w:color="auto" w:sz="4" w:space="0"/>
              <w:right w:val="single" w:color="auto" w:sz="4" w:space="0"/>
            </w:tcBorders>
            <w:shd w:val="clear" w:color="auto" w:fill="auto"/>
            <w:vAlign w:val="center"/>
          </w:tcPr>
          <w:p w14:paraId="3887C391">
            <w:pPr>
              <w:widowControl/>
              <w:rPr>
                <w:rFonts w:ascii="仿宋_GB2312"/>
                <w:color w:val="000000"/>
                <w:kern w:val="0"/>
                <w:sz w:val="20"/>
                <w:szCs w:val="20"/>
              </w:rPr>
            </w:pPr>
            <w:r>
              <w:rPr>
                <w:rFonts w:hint="eastAsia" w:ascii="仿宋_GB2312"/>
                <w:color w:val="000000"/>
                <w:kern w:val="0"/>
                <w:sz w:val="20"/>
                <w:szCs w:val="20"/>
              </w:rPr>
              <w:t>①已制定或具有业务管理、项目管理等管理制度，得0.25分；②相关管理制度合法、合规、完整，得0.25分；③相关管理制度得到有效执行，得0.5分。</w:t>
            </w:r>
          </w:p>
        </w:tc>
        <w:tc>
          <w:tcPr>
            <w:tcW w:w="1840" w:type="dxa"/>
            <w:tcBorders>
              <w:top w:val="nil"/>
              <w:left w:val="nil"/>
              <w:bottom w:val="single" w:color="auto" w:sz="4" w:space="0"/>
              <w:right w:val="single" w:color="auto" w:sz="4" w:space="0"/>
            </w:tcBorders>
            <w:shd w:val="clear" w:color="auto" w:fill="auto"/>
            <w:vAlign w:val="center"/>
          </w:tcPr>
          <w:p w14:paraId="54B6FEBA">
            <w:pPr>
              <w:widowControl/>
              <w:rPr>
                <w:rFonts w:ascii="仿宋_GB2312"/>
                <w:color w:val="000000"/>
                <w:kern w:val="0"/>
                <w:sz w:val="20"/>
                <w:szCs w:val="20"/>
              </w:rPr>
            </w:pPr>
            <w:r>
              <w:rPr>
                <w:rFonts w:hint="eastAsia" w:ascii="仿宋_GB2312"/>
                <w:color w:val="000000"/>
                <w:kern w:val="0"/>
                <w:sz w:val="20"/>
                <w:szCs w:val="20"/>
              </w:rPr>
              <w:t>业务管理相关办法及执行情况资料</w:t>
            </w:r>
          </w:p>
        </w:tc>
      </w:tr>
      <w:tr w14:paraId="717564AF">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000000" w:sz="4" w:space="0"/>
              <w:right w:val="single" w:color="auto" w:sz="4" w:space="0"/>
            </w:tcBorders>
            <w:vAlign w:val="center"/>
          </w:tcPr>
          <w:p w14:paraId="307E353B">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1BF29B39">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6DC6E1E3">
            <w:pPr>
              <w:widowControl/>
              <w:jc w:val="left"/>
              <w:rPr>
                <w:rFonts w:ascii="仿宋_GB2312"/>
                <w:color w:val="000000"/>
                <w:kern w:val="0"/>
                <w:sz w:val="20"/>
                <w:szCs w:val="20"/>
              </w:rPr>
            </w:pPr>
            <w:r>
              <w:rPr>
                <w:rFonts w:hint="eastAsia" w:ascii="仿宋_GB2312"/>
                <w:color w:val="000000"/>
                <w:kern w:val="0"/>
                <w:sz w:val="20"/>
                <w:szCs w:val="20"/>
              </w:rPr>
              <w:t>B52政府采购规范性（1分）</w:t>
            </w:r>
          </w:p>
        </w:tc>
        <w:tc>
          <w:tcPr>
            <w:tcW w:w="680" w:type="dxa"/>
            <w:tcBorders>
              <w:top w:val="nil"/>
              <w:left w:val="nil"/>
              <w:bottom w:val="single" w:color="auto" w:sz="4" w:space="0"/>
              <w:right w:val="single" w:color="auto" w:sz="4" w:space="0"/>
            </w:tcBorders>
            <w:shd w:val="clear" w:color="auto" w:fill="auto"/>
            <w:vAlign w:val="center"/>
          </w:tcPr>
          <w:p w14:paraId="301D57C0">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760" w:type="dxa"/>
            <w:tcBorders>
              <w:top w:val="nil"/>
              <w:left w:val="nil"/>
              <w:bottom w:val="single" w:color="auto" w:sz="4" w:space="0"/>
              <w:right w:val="single" w:color="auto" w:sz="4" w:space="0"/>
            </w:tcBorders>
            <w:shd w:val="clear" w:color="auto" w:fill="auto"/>
            <w:vAlign w:val="center"/>
          </w:tcPr>
          <w:p w14:paraId="0F76A266">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3220" w:type="dxa"/>
            <w:tcBorders>
              <w:top w:val="nil"/>
              <w:left w:val="nil"/>
              <w:bottom w:val="single" w:color="auto" w:sz="4" w:space="0"/>
              <w:right w:val="single" w:color="auto" w:sz="4" w:space="0"/>
            </w:tcBorders>
            <w:shd w:val="clear" w:color="auto" w:fill="auto"/>
            <w:vAlign w:val="center"/>
          </w:tcPr>
          <w:p w14:paraId="39B9B6F4">
            <w:pPr>
              <w:widowControl/>
              <w:rPr>
                <w:rFonts w:ascii="仿宋_GB2312"/>
                <w:color w:val="000000"/>
                <w:kern w:val="0"/>
                <w:sz w:val="20"/>
                <w:szCs w:val="20"/>
              </w:rPr>
            </w:pPr>
            <w:r>
              <w:rPr>
                <w:rFonts w:hint="eastAsia" w:ascii="仿宋_GB2312"/>
                <w:color w:val="000000"/>
                <w:kern w:val="0"/>
                <w:sz w:val="20"/>
                <w:szCs w:val="20"/>
              </w:rPr>
              <w:t>考察政府采购项目的采购程序、采购方式的规范性</w:t>
            </w:r>
          </w:p>
        </w:tc>
        <w:tc>
          <w:tcPr>
            <w:tcW w:w="3900" w:type="dxa"/>
            <w:tcBorders>
              <w:top w:val="nil"/>
              <w:left w:val="nil"/>
              <w:bottom w:val="single" w:color="auto" w:sz="4" w:space="0"/>
              <w:right w:val="single" w:color="auto" w:sz="4" w:space="0"/>
            </w:tcBorders>
            <w:shd w:val="clear" w:color="auto" w:fill="auto"/>
            <w:vAlign w:val="center"/>
          </w:tcPr>
          <w:p w14:paraId="3D879B53">
            <w:pPr>
              <w:widowControl/>
              <w:rPr>
                <w:rFonts w:ascii="仿宋_GB2312"/>
                <w:color w:val="000000"/>
                <w:kern w:val="0"/>
                <w:sz w:val="20"/>
                <w:szCs w:val="20"/>
              </w:rPr>
            </w:pPr>
            <w:r>
              <w:rPr>
                <w:rFonts w:hint="eastAsia" w:ascii="仿宋_GB2312"/>
                <w:color w:val="000000"/>
                <w:kern w:val="0"/>
                <w:sz w:val="20"/>
                <w:szCs w:val="20"/>
              </w:rPr>
              <w:t>①政府采购方式、程序都规范，得满分；②采购方式、程序中每有一点不规范，扣0.5分，扣完为止。</w:t>
            </w:r>
          </w:p>
        </w:tc>
        <w:tc>
          <w:tcPr>
            <w:tcW w:w="1840" w:type="dxa"/>
            <w:tcBorders>
              <w:top w:val="nil"/>
              <w:left w:val="nil"/>
              <w:bottom w:val="single" w:color="auto" w:sz="4" w:space="0"/>
              <w:right w:val="single" w:color="auto" w:sz="4" w:space="0"/>
            </w:tcBorders>
            <w:shd w:val="clear" w:color="auto" w:fill="auto"/>
            <w:vAlign w:val="center"/>
          </w:tcPr>
          <w:p w14:paraId="6B50259C">
            <w:pPr>
              <w:widowControl/>
              <w:rPr>
                <w:rFonts w:ascii="仿宋_GB2312"/>
                <w:color w:val="000000"/>
                <w:kern w:val="0"/>
                <w:sz w:val="20"/>
                <w:szCs w:val="20"/>
              </w:rPr>
            </w:pPr>
            <w:r>
              <w:rPr>
                <w:rFonts w:hint="eastAsia" w:ascii="仿宋_GB2312"/>
                <w:color w:val="000000"/>
                <w:kern w:val="0"/>
                <w:sz w:val="20"/>
                <w:szCs w:val="20"/>
              </w:rPr>
              <w:t>政府采购相关资料</w:t>
            </w:r>
          </w:p>
        </w:tc>
      </w:tr>
      <w:tr w14:paraId="16A59D0C">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000000" w:sz="4" w:space="0"/>
              <w:right w:val="single" w:color="auto" w:sz="4" w:space="0"/>
            </w:tcBorders>
            <w:vAlign w:val="center"/>
          </w:tcPr>
          <w:p w14:paraId="3FCF96C8">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14:paraId="0EDF4ACC">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000000" w:fill="FFFFFF"/>
            <w:vAlign w:val="center"/>
          </w:tcPr>
          <w:p w14:paraId="400FCF4D">
            <w:pPr>
              <w:widowControl/>
              <w:jc w:val="left"/>
              <w:rPr>
                <w:rFonts w:ascii="仿宋_GB2312"/>
                <w:color w:val="000000"/>
                <w:kern w:val="0"/>
                <w:sz w:val="20"/>
                <w:szCs w:val="20"/>
              </w:rPr>
            </w:pPr>
            <w:r>
              <w:rPr>
                <w:rFonts w:hint="eastAsia" w:ascii="仿宋_GB2312"/>
                <w:color w:val="000000"/>
                <w:kern w:val="0"/>
                <w:sz w:val="20"/>
                <w:szCs w:val="20"/>
              </w:rPr>
              <w:t>B53监督考核情况（1分）</w:t>
            </w:r>
          </w:p>
        </w:tc>
        <w:tc>
          <w:tcPr>
            <w:tcW w:w="680" w:type="dxa"/>
            <w:tcBorders>
              <w:top w:val="nil"/>
              <w:left w:val="nil"/>
              <w:bottom w:val="single" w:color="auto" w:sz="4" w:space="0"/>
              <w:right w:val="single" w:color="auto" w:sz="4" w:space="0"/>
            </w:tcBorders>
            <w:shd w:val="clear" w:color="auto" w:fill="auto"/>
            <w:vAlign w:val="center"/>
          </w:tcPr>
          <w:p w14:paraId="4B08ADA0">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760" w:type="dxa"/>
            <w:tcBorders>
              <w:top w:val="nil"/>
              <w:left w:val="nil"/>
              <w:bottom w:val="single" w:color="auto" w:sz="4" w:space="0"/>
              <w:right w:val="single" w:color="auto" w:sz="4" w:space="0"/>
            </w:tcBorders>
            <w:shd w:val="clear" w:color="auto" w:fill="auto"/>
            <w:vAlign w:val="center"/>
          </w:tcPr>
          <w:p w14:paraId="462C9D75">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3220" w:type="dxa"/>
            <w:tcBorders>
              <w:top w:val="nil"/>
              <w:left w:val="nil"/>
              <w:bottom w:val="single" w:color="auto" w:sz="4" w:space="0"/>
              <w:right w:val="single" w:color="auto" w:sz="4" w:space="0"/>
            </w:tcBorders>
            <w:shd w:val="clear" w:color="auto" w:fill="auto"/>
            <w:vAlign w:val="center"/>
          </w:tcPr>
          <w:p w14:paraId="23469155">
            <w:pPr>
              <w:widowControl/>
              <w:rPr>
                <w:rFonts w:ascii="仿宋_GB2312"/>
                <w:color w:val="000000"/>
                <w:kern w:val="0"/>
                <w:sz w:val="20"/>
                <w:szCs w:val="20"/>
              </w:rPr>
            </w:pPr>
            <w:r>
              <w:rPr>
                <w:rFonts w:hint="eastAsia" w:ascii="仿宋_GB2312"/>
                <w:color w:val="000000"/>
                <w:kern w:val="0"/>
                <w:sz w:val="20"/>
                <w:szCs w:val="20"/>
              </w:rPr>
              <w:t>考察部门是否对各所属单位或项目实施主体进行工作监督和定期考核。</w:t>
            </w:r>
          </w:p>
        </w:tc>
        <w:tc>
          <w:tcPr>
            <w:tcW w:w="3900" w:type="dxa"/>
            <w:tcBorders>
              <w:top w:val="nil"/>
              <w:left w:val="nil"/>
              <w:bottom w:val="single" w:color="auto" w:sz="4" w:space="0"/>
              <w:right w:val="single" w:color="auto" w:sz="4" w:space="0"/>
            </w:tcBorders>
            <w:shd w:val="clear" w:color="auto" w:fill="auto"/>
            <w:vAlign w:val="center"/>
          </w:tcPr>
          <w:p w14:paraId="4DD9ECE2">
            <w:pPr>
              <w:widowControl/>
              <w:rPr>
                <w:rFonts w:ascii="仿宋_GB2312"/>
                <w:color w:val="000000"/>
                <w:kern w:val="0"/>
                <w:sz w:val="20"/>
                <w:szCs w:val="20"/>
              </w:rPr>
            </w:pPr>
            <w:r>
              <w:rPr>
                <w:rFonts w:hint="eastAsia" w:ascii="仿宋_GB2312"/>
                <w:color w:val="000000"/>
                <w:kern w:val="0"/>
                <w:sz w:val="20"/>
                <w:szCs w:val="20"/>
              </w:rPr>
              <w:t>有定期指导记录、考核结果，得1分，缺少项视情况酌情进行扣分。</w:t>
            </w:r>
          </w:p>
        </w:tc>
        <w:tc>
          <w:tcPr>
            <w:tcW w:w="1840" w:type="dxa"/>
            <w:tcBorders>
              <w:top w:val="nil"/>
              <w:left w:val="nil"/>
              <w:bottom w:val="single" w:color="auto" w:sz="4" w:space="0"/>
              <w:right w:val="single" w:color="auto" w:sz="4" w:space="0"/>
            </w:tcBorders>
            <w:shd w:val="clear" w:color="auto" w:fill="auto"/>
            <w:vAlign w:val="center"/>
          </w:tcPr>
          <w:p w14:paraId="162A9914">
            <w:pPr>
              <w:widowControl/>
              <w:rPr>
                <w:rFonts w:ascii="仿宋_GB2312"/>
                <w:color w:val="000000"/>
                <w:kern w:val="0"/>
                <w:sz w:val="20"/>
                <w:szCs w:val="20"/>
              </w:rPr>
            </w:pPr>
            <w:r>
              <w:rPr>
                <w:rFonts w:hint="eastAsia" w:ascii="仿宋_GB2312"/>
                <w:color w:val="000000"/>
                <w:kern w:val="0"/>
                <w:sz w:val="20"/>
                <w:szCs w:val="20"/>
              </w:rPr>
              <w:t>监督考核记录等</w:t>
            </w:r>
          </w:p>
        </w:tc>
      </w:tr>
      <w:tr w14:paraId="737C72A3">
        <w:tblPrEx>
          <w:tblCellMar>
            <w:top w:w="0" w:type="dxa"/>
            <w:left w:w="108" w:type="dxa"/>
            <w:bottom w:w="0" w:type="dxa"/>
            <w:right w:w="108" w:type="dxa"/>
          </w:tblCellMar>
        </w:tblPrEx>
        <w:trPr>
          <w:trHeight w:val="720" w:hRule="atLeast"/>
        </w:trPr>
        <w:tc>
          <w:tcPr>
            <w:tcW w:w="740" w:type="dxa"/>
            <w:vMerge w:val="restart"/>
            <w:tcBorders>
              <w:top w:val="nil"/>
              <w:left w:val="single" w:color="auto" w:sz="4" w:space="0"/>
              <w:bottom w:val="nil"/>
              <w:right w:val="single" w:color="auto" w:sz="4" w:space="0"/>
            </w:tcBorders>
            <w:shd w:val="clear" w:color="auto" w:fill="auto"/>
            <w:vAlign w:val="center"/>
          </w:tcPr>
          <w:p w14:paraId="66AA4420">
            <w:pPr>
              <w:widowControl/>
              <w:jc w:val="center"/>
              <w:rPr>
                <w:rFonts w:ascii="仿宋_GB2312"/>
                <w:b/>
                <w:bCs/>
                <w:color w:val="000000"/>
                <w:kern w:val="0"/>
                <w:sz w:val="20"/>
                <w:szCs w:val="20"/>
              </w:rPr>
            </w:pPr>
            <w:r>
              <w:rPr>
                <w:rFonts w:hint="eastAsia" w:ascii="仿宋_GB2312"/>
                <w:b/>
                <w:bCs/>
                <w:color w:val="000000"/>
                <w:kern w:val="0"/>
                <w:sz w:val="20"/>
                <w:szCs w:val="20"/>
              </w:rPr>
              <w:t>C部门绩效（45分）</w:t>
            </w: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14:paraId="289D71F3">
            <w:pPr>
              <w:widowControl/>
              <w:jc w:val="center"/>
              <w:rPr>
                <w:rFonts w:ascii="仿宋_GB2312"/>
                <w:color w:val="000000"/>
                <w:kern w:val="0"/>
                <w:sz w:val="20"/>
                <w:szCs w:val="20"/>
              </w:rPr>
            </w:pPr>
            <w:r>
              <w:rPr>
                <w:rFonts w:hint="eastAsia" w:ascii="仿宋_GB2312"/>
                <w:color w:val="000000"/>
                <w:kern w:val="0"/>
                <w:sz w:val="20"/>
                <w:szCs w:val="20"/>
              </w:rPr>
              <w:t>C1部门产出（</w:t>
            </w:r>
            <w:r>
              <w:rPr>
                <w:rFonts w:hint="eastAsia" w:ascii="仿宋_GB2312"/>
                <w:color w:val="000000"/>
                <w:kern w:val="0"/>
                <w:sz w:val="20"/>
                <w:szCs w:val="20"/>
                <w:lang w:val="en-US" w:eastAsia="zh-CN"/>
              </w:rPr>
              <w:t>24</w:t>
            </w:r>
            <w:r>
              <w:rPr>
                <w:rFonts w:hint="eastAsia" w:ascii="仿宋_GB2312"/>
                <w:color w:val="000000"/>
                <w:kern w:val="0"/>
                <w:sz w:val="20"/>
                <w:szCs w:val="20"/>
              </w:rPr>
              <w:t>分）</w:t>
            </w:r>
          </w:p>
        </w:tc>
        <w:tc>
          <w:tcPr>
            <w:tcW w:w="2040" w:type="dxa"/>
            <w:tcBorders>
              <w:top w:val="nil"/>
              <w:left w:val="nil"/>
              <w:bottom w:val="single" w:color="auto" w:sz="4" w:space="0"/>
              <w:right w:val="single" w:color="auto" w:sz="4" w:space="0"/>
            </w:tcBorders>
            <w:shd w:val="clear" w:color="auto" w:fill="auto"/>
            <w:vAlign w:val="center"/>
          </w:tcPr>
          <w:p w14:paraId="6A881134">
            <w:pPr>
              <w:widowControl/>
              <w:jc w:val="left"/>
              <w:rPr>
                <w:rFonts w:ascii="仿宋_GB2312"/>
                <w:color w:val="000000"/>
                <w:kern w:val="0"/>
                <w:sz w:val="20"/>
                <w:szCs w:val="20"/>
              </w:rPr>
            </w:pPr>
            <w:r>
              <w:rPr>
                <w:rFonts w:hint="eastAsia" w:ascii="仿宋_GB2312"/>
                <w:color w:val="000000"/>
                <w:kern w:val="0"/>
                <w:sz w:val="20"/>
                <w:szCs w:val="20"/>
              </w:rPr>
              <w:t>C11单位任务完成（3分）</w:t>
            </w:r>
          </w:p>
        </w:tc>
        <w:tc>
          <w:tcPr>
            <w:tcW w:w="680" w:type="dxa"/>
            <w:tcBorders>
              <w:top w:val="nil"/>
              <w:left w:val="nil"/>
              <w:bottom w:val="single" w:color="auto" w:sz="4" w:space="0"/>
              <w:right w:val="single" w:color="auto" w:sz="4" w:space="0"/>
            </w:tcBorders>
            <w:shd w:val="clear" w:color="auto" w:fill="auto"/>
            <w:vAlign w:val="center"/>
          </w:tcPr>
          <w:p w14:paraId="5C22C4DA">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760" w:type="dxa"/>
            <w:tcBorders>
              <w:top w:val="nil"/>
              <w:left w:val="nil"/>
              <w:bottom w:val="single" w:color="auto" w:sz="4" w:space="0"/>
              <w:right w:val="single" w:color="auto" w:sz="4" w:space="0"/>
            </w:tcBorders>
            <w:shd w:val="clear" w:color="auto" w:fill="auto"/>
            <w:vAlign w:val="center"/>
          </w:tcPr>
          <w:p w14:paraId="44ADCD51">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3220" w:type="dxa"/>
            <w:tcBorders>
              <w:top w:val="nil"/>
              <w:left w:val="nil"/>
              <w:bottom w:val="single" w:color="auto" w:sz="4" w:space="0"/>
              <w:right w:val="single" w:color="auto" w:sz="4" w:space="0"/>
            </w:tcBorders>
            <w:shd w:val="clear" w:color="auto" w:fill="auto"/>
            <w:vAlign w:val="center"/>
          </w:tcPr>
          <w:p w14:paraId="471FDAD8">
            <w:pPr>
              <w:widowControl/>
              <w:rPr>
                <w:rFonts w:ascii="仿宋_GB2312"/>
                <w:color w:val="000000"/>
                <w:kern w:val="0"/>
                <w:sz w:val="20"/>
                <w:szCs w:val="20"/>
              </w:rPr>
            </w:pPr>
            <w:r>
              <w:rPr>
                <w:rFonts w:hint="eastAsia" w:ascii="仿宋_GB2312"/>
                <w:color w:val="000000"/>
                <w:kern w:val="0"/>
                <w:sz w:val="20"/>
                <w:szCs w:val="20"/>
              </w:rPr>
              <w:t>考察目标责任书考核任务完成情况。</w:t>
            </w:r>
          </w:p>
        </w:tc>
        <w:tc>
          <w:tcPr>
            <w:tcW w:w="3900" w:type="dxa"/>
            <w:tcBorders>
              <w:top w:val="nil"/>
              <w:left w:val="nil"/>
              <w:bottom w:val="single" w:color="auto" w:sz="4" w:space="0"/>
              <w:right w:val="single" w:color="auto" w:sz="4" w:space="0"/>
            </w:tcBorders>
            <w:shd w:val="clear" w:color="auto" w:fill="auto"/>
            <w:vAlign w:val="center"/>
          </w:tcPr>
          <w:p w14:paraId="6735B58A">
            <w:pPr>
              <w:widowControl/>
              <w:rPr>
                <w:rFonts w:ascii="仿宋_GB2312"/>
                <w:color w:val="000000"/>
                <w:kern w:val="0"/>
                <w:sz w:val="20"/>
                <w:szCs w:val="20"/>
              </w:rPr>
            </w:pPr>
            <w:r>
              <w:rPr>
                <w:rFonts w:hint="eastAsia" w:ascii="仿宋_GB2312"/>
                <w:color w:val="000000"/>
                <w:kern w:val="0"/>
                <w:sz w:val="20"/>
                <w:szCs w:val="20"/>
              </w:rPr>
              <w:t>考核得分100分，得满分1分；低于95分，0.95分；介于95分与100分之间，按比例扣分</w:t>
            </w:r>
          </w:p>
        </w:tc>
        <w:tc>
          <w:tcPr>
            <w:tcW w:w="1840" w:type="dxa"/>
            <w:tcBorders>
              <w:top w:val="nil"/>
              <w:left w:val="nil"/>
              <w:bottom w:val="single" w:color="auto" w:sz="4" w:space="0"/>
              <w:right w:val="single" w:color="auto" w:sz="4" w:space="0"/>
            </w:tcBorders>
            <w:shd w:val="clear" w:color="auto" w:fill="auto"/>
            <w:vAlign w:val="center"/>
          </w:tcPr>
          <w:p w14:paraId="42255CDE">
            <w:pPr>
              <w:widowControl/>
              <w:rPr>
                <w:rFonts w:ascii="仿宋_GB2312"/>
                <w:color w:val="000000"/>
                <w:kern w:val="0"/>
                <w:sz w:val="20"/>
                <w:szCs w:val="20"/>
              </w:rPr>
            </w:pPr>
            <w:r>
              <w:rPr>
                <w:rFonts w:hint="eastAsia" w:ascii="仿宋_GB2312"/>
                <w:color w:val="000000"/>
                <w:kern w:val="0"/>
                <w:sz w:val="20"/>
                <w:szCs w:val="20"/>
              </w:rPr>
              <w:t>目标责任考核情况</w:t>
            </w:r>
          </w:p>
        </w:tc>
      </w:tr>
      <w:tr w14:paraId="416D0F47">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nil"/>
              <w:right w:val="single" w:color="auto" w:sz="4" w:space="0"/>
            </w:tcBorders>
            <w:vAlign w:val="center"/>
          </w:tcPr>
          <w:p w14:paraId="55DAEA64">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796BB1AE">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68D782F2">
            <w:pPr>
              <w:widowControl/>
              <w:jc w:val="left"/>
              <w:rPr>
                <w:rFonts w:ascii="仿宋_GB2312"/>
                <w:color w:val="000000"/>
                <w:kern w:val="0"/>
                <w:sz w:val="20"/>
                <w:szCs w:val="20"/>
              </w:rPr>
            </w:pPr>
            <w:r>
              <w:rPr>
                <w:rFonts w:hint="eastAsia" w:ascii="仿宋_GB2312"/>
                <w:color w:val="000000"/>
                <w:kern w:val="0"/>
                <w:sz w:val="20"/>
                <w:szCs w:val="20"/>
              </w:rPr>
              <w:t>C12项目实施（3分）</w:t>
            </w:r>
          </w:p>
        </w:tc>
        <w:tc>
          <w:tcPr>
            <w:tcW w:w="680" w:type="dxa"/>
            <w:tcBorders>
              <w:top w:val="nil"/>
              <w:left w:val="nil"/>
              <w:bottom w:val="single" w:color="auto" w:sz="4" w:space="0"/>
              <w:right w:val="single" w:color="auto" w:sz="4" w:space="0"/>
            </w:tcBorders>
            <w:shd w:val="clear" w:color="auto" w:fill="auto"/>
            <w:vAlign w:val="center"/>
          </w:tcPr>
          <w:p w14:paraId="7990987F">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760" w:type="dxa"/>
            <w:tcBorders>
              <w:top w:val="nil"/>
              <w:left w:val="nil"/>
              <w:bottom w:val="single" w:color="auto" w:sz="4" w:space="0"/>
              <w:right w:val="single" w:color="auto" w:sz="4" w:space="0"/>
            </w:tcBorders>
            <w:shd w:val="clear" w:color="auto" w:fill="auto"/>
            <w:vAlign w:val="center"/>
          </w:tcPr>
          <w:p w14:paraId="064783C1">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3220" w:type="dxa"/>
            <w:tcBorders>
              <w:top w:val="nil"/>
              <w:left w:val="nil"/>
              <w:bottom w:val="single" w:color="auto" w:sz="4" w:space="0"/>
              <w:right w:val="single" w:color="auto" w:sz="4" w:space="0"/>
            </w:tcBorders>
            <w:shd w:val="clear" w:color="auto" w:fill="auto"/>
            <w:vAlign w:val="center"/>
          </w:tcPr>
          <w:p w14:paraId="2B771173">
            <w:pPr>
              <w:widowControl/>
              <w:rPr>
                <w:rFonts w:ascii="仿宋_GB2312"/>
                <w:color w:val="000000"/>
                <w:kern w:val="0"/>
                <w:sz w:val="20"/>
                <w:szCs w:val="20"/>
              </w:rPr>
            </w:pPr>
            <w:r>
              <w:rPr>
                <w:rFonts w:hint="eastAsia" w:ascii="仿宋_GB2312"/>
                <w:color w:val="000000"/>
                <w:kern w:val="0"/>
                <w:sz w:val="20"/>
                <w:szCs w:val="20"/>
              </w:rPr>
              <w:t>考察</w:t>
            </w:r>
            <w:r>
              <w:rPr>
                <w:rFonts w:hint="eastAsia" w:ascii="仿宋_GB2312"/>
                <w:color w:val="000000"/>
                <w:kern w:val="0"/>
                <w:sz w:val="20"/>
                <w:szCs w:val="20"/>
                <w:lang w:eastAsia="zh-CN"/>
              </w:rPr>
              <w:t>2023</w:t>
            </w:r>
            <w:r>
              <w:rPr>
                <w:rFonts w:hint="eastAsia" w:ascii="仿宋_GB2312"/>
                <w:color w:val="000000"/>
                <w:kern w:val="0"/>
                <w:sz w:val="20"/>
                <w:szCs w:val="20"/>
              </w:rPr>
              <w:t>年度干部教育培训的完成情况</w:t>
            </w:r>
          </w:p>
        </w:tc>
        <w:tc>
          <w:tcPr>
            <w:tcW w:w="3900" w:type="dxa"/>
            <w:tcBorders>
              <w:top w:val="nil"/>
              <w:left w:val="nil"/>
              <w:bottom w:val="single" w:color="auto" w:sz="4" w:space="0"/>
              <w:right w:val="single" w:color="auto" w:sz="4" w:space="0"/>
            </w:tcBorders>
            <w:shd w:val="clear" w:color="auto" w:fill="auto"/>
            <w:vAlign w:val="center"/>
          </w:tcPr>
          <w:p w14:paraId="31508B98">
            <w:pPr>
              <w:widowControl/>
              <w:rPr>
                <w:rFonts w:ascii="仿宋_GB2312"/>
                <w:color w:val="000000"/>
                <w:kern w:val="0"/>
                <w:sz w:val="20"/>
                <w:szCs w:val="20"/>
              </w:rPr>
            </w:pPr>
            <w:r>
              <w:rPr>
                <w:rFonts w:hint="eastAsia" w:ascii="仿宋_GB2312"/>
                <w:color w:val="000000"/>
                <w:kern w:val="0"/>
                <w:sz w:val="20"/>
                <w:szCs w:val="20"/>
              </w:rPr>
              <w:t>重点项目全部完成为满分，每一项不达标扣权重分（2分）的20%；三项不达标则为零分。</w:t>
            </w:r>
          </w:p>
        </w:tc>
        <w:tc>
          <w:tcPr>
            <w:tcW w:w="1840" w:type="dxa"/>
            <w:tcBorders>
              <w:top w:val="nil"/>
              <w:left w:val="nil"/>
              <w:bottom w:val="single" w:color="auto" w:sz="4" w:space="0"/>
              <w:right w:val="single" w:color="auto" w:sz="4" w:space="0"/>
            </w:tcBorders>
            <w:shd w:val="clear" w:color="auto" w:fill="auto"/>
            <w:vAlign w:val="center"/>
          </w:tcPr>
          <w:p w14:paraId="386326E8">
            <w:pPr>
              <w:widowControl/>
              <w:rPr>
                <w:rFonts w:ascii="仿宋_GB2312"/>
                <w:color w:val="000000"/>
                <w:kern w:val="0"/>
                <w:sz w:val="20"/>
                <w:szCs w:val="20"/>
              </w:rPr>
            </w:pPr>
            <w:r>
              <w:rPr>
                <w:rFonts w:hint="eastAsia" w:ascii="仿宋_GB2312"/>
                <w:color w:val="000000"/>
                <w:kern w:val="0"/>
                <w:sz w:val="20"/>
                <w:szCs w:val="20"/>
              </w:rPr>
              <w:t>重点项目指标及完成情况、工作总结</w:t>
            </w:r>
          </w:p>
        </w:tc>
      </w:tr>
      <w:tr w14:paraId="4661B1DD">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nil"/>
              <w:right w:val="single" w:color="auto" w:sz="4" w:space="0"/>
            </w:tcBorders>
            <w:vAlign w:val="center"/>
          </w:tcPr>
          <w:p w14:paraId="4BE5D549">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29D39039">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671F56AD">
            <w:pPr>
              <w:widowControl/>
              <w:jc w:val="left"/>
              <w:rPr>
                <w:rFonts w:ascii="仿宋_GB2312"/>
                <w:color w:val="000000"/>
                <w:kern w:val="0"/>
                <w:sz w:val="20"/>
                <w:szCs w:val="20"/>
              </w:rPr>
            </w:pPr>
            <w:r>
              <w:rPr>
                <w:rFonts w:hint="eastAsia" w:ascii="仿宋_GB2312"/>
                <w:color w:val="000000"/>
                <w:kern w:val="0"/>
                <w:sz w:val="20"/>
                <w:szCs w:val="20"/>
              </w:rPr>
              <w:t>C13培训完成情况及人数（3分）</w:t>
            </w:r>
          </w:p>
        </w:tc>
        <w:tc>
          <w:tcPr>
            <w:tcW w:w="680" w:type="dxa"/>
            <w:tcBorders>
              <w:top w:val="nil"/>
              <w:left w:val="nil"/>
              <w:bottom w:val="single" w:color="auto" w:sz="4" w:space="0"/>
              <w:right w:val="single" w:color="auto" w:sz="4" w:space="0"/>
            </w:tcBorders>
            <w:shd w:val="clear" w:color="auto" w:fill="auto"/>
            <w:vAlign w:val="center"/>
          </w:tcPr>
          <w:p w14:paraId="6C99BC92">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760" w:type="dxa"/>
            <w:tcBorders>
              <w:top w:val="nil"/>
              <w:left w:val="nil"/>
              <w:bottom w:val="single" w:color="auto" w:sz="4" w:space="0"/>
              <w:right w:val="single" w:color="auto" w:sz="4" w:space="0"/>
            </w:tcBorders>
            <w:shd w:val="clear" w:color="auto" w:fill="auto"/>
            <w:vAlign w:val="center"/>
          </w:tcPr>
          <w:p w14:paraId="4090D3A2">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3220" w:type="dxa"/>
            <w:tcBorders>
              <w:top w:val="nil"/>
              <w:left w:val="nil"/>
              <w:bottom w:val="single" w:color="auto" w:sz="4" w:space="0"/>
              <w:right w:val="single" w:color="auto" w:sz="4" w:space="0"/>
            </w:tcBorders>
            <w:shd w:val="clear" w:color="auto" w:fill="auto"/>
            <w:vAlign w:val="center"/>
          </w:tcPr>
          <w:p w14:paraId="25638A05">
            <w:pPr>
              <w:widowControl/>
              <w:rPr>
                <w:rFonts w:ascii="仿宋_GB2312"/>
                <w:color w:val="000000"/>
                <w:kern w:val="0"/>
                <w:sz w:val="20"/>
                <w:szCs w:val="20"/>
              </w:rPr>
            </w:pPr>
            <w:r>
              <w:rPr>
                <w:rFonts w:hint="eastAsia" w:ascii="仿宋_GB2312"/>
                <w:color w:val="000000"/>
                <w:kern w:val="0"/>
                <w:sz w:val="20"/>
                <w:szCs w:val="20"/>
              </w:rPr>
              <w:t>考察</w:t>
            </w:r>
            <w:r>
              <w:rPr>
                <w:rFonts w:hint="eastAsia" w:ascii="仿宋_GB2312"/>
                <w:color w:val="000000"/>
                <w:kern w:val="0"/>
                <w:sz w:val="20"/>
                <w:szCs w:val="20"/>
                <w:lang w:eastAsia="zh-CN"/>
              </w:rPr>
              <w:t>2023</w:t>
            </w:r>
            <w:r>
              <w:rPr>
                <w:rFonts w:hint="eastAsia" w:ascii="仿宋_GB2312"/>
                <w:color w:val="000000"/>
                <w:kern w:val="0"/>
                <w:sz w:val="20"/>
                <w:szCs w:val="20"/>
              </w:rPr>
              <w:t>年度干部教育培训的完成情况。</w:t>
            </w:r>
          </w:p>
        </w:tc>
        <w:tc>
          <w:tcPr>
            <w:tcW w:w="3900" w:type="dxa"/>
            <w:tcBorders>
              <w:top w:val="nil"/>
              <w:left w:val="nil"/>
              <w:bottom w:val="single" w:color="auto" w:sz="4" w:space="0"/>
              <w:right w:val="single" w:color="auto" w:sz="4" w:space="0"/>
            </w:tcBorders>
            <w:shd w:val="clear" w:color="auto" w:fill="auto"/>
            <w:vAlign w:val="center"/>
          </w:tcPr>
          <w:p w14:paraId="09FFAEF7">
            <w:pPr>
              <w:widowControl/>
              <w:rPr>
                <w:rFonts w:ascii="仿宋_GB2312"/>
                <w:color w:val="000000"/>
                <w:kern w:val="0"/>
                <w:sz w:val="20"/>
                <w:szCs w:val="20"/>
              </w:rPr>
            </w:pPr>
            <w:r>
              <w:rPr>
                <w:rFonts w:hint="eastAsia" w:ascii="仿宋_GB2312"/>
                <w:color w:val="000000"/>
                <w:kern w:val="0"/>
                <w:sz w:val="20"/>
                <w:szCs w:val="20"/>
              </w:rPr>
              <w:t>重点项目全部完成为满分，每一项不达标扣权重分（2分）的20%；三项不达标则为零分。</w:t>
            </w:r>
          </w:p>
        </w:tc>
        <w:tc>
          <w:tcPr>
            <w:tcW w:w="1840" w:type="dxa"/>
            <w:tcBorders>
              <w:top w:val="nil"/>
              <w:left w:val="nil"/>
              <w:bottom w:val="single" w:color="auto" w:sz="4" w:space="0"/>
              <w:right w:val="single" w:color="auto" w:sz="4" w:space="0"/>
            </w:tcBorders>
            <w:shd w:val="clear" w:color="auto" w:fill="auto"/>
            <w:vAlign w:val="center"/>
          </w:tcPr>
          <w:p w14:paraId="666D2A65">
            <w:pPr>
              <w:widowControl/>
              <w:rPr>
                <w:rFonts w:ascii="仿宋_GB2312"/>
                <w:color w:val="000000"/>
                <w:kern w:val="0"/>
                <w:sz w:val="20"/>
                <w:szCs w:val="20"/>
              </w:rPr>
            </w:pPr>
            <w:r>
              <w:rPr>
                <w:rFonts w:hint="eastAsia" w:ascii="仿宋_GB2312"/>
                <w:color w:val="000000"/>
                <w:kern w:val="0"/>
                <w:sz w:val="20"/>
                <w:szCs w:val="20"/>
              </w:rPr>
              <w:t>重点项目指标及完成情况、工作总结</w:t>
            </w:r>
          </w:p>
        </w:tc>
      </w:tr>
      <w:tr w14:paraId="0A1A3AE3">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nil"/>
              <w:right w:val="single" w:color="auto" w:sz="4" w:space="0"/>
            </w:tcBorders>
            <w:vAlign w:val="center"/>
          </w:tcPr>
          <w:p w14:paraId="71D4C845">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4B90EF10">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1065A6B8">
            <w:pPr>
              <w:widowControl/>
              <w:jc w:val="left"/>
              <w:rPr>
                <w:rFonts w:ascii="仿宋_GB2312"/>
                <w:color w:val="000000"/>
                <w:kern w:val="0"/>
                <w:sz w:val="20"/>
                <w:szCs w:val="20"/>
              </w:rPr>
            </w:pPr>
            <w:r>
              <w:rPr>
                <w:rFonts w:hint="eastAsia" w:ascii="仿宋_GB2312"/>
                <w:color w:val="000000"/>
                <w:kern w:val="0"/>
                <w:sz w:val="20"/>
                <w:szCs w:val="20"/>
              </w:rPr>
              <w:t>C14县本级项目经费预算执行时间（3分）</w:t>
            </w:r>
          </w:p>
        </w:tc>
        <w:tc>
          <w:tcPr>
            <w:tcW w:w="680" w:type="dxa"/>
            <w:tcBorders>
              <w:top w:val="nil"/>
              <w:left w:val="nil"/>
              <w:bottom w:val="single" w:color="auto" w:sz="4" w:space="0"/>
              <w:right w:val="single" w:color="auto" w:sz="4" w:space="0"/>
            </w:tcBorders>
            <w:shd w:val="clear" w:color="auto" w:fill="auto"/>
            <w:vAlign w:val="center"/>
          </w:tcPr>
          <w:p w14:paraId="2FED2094">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760" w:type="dxa"/>
            <w:tcBorders>
              <w:top w:val="nil"/>
              <w:left w:val="nil"/>
              <w:bottom w:val="single" w:color="auto" w:sz="4" w:space="0"/>
              <w:right w:val="single" w:color="auto" w:sz="4" w:space="0"/>
            </w:tcBorders>
            <w:shd w:val="clear" w:color="auto" w:fill="auto"/>
            <w:vAlign w:val="center"/>
          </w:tcPr>
          <w:p w14:paraId="27B791D0">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3220" w:type="dxa"/>
            <w:tcBorders>
              <w:top w:val="nil"/>
              <w:left w:val="nil"/>
              <w:bottom w:val="single" w:color="auto" w:sz="4" w:space="0"/>
              <w:right w:val="single" w:color="auto" w:sz="4" w:space="0"/>
            </w:tcBorders>
            <w:shd w:val="clear" w:color="auto" w:fill="auto"/>
            <w:vAlign w:val="center"/>
          </w:tcPr>
          <w:p w14:paraId="62BDC2A0">
            <w:pPr>
              <w:widowControl/>
              <w:rPr>
                <w:rFonts w:ascii="仿宋_GB2312"/>
                <w:color w:val="000000"/>
                <w:kern w:val="0"/>
                <w:sz w:val="20"/>
                <w:szCs w:val="20"/>
              </w:rPr>
            </w:pPr>
            <w:r>
              <w:rPr>
                <w:rFonts w:hint="eastAsia" w:ascii="仿宋_GB2312"/>
                <w:color w:val="000000"/>
                <w:kern w:val="0"/>
                <w:sz w:val="20"/>
                <w:szCs w:val="20"/>
              </w:rPr>
              <w:t>考察</w:t>
            </w:r>
            <w:r>
              <w:rPr>
                <w:rFonts w:hint="eastAsia" w:ascii="仿宋_GB2312"/>
                <w:color w:val="000000"/>
                <w:kern w:val="0"/>
                <w:sz w:val="20"/>
                <w:szCs w:val="20"/>
                <w:lang w:eastAsia="zh-CN"/>
              </w:rPr>
              <w:t>2023</w:t>
            </w:r>
            <w:r>
              <w:rPr>
                <w:rFonts w:hint="eastAsia" w:ascii="仿宋_GB2312"/>
                <w:color w:val="000000"/>
                <w:kern w:val="0"/>
                <w:sz w:val="20"/>
                <w:szCs w:val="20"/>
              </w:rPr>
              <w:t>年度干部教育培训的完成情况。</w:t>
            </w:r>
          </w:p>
        </w:tc>
        <w:tc>
          <w:tcPr>
            <w:tcW w:w="3900" w:type="dxa"/>
            <w:tcBorders>
              <w:top w:val="nil"/>
              <w:left w:val="nil"/>
              <w:bottom w:val="single" w:color="auto" w:sz="4" w:space="0"/>
              <w:right w:val="single" w:color="auto" w:sz="4" w:space="0"/>
            </w:tcBorders>
            <w:shd w:val="clear" w:color="auto" w:fill="auto"/>
            <w:vAlign w:val="center"/>
          </w:tcPr>
          <w:p w14:paraId="385B88E9">
            <w:pPr>
              <w:widowControl/>
              <w:rPr>
                <w:rFonts w:ascii="仿宋_GB2312"/>
                <w:color w:val="000000"/>
                <w:kern w:val="0"/>
                <w:sz w:val="20"/>
                <w:szCs w:val="20"/>
              </w:rPr>
            </w:pPr>
            <w:r>
              <w:rPr>
                <w:rFonts w:hint="eastAsia" w:ascii="仿宋_GB2312"/>
                <w:color w:val="000000"/>
                <w:kern w:val="0"/>
                <w:sz w:val="20"/>
                <w:szCs w:val="20"/>
              </w:rPr>
              <w:t>重点项目全部完成为满分，每一项不达标扣权重分（2分）的20%；三项不达标则为零分。</w:t>
            </w:r>
          </w:p>
        </w:tc>
        <w:tc>
          <w:tcPr>
            <w:tcW w:w="1840" w:type="dxa"/>
            <w:tcBorders>
              <w:top w:val="nil"/>
              <w:left w:val="nil"/>
              <w:bottom w:val="single" w:color="auto" w:sz="4" w:space="0"/>
              <w:right w:val="single" w:color="auto" w:sz="4" w:space="0"/>
            </w:tcBorders>
            <w:shd w:val="clear" w:color="auto" w:fill="auto"/>
            <w:vAlign w:val="center"/>
          </w:tcPr>
          <w:p w14:paraId="7102604D">
            <w:pPr>
              <w:widowControl/>
              <w:rPr>
                <w:rFonts w:ascii="仿宋_GB2312"/>
                <w:color w:val="000000"/>
                <w:kern w:val="0"/>
                <w:sz w:val="20"/>
                <w:szCs w:val="20"/>
              </w:rPr>
            </w:pPr>
            <w:r>
              <w:rPr>
                <w:rFonts w:hint="eastAsia" w:ascii="仿宋_GB2312"/>
                <w:color w:val="000000"/>
                <w:kern w:val="0"/>
                <w:sz w:val="20"/>
                <w:szCs w:val="20"/>
              </w:rPr>
              <w:t>重点项目指标及完成情况、工作总结</w:t>
            </w:r>
          </w:p>
        </w:tc>
      </w:tr>
      <w:tr w14:paraId="21DC4305">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nil"/>
              <w:right w:val="single" w:color="auto" w:sz="4" w:space="0"/>
            </w:tcBorders>
            <w:vAlign w:val="center"/>
          </w:tcPr>
          <w:p w14:paraId="7393B2DC">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15570586">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18056E5B">
            <w:pPr>
              <w:widowControl/>
              <w:jc w:val="left"/>
              <w:rPr>
                <w:rFonts w:ascii="仿宋_GB2312"/>
                <w:color w:val="000000"/>
                <w:kern w:val="0"/>
                <w:sz w:val="20"/>
                <w:szCs w:val="20"/>
              </w:rPr>
            </w:pPr>
            <w:r>
              <w:rPr>
                <w:rFonts w:hint="eastAsia" w:ascii="仿宋_GB2312"/>
                <w:color w:val="000000"/>
                <w:kern w:val="0"/>
                <w:sz w:val="20"/>
                <w:szCs w:val="20"/>
              </w:rPr>
              <w:t>C15项目完成时间（3分）</w:t>
            </w:r>
          </w:p>
        </w:tc>
        <w:tc>
          <w:tcPr>
            <w:tcW w:w="680" w:type="dxa"/>
            <w:tcBorders>
              <w:top w:val="nil"/>
              <w:left w:val="nil"/>
              <w:bottom w:val="single" w:color="auto" w:sz="4" w:space="0"/>
              <w:right w:val="single" w:color="auto" w:sz="4" w:space="0"/>
            </w:tcBorders>
            <w:shd w:val="clear" w:color="auto" w:fill="auto"/>
            <w:vAlign w:val="center"/>
          </w:tcPr>
          <w:p w14:paraId="39D91C24">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760" w:type="dxa"/>
            <w:tcBorders>
              <w:top w:val="nil"/>
              <w:left w:val="nil"/>
              <w:bottom w:val="single" w:color="auto" w:sz="4" w:space="0"/>
              <w:right w:val="single" w:color="auto" w:sz="4" w:space="0"/>
            </w:tcBorders>
            <w:shd w:val="clear" w:color="auto" w:fill="auto"/>
            <w:vAlign w:val="center"/>
          </w:tcPr>
          <w:p w14:paraId="37935EC6">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3220" w:type="dxa"/>
            <w:tcBorders>
              <w:top w:val="nil"/>
              <w:left w:val="nil"/>
              <w:bottom w:val="single" w:color="auto" w:sz="4" w:space="0"/>
              <w:right w:val="single" w:color="auto" w:sz="4" w:space="0"/>
            </w:tcBorders>
            <w:shd w:val="clear" w:color="auto" w:fill="auto"/>
            <w:vAlign w:val="center"/>
          </w:tcPr>
          <w:p w14:paraId="570E0471">
            <w:pPr>
              <w:widowControl/>
              <w:rPr>
                <w:rFonts w:ascii="仿宋_GB2312"/>
                <w:color w:val="000000"/>
                <w:kern w:val="0"/>
                <w:sz w:val="20"/>
                <w:szCs w:val="20"/>
              </w:rPr>
            </w:pPr>
            <w:r>
              <w:rPr>
                <w:rFonts w:hint="eastAsia" w:ascii="仿宋_GB2312"/>
                <w:color w:val="000000"/>
                <w:kern w:val="0"/>
                <w:sz w:val="20"/>
                <w:szCs w:val="20"/>
              </w:rPr>
              <w:t>考察</w:t>
            </w:r>
            <w:r>
              <w:rPr>
                <w:rFonts w:hint="eastAsia" w:ascii="仿宋_GB2312"/>
                <w:color w:val="000000"/>
                <w:kern w:val="0"/>
                <w:sz w:val="20"/>
                <w:szCs w:val="20"/>
                <w:lang w:eastAsia="zh-CN"/>
              </w:rPr>
              <w:t>2023</w:t>
            </w:r>
            <w:r>
              <w:rPr>
                <w:rFonts w:hint="eastAsia" w:ascii="仿宋_GB2312"/>
                <w:color w:val="000000"/>
                <w:kern w:val="0"/>
                <w:sz w:val="20"/>
                <w:szCs w:val="20"/>
              </w:rPr>
              <w:t>年度干部教育培训的完成情况。</w:t>
            </w:r>
          </w:p>
        </w:tc>
        <w:tc>
          <w:tcPr>
            <w:tcW w:w="3900" w:type="dxa"/>
            <w:tcBorders>
              <w:top w:val="nil"/>
              <w:left w:val="nil"/>
              <w:bottom w:val="single" w:color="auto" w:sz="4" w:space="0"/>
              <w:right w:val="single" w:color="auto" w:sz="4" w:space="0"/>
            </w:tcBorders>
            <w:shd w:val="clear" w:color="auto" w:fill="auto"/>
            <w:vAlign w:val="center"/>
          </w:tcPr>
          <w:p w14:paraId="4FFA59D9">
            <w:pPr>
              <w:widowControl/>
              <w:rPr>
                <w:rFonts w:ascii="仿宋_GB2312"/>
                <w:color w:val="000000"/>
                <w:kern w:val="0"/>
                <w:sz w:val="20"/>
                <w:szCs w:val="20"/>
              </w:rPr>
            </w:pPr>
            <w:r>
              <w:rPr>
                <w:rFonts w:hint="eastAsia" w:ascii="仿宋_GB2312"/>
                <w:color w:val="000000"/>
                <w:kern w:val="0"/>
                <w:sz w:val="20"/>
                <w:szCs w:val="20"/>
              </w:rPr>
              <w:t>重点项目全部完成为满分，每一项不达标扣权重分（2分）的20%；三项不达标则为零分。</w:t>
            </w:r>
          </w:p>
        </w:tc>
        <w:tc>
          <w:tcPr>
            <w:tcW w:w="1840" w:type="dxa"/>
            <w:tcBorders>
              <w:top w:val="nil"/>
              <w:left w:val="nil"/>
              <w:bottom w:val="single" w:color="auto" w:sz="4" w:space="0"/>
              <w:right w:val="single" w:color="auto" w:sz="4" w:space="0"/>
            </w:tcBorders>
            <w:shd w:val="clear" w:color="auto" w:fill="auto"/>
            <w:vAlign w:val="center"/>
          </w:tcPr>
          <w:p w14:paraId="6B61906C">
            <w:pPr>
              <w:widowControl/>
              <w:rPr>
                <w:rFonts w:ascii="仿宋_GB2312"/>
                <w:color w:val="000000"/>
                <w:kern w:val="0"/>
                <w:sz w:val="20"/>
                <w:szCs w:val="20"/>
              </w:rPr>
            </w:pPr>
            <w:r>
              <w:rPr>
                <w:rFonts w:hint="eastAsia" w:ascii="仿宋_GB2312"/>
                <w:color w:val="000000"/>
                <w:kern w:val="0"/>
                <w:sz w:val="20"/>
                <w:szCs w:val="20"/>
              </w:rPr>
              <w:t>重点项目指标及完成情况、工作总结</w:t>
            </w:r>
          </w:p>
        </w:tc>
      </w:tr>
      <w:tr w14:paraId="32D0ED77">
        <w:tblPrEx>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nil"/>
              <w:right w:val="single" w:color="auto" w:sz="4" w:space="0"/>
            </w:tcBorders>
            <w:vAlign w:val="center"/>
          </w:tcPr>
          <w:p w14:paraId="2C2B7562">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5D0C3556">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4D3DB35C">
            <w:pPr>
              <w:widowControl/>
              <w:jc w:val="left"/>
              <w:rPr>
                <w:rFonts w:ascii="仿宋_GB2312"/>
                <w:color w:val="000000"/>
                <w:kern w:val="0"/>
                <w:sz w:val="20"/>
                <w:szCs w:val="20"/>
              </w:rPr>
            </w:pPr>
            <w:r>
              <w:rPr>
                <w:rFonts w:hint="eastAsia" w:ascii="仿宋_GB2312"/>
                <w:color w:val="000000"/>
                <w:kern w:val="0"/>
                <w:sz w:val="20"/>
                <w:szCs w:val="20"/>
              </w:rPr>
              <w:t>C16人员经费及公用经费使用（3分）</w:t>
            </w:r>
          </w:p>
        </w:tc>
        <w:tc>
          <w:tcPr>
            <w:tcW w:w="680" w:type="dxa"/>
            <w:tcBorders>
              <w:top w:val="nil"/>
              <w:left w:val="nil"/>
              <w:bottom w:val="single" w:color="auto" w:sz="4" w:space="0"/>
              <w:right w:val="single" w:color="auto" w:sz="4" w:space="0"/>
            </w:tcBorders>
            <w:shd w:val="clear" w:color="auto" w:fill="auto"/>
            <w:vAlign w:val="center"/>
          </w:tcPr>
          <w:p w14:paraId="2DAE2B6A">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760" w:type="dxa"/>
            <w:tcBorders>
              <w:top w:val="nil"/>
              <w:left w:val="nil"/>
              <w:bottom w:val="single" w:color="auto" w:sz="4" w:space="0"/>
              <w:right w:val="single" w:color="auto" w:sz="4" w:space="0"/>
            </w:tcBorders>
            <w:shd w:val="clear" w:color="auto" w:fill="auto"/>
            <w:vAlign w:val="center"/>
          </w:tcPr>
          <w:p w14:paraId="3010F77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3220" w:type="dxa"/>
            <w:tcBorders>
              <w:top w:val="nil"/>
              <w:left w:val="nil"/>
              <w:bottom w:val="single" w:color="auto" w:sz="4" w:space="0"/>
              <w:right w:val="single" w:color="auto" w:sz="4" w:space="0"/>
            </w:tcBorders>
            <w:shd w:val="clear" w:color="auto" w:fill="auto"/>
            <w:vAlign w:val="center"/>
          </w:tcPr>
          <w:p w14:paraId="535C6E94">
            <w:pPr>
              <w:widowControl/>
              <w:rPr>
                <w:rFonts w:ascii="仿宋_GB2312"/>
                <w:color w:val="000000"/>
                <w:kern w:val="0"/>
                <w:sz w:val="20"/>
                <w:szCs w:val="20"/>
              </w:rPr>
            </w:pPr>
            <w:r>
              <w:rPr>
                <w:rFonts w:hint="eastAsia" w:ascii="仿宋_GB2312"/>
                <w:color w:val="000000"/>
                <w:kern w:val="0"/>
                <w:sz w:val="20"/>
                <w:szCs w:val="20"/>
              </w:rPr>
              <w:t>按时发放职工工资及社保经费，按预算安排支出公用经费</w:t>
            </w:r>
          </w:p>
        </w:tc>
        <w:tc>
          <w:tcPr>
            <w:tcW w:w="3900" w:type="dxa"/>
            <w:tcBorders>
              <w:top w:val="nil"/>
              <w:left w:val="nil"/>
              <w:bottom w:val="single" w:color="auto" w:sz="4" w:space="0"/>
              <w:right w:val="single" w:color="auto" w:sz="4" w:space="0"/>
            </w:tcBorders>
            <w:shd w:val="clear" w:color="auto" w:fill="auto"/>
            <w:vAlign w:val="center"/>
          </w:tcPr>
          <w:p w14:paraId="37EC3BD2">
            <w:pPr>
              <w:widowControl/>
              <w:rPr>
                <w:rFonts w:ascii="仿宋_GB2312"/>
                <w:color w:val="000000"/>
                <w:kern w:val="0"/>
                <w:sz w:val="20"/>
                <w:szCs w:val="20"/>
              </w:rPr>
            </w:pPr>
            <w:r>
              <w:rPr>
                <w:rFonts w:hint="eastAsia" w:ascii="仿宋_GB2312"/>
                <w:color w:val="000000"/>
                <w:kern w:val="0"/>
                <w:sz w:val="20"/>
                <w:szCs w:val="20"/>
              </w:rPr>
              <w:t>1.工资按时发放，社保缴费及时，得分；2.及时核销公用经费，得分。</w:t>
            </w:r>
          </w:p>
        </w:tc>
        <w:tc>
          <w:tcPr>
            <w:tcW w:w="1840" w:type="dxa"/>
            <w:tcBorders>
              <w:top w:val="nil"/>
              <w:left w:val="nil"/>
              <w:bottom w:val="single" w:color="auto" w:sz="4" w:space="0"/>
              <w:right w:val="single" w:color="auto" w:sz="4" w:space="0"/>
            </w:tcBorders>
            <w:shd w:val="clear" w:color="auto" w:fill="auto"/>
            <w:vAlign w:val="center"/>
          </w:tcPr>
          <w:p w14:paraId="3D632B7B">
            <w:pPr>
              <w:widowControl/>
              <w:rPr>
                <w:rFonts w:ascii="仿宋_GB2312"/>
                <w:color w:val="000000"/>
                <w:kern w:val="0"/>
                <w:sz w:val="20"/>
                <w:szCs w:val="20"/>
              </w:rPr>
            </w:pPr>
            <w:r>
              <w:rPr>
                <w:rFonts w:hint="eastAsia" w:ascii="仿宋_GB2312"/>
                <w:color w:val="000000"/>
                <w:kern w:val="0"/>
                <w:sz w:val="20"/>
                <w:szCs w:val="20"/>
              </w:rPr>
              <w:t>单位会计账务</w:t>
            </w:r>
          </w:p>
        </w:tc>
      </w:tr>
      <w:tr w14:paraId="5E62FA14">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nil"/>
              <w:right w:val="single" w:color="auto" w:sz="4" w:space="0"/>
            </w:tcBorders>
            <w:vAlign w:val="center"/>
          </w:tcPr>
          <w:p w14:paraId="033BD75C">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29A73F33">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13ACBA0C">
            <w:pPr>
              <w:widowControl/>
              <w:jc w:val="left"/>
              <w:rPr>
                <w:rFonts w:ascii="仿宋_GB2312"/>
                <w:color w:val="000000"/>
                <w:kern w:val="0"/>
                <w:sz w:val="20"/>
                <w:szCs w:val="20"/>
              </w:rPr>
            </w:pPr>
            <w:r>
              <w:rPr>
                <w:rFonts w:hint="eastAsia" w:ascii="仿宋_GB2312"/>
                <w:color w:val="000000"/>
                <w:kern w:val="0"/>
                <w:sz w:val="20"/>
                <w:szCs w:val="20"/>
              </w:rPr>
              <w:t>C17保障县本级人员经费基本支出预算（3分）</w:t>
            </w:r>
          </w:p>
        </w:tc>
        <w:tc>
          <w:tcPr>
            <w:tcW w:w="680" w:type="dxa"/>
            <w:tcBorders>
              <w:top w:val="nil"/>
              <w:left w:val="nil"/>
              <w:bottom w:val="single" w:color="auto" w:sz="4" w:space="0"/>
              <w:right w:val="single" w:color="auto" w:sz="4" w:space="0"/>
            </w:tcBorders>
            <w:shd w:val="clear" w:color="auto" w:fill="auto"/>
            <w:vAlign w:val="center"/>
          </w:tcPr>
          <w:p w14:paraId="0A5E226F">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760" w:type="dxa"/>
            <w:tcBorders>
              <w:top w:val="nil"/>
              <w:left w:val="nil"/>
              <w:bottom w:val="single" w:color="auto" w:sz="4" w:space="0"/>
              <w:right w:val="single" w:color="auto" w:sz="4" w:space="0"/>
            </w:tcBorders>
            <w:shd w:val="clear" w:color="auto" w:fill="auto"/>
            <w:vAlign w:val="center"/>
          </w:tcPr>
          <w:p w14:paraId="78F5B39A">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3220" w:type="dxa"/>
            <w:tcBorders>
              <w:top w:val="nil"/>
              <w:left w:val="nil"/>
              <w:bottom w:val="single" w:color="auto" w:sz="4" w:space="0"/>
              <w:right w:val="single" w:color="auto" w:sz="4" w:space="0"/>
            </w:tcBorders>
            <w:shd w:val="clear" w:color="auto" w:fill="auto"/>
            <w:vAlign w:val="center"/>
          </w:tcPr>
          <w:p w14:paraId="2A6A36B3">
            <w:pPr>
              <w:widowControl/>
              <w:rPr>
                <w:rFonts w:ascii="仿宋_GB2312"/>
                <w:color w:val="000000"/>
                <w:kern w:val="0"/>
                <w:sz w:val="20"/>
                <w:szCs w:val="20"/>
              </w:rPr>
            </w:pPr>
            <w:r>
              <w:rPr>
                <w:rFonts w:hint="eastAsia" w:ascii="仿宋_GB2312"/>
                <w:color w:val="000000"/>
                <w:kern w:val="0"/>
                <w:sz w:val="20"/>
                <w:szCs w:val="20"/>
              </w:rPr>
              <w:t>按标准预算人员经费</w:t>
            </w:r>
          </w:p>
        </w:tc>
        <w:tc>
          <w:tcPr>
            <w:tcW w:w="3900" w:type="dxa"/>
            <w:tcBorders>
              <w:top w:val="nil"/>
              <w:left w:val="nil"/>
              <w:bottom w:val="single" w:color="auto" w:sz="4" w:space="0"/>
              <w:right w:val="single" w:color="auto" w:sz="4" w:space="0"/>
            </w:tcBorders>
            <w:shd w:val="clear" w:color="auto" w:fill="auto"/>
            <w:vAlign w:val="center"/>
          </w:tcPr>
          <w:p w14:paraId="24A78CE0">
            <w:pPr>
              <w:widowControl/>
              <w:rPr>
                <w:rFonts w:ascii="仿宋_GB2312"/>
                <w:color w:val="000000"/>
                <w:kern w:val="0"/>
                <w:sz w:val="20"/>
                <w:szCs w:val="20"/>
              </w:rPr>
            </w:pPr>
            <w:r>
              <w:rPr>
                <w:rFonts w:hint="eastAsia" w:ascii="仿宋_GB2312"/>
                <w:color w:val="000000"/>
                <w:kern w:val="0"/>
                <w:sz w:val="20"/>
                <w:szCs w:val="20"/>
              </w:rPr>
              <w:t>按标准预算职工工资及社保配套经费</w:t>
            </w:r>
          </w:p>
        </w:tc>
        <w:tc>
          <w:tcPr>
            <w:tcW w:w="1840" w:type="dxa"/>
            <w:tcBorders>
              <w:top w:val="nil"/>
              <w:left w:val="nil"/>
              <w:bottom w:val="single" w:color="auto" w:sz="4" w:space="0"/>
              <w:right w:val="single" w:color="auto" w:sz="4" w:space="0"/>
            </w:tcBorders>
            <w:shd w:val="clear" w:color="auto" w:fill="auto"/>
            <w:vAlign w:val="center"/>
          </w:tcPr>
          <w:p w14:paraId="0CD6C4D9">
            <w:pPr>
              <w:widowControl/>
              <w:rPr>
                <w:rFonts w:ascii="仿宋_GB2312"/>
                <w:color w:val="000000"/>
                <w:kern w:val="0"/>
                <w:sz w:val="20"/>
                <w:szCs w:val="20"/>
              </w:rPr>
            </w:pPr>
            <w:r>
              <w:rPr>
                <w:rFonts w:hint="eastAsia" w:ascii="仿宋_GB2312"/>
                <w:color w:val="000000"/>
                <w:kern w:val="0"/>
                <w:sz w:val="20"/>
                <w:szCs w:val="20"/>
              </w:rPr>
              <w:t>单位预算执行情况</w:t>
            </w:r>
          </w:p>
        </w:tc>
      </w:tr>
      <w:tr w14:paraId="7692556C">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nil"/>
              <w:right w:val="single" w:color="auto" w:sz="4" w:space="0"/>
            </w:tcBorders>
            <w:vAlign w:val="center"/>
          </w:tcPr>
          <w:p w14:paraId="0760DC61">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10B0CBC9">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2EAF74FA">
            <w:pPr>
              <w:widowControl/>
              <w:jc w:val="left"/>
              <w:rPr>
                <w:rFonts w:ascii="仿宋_GB2312"/>
                <w:color w:val="000000"/>
                <w:kern w:val="0"/>
                <w:sz w:val="20"/>
                <w:szCs w:val="20"/>
              </w:rPr>
            </w:pPr>
            <w:r>
              <w:rPr>
                <w:rFonts w:hint="eastAsia" w:ascii="仿宋_GB2312"/>
                <w:color w:val="000000"/>
                <w:kern w:val="0"/>
                <w:sz w:val="20"/>
                <w:szCs w:val="20"/>
              </w:rPr>
              <w:t>C18项目成本控制率（3分）</w:t>
            </w:r>
          </w:p>
        </w:tc>
        <w:tc>
          <w:tcPr>
            <w:tcW w:w="680" w:type="dxa"/>
            <w:tcBorders>
              <w:top w:val="nil"/>
              <w:left w:val="nil"/>
              <w:bottom w:val="single" w:color="auto" w:sz="4" w:space="0"/>
              <w:right w:val="single" w:color="auto" w:sz="4" w:space="0"/>
            </w:tcBorders>
            <w:shd w:val="clear" w:color="auto" w:fill="auto"/>
            <w:vAlign w:val="center"/>
          </w:tcPr>
          <w:p w14:paraId="3C078826">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760" w:type="dxa"/>
            <w:tcBorders>
              <w:top w:val="nil"/>
              <w:left w:val="nil"/>
              <w:bottom w:val="single" w:color="auto" w:sz="4" w:space="0"/>
              <w:right w:val="single" w:color="auto" w:sz="4" w:space="0"/>
            </w:tcBorders>
            <w:shd w:val="clear" w:color="auto" w:fill="auto"/>
            <w:vAlign w:val="center"/>
          </w:tcPr>
          <w:p w14:paraId="68519257">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3</w:t>
            </w:r>
          </w:p>
        </w:tc>
        <w:tc>
          <w:tcPr>
            <w:tcW w:w="3220" w:type="dxa"/>
            <w:tcBorders>
              <w:top w:val="nil"/>
              <w:left w:val="nil"/>
              <w:bottom w:val="single" w:color="auto" w:sz="4" w:space="0"/>
              <w:right w:val="single" w:color="auto" w:sz="4" w:space="0"/>
            </w:tcBorders>
            <w:shd w:val="clear" w:color="auto" w:fill="auto"/>
            <w:vAlign w:val="center"/>
          </w:tcPr>
          <w:p w14:paraId="5A2E75AB">
            <w:pPr>
              <w:widowControl/>
              <w:rPr>
                <w:rFonts w:ascii="仿宋_GB2312"/>
                <w:color w:val="000000"/>
                <w:kern w:val="0"/>
                <w:sz w:val="20"/>
                <w:szCs w:val="20"/>
              </w:rPr>
            </w:pPr>
            <w:r>
              <w:rPr>
                <w:rFonts w:hint="eastAsia" w:ascii="仿宋_GB2312"/>
                <w:color w:val="000000"/>
                <w:kern w:val="0"/>
                <w:sz w:val="20"/>
                <w:szCs w:val="20"/>
              </w:rPr>
              <w:t>考察</w:t>
            </w:r>
            <w:r>
              <w:rPr>
                <w:rFonts w:hint="eastAsia" w:ascii="仿宋_GB2312"/>
                <w:color w:val="000000"/>
                <w:kern w:val="0"/>
                <w:sz w:val="20"/>
                <w:szCs w:val="20"/>
                <w:lang w:eastAsia="zh-CN"/>
              </w:rPr>
              <w:t>2023</w:t>
            </w:r>
            <w:r>
              <w:rPr>
                <w:rFonts w:hint="eastAsia" w:ascii="仿宋_GB2312"/>
                <w:color w:val="000000"/>
                <w:kern w:val="0"/>
                <w:sz w:val="20"/>
                <w:szCs w:val="20"/>
              </w:rPr>
              <w:t>年度干部教育培训的完成情况。</w:t>
            </w:r>
          </w:p>
        </w:tc>
        <w:tc>
          <w:tcPr>
            <w:tcW w:w="3900" w:type="dxa"/>
            <w:tcBorders>
              <w:top w:val="nil"/>
              <w:left w:val="nil"/>
              <w:bottom w:val="single" w:color="auto" w:sz="4" w:space="0"/>
              <w:right w:val="single" w:color="auto" w:sz="4" w:space="0"/>
            </w:tcBorders>
            <w:shd w:val="clear" w:color="auto" w:fill="auto"/>
            <w:vAlign w:val="center"/>
          </w:tcPr>
          <w:p w14:paraId="6BEBEAB4">
            <w:pPr>
              <w:widowControl/>
              <w:rPr>
                <w:rFonts w:ascii="仿宋_GB2312"/>
                <w:color w:val="000000"/>
                <w:kern w:val="0"/>
                <w:sz w:val="20"/>
                <w:szCs w:val="20"/>
              </w:rPr>
            </w:pPr>
            <w:r>
              <w:rPr>
                <w:rFonts w:hint="eastAsia" w:ascii="仿宋_GB2312"/>
                <w:color w:val="000000"/>
                <w:kern w:val="0"/>
                <w:sz w:val="20"/>
                <w:szCs w:val="20"/>
              </w:rPr>
              <w:t>重点项目全部完成为满分，每一项不达标扣权重分（2分）的20%；三项不达标则为零分。</w:t>
            </w:r>
          </w:p>
        </w:tc>
        <w:tc>
          <w:tcPr>
            <w:tcW w:w="1840" w:type="dxa"/>
            <w:tcBorders>
              <w:top w:val="nil"/>
              <w:left w:val="nil"/>
              <w:bottom w:val="single" w:color="auto" w:sz="4" w:space="0"/>
              <w:right w:val="single" w:color="auto" w:sz="4" w:space="0"/>
            </w:tcBorders>
            <w:shd w:val="clear" w:color="auto" w:fill="auto"/>
            <w:vAlign w:val="center"/>
          </w:tcPr>
          <w:p w14:paraId="100416AE">
            <w:pPr>
              <w:widowControl/>
              <w:rPr>
                <w:rFonts w:ascii="仿宋_GB2312"/>
                <w:color w:val="000000"/>
                <w:kern w:val="0"/>
                <w:sz w:val="20"/>
                <w:szCs w:val="20"/>
              </w:rPr>
            </w:pPr>
            <w:r>
              <w:rPr>
                <w:rFonts w:hint="eastAsia" w:ascii="仿宋_GB2312"/>
                <w:color w:val="000000"/>
                <w:kern w:val="0"/>
                <w:sz w:val="20"/>
                <w:szCs w:val="20"/>
              </w:rPr>
              <w:t>重点项目指标及完成情况、工作总结</w:t>
            </w:r>
          </w:p>
        </w:tc>
      </w:tr>
      <w:tr w14:paraId="6CC21F21">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nil"/>
              <w:right w:val="single" w:color="auto" w:sz="4" w:space="0"/>
            </w:tcBorders>
            <w:vAlign w:val="center"/>
          </w:tcPr>
          <w:p w14:paraId="332FE181">
            <w:pPr>
              <w:widowControl/>
              <w:jc w:val="left"/>
              <w:rPr>
                <w:rFonts w:ascii="仿宋_GB2312"/>
                <w:b/>
                <w:bCs/>
                <w:color w:val="000000"/>
                <w:kern w:val="0"/>
                <w:sz w:val="20"/>
                <w:szCs w:val="20"/>
              </w:rPr>
            </w:pP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14:paraId="2CC30093">
            <w:pPr>
              <w:widowControl/>
              <w:jc w:val="center"/>
              <w:rPr>
                <w:rFonts w:ascii="仿宋_GB2312"/>
                <w:color w:val="000000"/>
                <w:kern w:val="0"/>
                <w:sz w:val="20"/>
                <w:szCs w:val="20"/>
              </w:rPr>
            </w:pPr>
            <w:r>
              <w:rPr>
                <w:rFonts w:hint="eastAsia" w:ascii="仿宋_GB2312"/>
                <w:color w:val="000000"/>
                <w:kern w:val="0"/>
                <w:sz w:val="20"/>
                <w:szCs w:val="20"/>
              </w:rPr>
              <w:t>C2部门效果（1</w:t>
            </w:r>
            <w:r>
              <w:rPr>
                <w:rFonts w:hint="eastAsia" w:ascii="仿宋_GB2312"/>
                <w:color w:val="000000"/>
                <w:kern w:val="0"/>
                <w:sz w:val="20"/>
                <w:szCs w:val="20"/>
                <w:lang w:val="en-US" w:eastAsia="zh-CN"/>
              </w:rPr>
              <w:t>4</w:t>
            </w:r>
            <w:r>
              <w:rPr>
                <w:rFonts w:hint="eastAsia" w:ascii="仿宋_GB2312"/>
                <w:color w:val="000000"/>
                <w:kern w:val="0"/>
                <w:sz w:val="20"/>
                <w:szCs w:val="20"/>
              </w:rPr>
              <w:t>分）</w:t>
            </w:r>
          </w:p>
        </w:tc>
        <w:tc>
          <w:tcPr>
            <w:tcW w:w="2040" w:type="dxa"/>
            <w:tcBorders>
              <w:top w:val="nil"/>
              <w:left w:val="nil"/>
              <w:bottom w:val="single" w:color="auto" w:sz="4" w:space="0"/>
              <w:right w:val="single" w:color="auto" w:sz="4" w:space="0"/>
            </w:tcBorders>
            <w:shd w:val="clear" w:color="auto" w:fill="auto"/>
            <w:vAlign w:val="center"/>
          </w:tcPr>
          <w:p w14:paraId="7EAEC48A">
            <w:pPr>
              <w:widowControl/>
              <w:jc w:val="left"/>
              <w:rPr>
                <w:rFonts w:ascii="仿宋_GB2312"/>
                <w:kern w:val="0"/>
                <w:sz w:val="20"/>
                <w:szCs w:val="20"/>
              </w:rPr>
            </w:pPr>
            <w:r>
              <w:rPr>
                <w:rFonts w:hint="eastAsia" w:ascii="仿宋_GB2312"/>
                <w:kern w:val="0"/>
                <w:sz w:val="20"/>
                <w:szCs w:val="20"/>
              </w:rPr>
              <w:t>C21</w:t>
            </w:r>
            <w:r>
              <w:rPr>
                <w:rFonts w:hint="eastAsia" w:ascii="仿宋_GB2312"/>
                <w:color w:val="000000"/>
                <w:kern w:val="0"/>
                <w:sz w:val="20"/>
                <w:szCs w:val="20"/>
              </w:rPr>
              <w:t>单位无欠债，职工收入较上年有所增加（2分）</w:t>
            </w:r>
          </w:p>
        </w:tc>
        <w:tc>
          <w:tcPr>
            <w:tcW w:w="680" w:type="dxa"/>
            <w:tcBorders>
              <w:top w:val="nil"/>
              <w:left w:val="nil"/>
              <w:bottom w:val="single" w:color="auto" w:sz="4" w:space="0"/>
              <w:right w:val="single" w:color="auto" w:sz="4" w:space="0"/>
            </w:tcBorders>
            <w:shd w:val="clear" w:color="auto" w:fill="auto"/>
            <w:vAlign w:val="center"/>
          </w:tcPr>
          <w:p w14:paraId="39F3101A">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760" w:type="dxa"/>
            <w:tcBorders>
              <w:top w:val="nil"/>
              <w:left w:val="nil"/>
              <w:bottom w:val="single" w:color="auto" w:sz="4" w:space="0"/>
              <w:right w:val="single" w:color="auto" w:sz="4" w:space="0"/>
            </w:tcBorders>
            <w:shd w:val="clear" w:color="auto" w:fill="auto"/>
            <w:vAlign w:val="center"/>
          </w:tcPr>
          <w:p w14:paraId="573F77EF">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3220" w:type="dxa"/>
            <w:tcBorders>
              <w:top w:val="nil"/>
              <w:left w:val="nil"/>
              <w:bottom w:val="single" w:color="auto" w:sz="4" w:space="0"/>
              <w:right w:val="single" w:color="auto" w:sz="4" w:space="0"/>
            </w:tcBorders>
            <w:shd w:val="clear" w:color="auto" w:fill="auto"/>
            <w:vAlign w:val="center"/>
          </w:tcPr>
          <w:p w14:paraId="76CA8372">
            <w:pPr>
              <w:widowControl/>
              <w:rPr>
                <w:rFonts w:ascii="仿宋_GB2312"/>
                <w:color w:val="000000"/>
                <w:kern w:val="0"/>
                <w:sz w:val="20"/>
                <w:szCs w:val="20"/>
              </w:rPr>
            </w:pPr>
            <w:r>
              <w:rPr>
                <w:rFonts w:hint="eastAsia" w:ascii="仿宋_GB2312"/>
                <w:color w:val="000000"/>
                <w:kern w:val="0"/>
                <w:sz w:val="20"/>
                <w:szCs w:val="20"/>
              </w:rPr>
              <w:t>考察单位无欠债，职工收入较上年有所增加。</w:t>
            </w:r>
          </w:p>
        </w:tc>
        <w:tc>
          <w:tcPr>
            <w:tcW w:w="3900" w:type="dxa"/>
            <w:tcBorders>
              <w:top w:val="nil"/>
              <w:left w:val="nil"/>
              <w:bottom w:val="single" w:color="auto" w:sz="4" w:space="0"/>
              <w:right w:val="single" w:color="auto" w:sz="4" w:space="0"/>
            </w:tcBorders>
            <w:shd w:val="clear" w:color="auto" w:fill="auto"/>
            <w:vAlign w:val="center"/>
          </w:tcPr>
          <w:p w14:paraId="3FB517FF">
            <w:pPr>
              <w:widowControl/>
              <w:rPr>
                <w:rFonts w:ascii="仿宋_GB2312"/>
                <w:color w:val="000000"/>
                <w:kern w:val="0"/>
                <w:sz w:val="20"/>
                <w:szCs w:val="20"/>
              </w:rPr>
            </w:pPr>
            <w:r>
              <w:rPr>
                <w:rFonts w:hint="eastAsia" w:ascii="仿宋_GB2312"/>
                <w:color w:val="000000"/>
                <w:kern w:val="0"/>
                <w:sz w:val="20"/>
                <w:szCs w:val="20"/>
              </w:rPr>
              <w:t>单位欠债无增加，职工收入较上年有所增加，得满分。</w:t>
            </w:r>
          </w:p>
        </w:tc>
        <w:tc>
          <w:tcPr>
            <w:tcW w:w="1840" w:type="dxa"/>
            <w:tcBorders>
              <w:top w:val="nil"/>
              <w:left w:val="nil"/>
              <w:bottom w:val="single" w:color="auto" w:sz="4" w:space="0"/>
              <w:right w:val="single" w:color="auto" w:sz="4" w:space="0"/>
            </w:tcBorders>
            <w:shd w:val="clear" w:color="auto" w:fill="auto"/>
            <w:vAlign w:val="center"/>
          </w:tcPr>
          <w:p w14:paraId="269A2110">
            <w:pPr>
              <w:widowControl/>
              <w:rPr>
                <w:rFonts w:ascii="仿宋_GB2312"/>
                <w:color w:val="000000"/>
                <w:kern w:val="0"/>
                <w:sz w:val="20"/>
                <w:szCs w:val="20"/>
              </w:rPr>
            </w:pPr>
            <w:r>
              <w:rPr>
                <w:rFonts w:hint="eastAsia" w:ascii="仿宋_GB2312"/>
                <w:color w:val="000000"/>
                <w:kern w:val="0"/>
                <w:sz w:val="20"/>
                <w:szCs w:val="20"/>
              </w:rPr>
              <w:t>单位会计账务及政府性债务管理系统数据</w:t>
            </w:r>
          </w:p>
        </w:tc>
      </w:tr>
      <w:tr w14:paraId="0CC64943">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nil"/>
              <w:right w:val="single" w:color="auto" w:sz="4" w:space="0"/>
            </w:tcBorders>
            <w:vAlign w:val="center"/>
          </w:tcPr>
          <w:p w14:paraId="128A8360">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7EA8EDFA">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1D1F8899">
            <w:pPr>
              <w:widowControl/>
              <w:jc w:val="left"/>
              <w:rPr>
                <w:rFonts w:ascii="仿宋_GB2312"/>
                <w:kern w:val="0"/>
                <w:sz w:val="20"/>
                <w:szCs w:val="20"/>
              </w:rPr>
            </w:pPr>
            <w:r>
              <w:rPr>
                <w:rFonts w:hint="eastAsia" w:ascii="仿宋_GB2312"/>
                <w:kern w:val="0"/>
                <w:sz w:val="20"/>
                <w:szCs w:val="20"/>
              </w:rPr>
              <w:t>C22</w:t>
            </w:r>
            <w:r>
              <w:rPr>
                <w:rFonts w:hint="eastAsia" w:ascii="仿宋_GB2312"/>
                <w:color w:val="000000"/>
                <w:kern w:val="0"/>
                <w:sz w:val="20"/>
                <w:szCs w:val="20"/>
              </w:rPr>
              <w:t>全年培训人数达标率（2分)</w:t>
            </w:r>
          </w:p>
        </w:tc>
        <w:tc>
          <w:tcPr>
            <w:tcW w:w="680" w:type="dxa"/>
            <w:tcBorders>
              <w:top w:val="nil"/>
              <w:left w:val="nil"/>
              <w:bottom w:val="single" w:color="auto" w:sz="4" w:space="0"/>
              <w:right w:val="single" w:color="auto" w:sz="4" w:space="0"/>
            </w:tcBorders>
            <w:shd w:val="clear" w:color="auto" w:fill="auto"/>
            <w:vAlign w:val="center"/>
          </w:tcPr>
          <w:p w14:paraId="5148436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760" w:type="dxa"/>
            <w:tcBorders>
              <w:top w:val="nil"/>
              <w:left w:val="nil"/>
              <w:bottom w:val="single" w:color="auto" w:sz="4" w:space="0"/>
              <w:right w:val="single" w:color="auto" w:sz="4" w:space="0"/>
            </w:tcBorders>
            <w:shd w:val="clear" w:color="auto" w:fill="auto"/>
            <w:vAlign w:val="center"/>
          </w:tcPr>
          <w:p w14:paraId="4AAE965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3220" w:type="dxa"/>
            <w:tcBorders>
              <w:top w:val="nil"/>
              <w:left w:val="nil"/>
              <w:bottom w:val="single" w:color="auto" w:sz="4" w:space="0"/>
              <w:right w:val="single" w:color="auto" w:sz="4" w:space="0"/>
            </w:tcBorders>
            <w:shd w:val="clear" w:color="auto" w:fill="auto"/>
            <w:vAlign w:val="center"/>
          </w:tcPr>
          <w:p w14:paraId="580FEFED">
            <w:pPr>
              <w:widowControl/>
              <w:rPr>
                <w:rFonts w:ascii="仿宋_GB2312"/>
                <w:color w:val="000000"/>
                <w:kern w:val="0"/>
                <w:sz w:val="20"/>
                <w:szCs w:val="20"/>
              </w:rPr>
            </w:pPr>
            <w:r>
              <w:rPr>
                <w:rFonts w:hint="eastAsia" w:ascii="仿宋_GB2312"/>
                <w:color w:val="000000"/>
                <w:kern w:val="0"/>
                <w:sz w:val="20"/>
                <w:szCs w:val="20"/>
              </w:rPr>
              <w:t>考察</w:t>
            </w:r>
            <w:r>
              <w:rPr>
                <w:rFonts w:hint="eastAsia" w:ascii="仿宋_GB2312"/>
                <w:color w:val="000000"/>
                <w:kern w:val="0"/>
                <w:sz w:val="20"/>
                <w:szCs w:val="20"/>
                <w:lang w:eastAsia="zh-CN"/>
              </w:rPr>
              <w:t>2023</w:t>
            </w:r>
            <w:r>
              <w:rPr>
                <w:rFonts w:hint="eastAsia" w:ascii="仿宋_GB2312"/>
                <w:color w:val="000000"/>
                <w:kern w:val="0"/>
                <w:sz w:val="20"/>
                <w:szCs w:val="20"/>
              </w:rPr>
              <w:t>年度干部教育培训的完成情况。</w:t>
            </w:r>
          </w:p>
        </w:tc>
        <w:tc>
          <w:tcPr>
            <w:tcW w:w="3900" w:type="dxa"/>
            <w:tcBorders>
              <w:top w:val="nil"/>
              <w:left w:val="nil"/>
              <w:bottom w:val="single" w:color="auto" w:sz="4" w:space="0"/>
              <w:right w:val="single" w:color="auto" w:sz="4" w:space="0"/>
            </w:tcBorders>
            <w:shd w:val="clear" w:color="auto" w:fill="auto"/>
            <w:vAlign w:val="center"/>
          </w:tcPr>
          <w:p w14:paraId="6593B988">
            <w:pPr>
              <w:widowControl/>
              <w:rPr>
                <w:rFonts w:ascii="仿宋_GB2312"/>
                <w:color w:val="000000"/>
                <w:kern w:val="0"/>
                <w:sz w:val="20"/>
                <w:szCs w:val="20"/>
              </w:rPr>
            </w:pPr>
            <w:r>
              <w:rPr>
                <w:rFonts w:hint="eastAsia" w:ascii="仿宋_GB2312"/>
                <w:color w:val="000000"/>
                <w:kern w:val="0"/>
                <w:sz w:val="20"/>
                <w:szCs w:val="20"/>
              </w:rPr>
              <w:t>重点项目全部完成为满分，每一项不达标扣权重分（2分）的20%；三项不达标则为零分。</w:t>
            </w:r>
          </w:p>
        </w:tc>
        <w:tc>
          <w:tcPr>
            <w:tcW w:w="1840" w:type="dxa"/>
            <w:tcBorders>
              <w:top w:val="nil"/>
              <w:left w:val="nil"/>
              <w:bottom w:val="single" w:color="auto" w:sz="4" w:space="0"/>
              <w:right w:val="single" w:color="auto" w:sz="4" w:space="0"/>
            </w:tcBorders>
            <w:shd w:val="clear" w:color="auto" w:fill="auto"/>
            <w:vAlign w:val="center"/>
          </w:tcPr>
          <w:p w14:paraId="2355CB1B">
            <w:pPr>
              <w:widowControl/>
              <w:rPr>
                <w:rFonts w:ascii="仿宋_GB2312"/>
                <w:color w:val="000000"/>
                <w:kern w:val="0"/>
                <w:sz w:val="20"/>
                <w:szCs w:val="20"/>
              </w:rPr>
            </w:pPr>
            <w:r>
              <w:rPr>
                <w:rFonts w:hint="eastAsia" w:ascii="仿宋_GB2312"/>
                <w:color w:val="000000"/>
                <w:kern w:val="0"/>
                <w:sz w:val="20"/>
                <w:szCs w:val="20"/>
              </w:rPr>
              <w:t>重点项目指标及完成情况、工作总结</w:t>
            </w:r>
          </w:p>
        </w:tc>
      </w:tr>
      <w:tr w14:paraId="336F6663">
        <w:tblPrEx>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nil"/>
              <w:right w:val="single" w:color="auto" w:sz="4" w:space="0"/>
            </w:tcBorders>
            <w:vAlign w:val="center"/>
          </w:tcPr>
          <w:p w14:paraId="210FFDDC">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21DC1970">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21048EB2">
            <w:pPr>
              <w:widowControl/>
              <w:jc w:val="left"/>
              <w:rPr>
                <w:rFonts w:ascii="仿宋_GB2312"/>
                <w:kern w:val="0"/>
                <w:sz w:val="20"/>
                <w:szCs w:val="20"/>
              </w:rPr>
            </w:pPr>
            <w:r>
              <w:rPr>
                <w:rFonts w:hint="eastAsia" w:ascii="仿宋_GB2312"/>
                <w:kern w:val="0"/>
                <w:sz w:val="20"/>
                <w:szCs w:val="20"/>
              </w:rPr>
              <w:t>C23</w:t>
            </w:r>
            <w:r>
              <w:rPr>
                <w:rFonts w:hint="eastAsia" w:ascii="仿宋_GB2312"/>
                <w:color w:val="000000"/>
                <w:kern w:val="0"/>
                <w:sz w:val="20"/>
                <w:szCs w:val="20"/>
              </w:rPr>
              <w:t>行风评议在60%以上名次（2分)</w:t>
            </w:r>
          </w:p>
        </w:tc>
        <w:tc>
          <w:tcPr>
            <w:tcW w:w="680" w:type="dxa"/>
            <w:tcBorders>
              <w:top w:val="nil"/>
              <w:left w:val="nil"/>
              <w:bottom w:val="single" w:color="auto" w:sz="4" w:space="0"/>
              <w:right w:val="single" w:color="auto" w:sz="4" w:space="0"/>
            </w:tcBorders>
            <w:shd w:val="clear" w:color="auto" w:fill="auto"/>
            <w:vAlign w:val="center"/>
          </w:tcPr>
          <w:p w14:paraId="3420BBDB">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760" w:type="dxa"/>
            <w:tcBorders>
              <w:top w:val="nil"/>
              <w:left w:val="nil"/>
              <w:bottom w:val="single" w:color="auto" w:sz="4" w:space="0"/>
              <w:right w:val="single" w:color="auto" w:sz="4" w:space="0"/>
            </w:tcBorders>
            <w:shd w:val="clear" w:color="auto" w:fill="auto"/>
            <w:vAlign w:val="center"/>
          </w:tcPr>
          <w:p w14:paraId="04656EF1">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3220" w:type="dxa"/>
            <w:tcBorders>
              <w:top w:val="nil"/>
              <w:left w:val="nil"/>
              <w:bottom w:val="single" w:color="auto" w:sz="4" w:space="0"/>
              <w:right w:val="single" w:color="auto" w:sz="4" w:space="0"/>
            </w:tcBorders>
            <w:shd w:val="clear" w:color="auto" w:fill="auto"/>
            <w:vAlign w:val="center"/>
          </w:tcPr>
          <w:p w14:paraId="4F412282">
            <w:pPr>
              <w:widowControl/>
              <w:rPr>
                <w:rFonts w:ascii="仿宋_GB2312"/>
                <w:color w:val="000000"/>
                <w:kern w:val="0"/>
                <w:sz w:val="20"/>
                <w:szCs w:val="20"/>
              </w:rPr>
            </w:pPr>
            <w:r>
              <w:rPr>
                <w:rFonts w:hint="eastAsia" w:ascii="仿宋_GB2312"/>
                <w:color w:val="000000"/>
                <w:kern w:val="0"/>
                <w:sz w:val="20"/>
                <w:szCs w:val="20"/>
              </w:rPr>
              <w:t>考察</w:t>
            </w:r>
            <w:r>
              <w:rPr>
                <w:rFonts w:hint="eastAsia" w:ascii="仿宋_GB2312"/>
                <w:color w:val="000000"/>
                <w:kern w:val="0"/>
                <w:sz w:val="20"/>
                <w:szCs w:val="20"/>
                <w:lang w:eastAsia="zh-CN"/>
              </w:rPr>
              <w:t>2023</w:t>
            </w:r>
            <w:r>
              <w:rPr>
                <w:rFonts w:hint="eastAsia" w:ascii="仿宋_GB2312"/>
                <w:color w:val="000000"/>
                <w:kern w:val="0"/>
                <w:sz w:val="20"/>
                <w:szCs w:val="20"/>
              </w:rPr>
              <w:t>年单位工作在社会公众中的形象</w:t>
            </w:r>
          </w:p>
        </w:tc>
        <w:tc>
          <w:tcPr>
            <w:tcW w:w="3900" w:type="dxa"/>
            <w:tcBorders>
              <w:top w:val="nil"/>
              <w:left w:val="nil"/>
              <w:bottom w:val="single" w:color="auto" w:sz="4" w:space="0"/>
              <w:right w:val="single" w:color="auto" w:sz="4" w:space="0"/>
            </w:tcBorders>
            <w:shd w:val="clear" w:color="auto" w:fill="auto"/>
            <w:vAlign w:val="center"/>
          </w:tcPr>
          <w:p w14:paraId="7F9C0C2D">
            <w:pPr>
              <w:widowControl/>
              <w:rPr>
                <w:rFonts w:ascii="仿宋_GB2312"/>
                <w:color w:val="000000"/>
                <w:kern w:val="0"/>
                <w:sz w:val="20"/>
                <w:szCs w:val="20"/>
              </w:rPr>
            </w:pPr>
            <w:r>
              <w:rPr>
                <w:rFonts w:hint="eastAsia" w:ascii="仿宋_GB2312"/>
                <w:color w:val="000000"/>
                <w:kern w:val="0"/>
                <w:sz w:val="20"/>
                <w:szCs w:val="20"/>
              </w:rPr>
              <w:t>行风评议在60%以上名次得满分</w:t>
            </w:r>
          </w:p>
        </w:tc>
        <w:tc>
          <w:tcPr>
            <w:tcW w:w="1840" w:type="dxa"/>
            <w:tcBorders>
              <w:top w:val="nil"/>
              <w:left w:val="nil"/>
              <w:bottom w:val="single" w:color="auto" w:sz="4" w:space="0"/>
              <w:right w:val="single" w:color="auto" w:sz="4" w:space="0"/>
            </w:tcBorders>
            <w:shd w:val="clear" w:color="auto" w:fill="auto"/>
            <w:vAlign w:val="center"/>
          </w:tcPr>
          <w:p w14:paraId="37633954">
            <w:pPr>
              <w:widowControl/>
              <w:rPr>
                <w:rFonts w:ascii="仿宋_GB2312"/>
                <w:color w:val="000000"/>
                <w:kern w:val="0"/>
                <w:sz w:val="20"/>
                <w:szCs w:val="20"/>
              </w:rPr>
            </w:pPr>
            <w:r>
              <w:rPr>
                <w:rFonts w:hint="eastAsia" w:ascii="仿宋_GB2312"/>
                <w:color w:val="000000"/>
                <w:kern w:val="0"/>
                <w:sz w:val="20"/>
                <w:szCs w:val="20"/>
              </w:rPr>
              <w:t>行风评议结果</w:t>
            </w:r>
          </w:p>
        </w:tc>
      </w:tr>
      <w:tr w14:paraId="13CD9617">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nil"/>
              <w:right w:val="single" w:color="auto" w:sz="4" w:space="0"/>
            </w:tcBorders>
            <w:vAlign w:val="center"/>
          </w:tcPr>
          <w:p w14:paraId="3067C0ED">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3A87E952">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457AB674">
            <w:pPr>
              <w:widowControl/>
              <w:jc w:val="left"/>
              <w:rPr>
                <w:rFonts w:ascii="仿宋_GB2312"/>
                <w:kern w:val="0"/>
                <w:sz w:val="20"/>
                <w:szCs w:val="20"/>
              </w:rPr>
            </w:pPr>
            <w:r>
              <w:rPr>
                <w:rFonts w:hint="eastAsia" w:ascii="仿宋_GB2312"/>
                <w:kern w:val="0"/>
                <w:sz w:val="20"/>
                <w:szCs w:val="20"/>
              </w:rPr>
              <w:t>C24</w:t>
            </w:r>
            <w:r>
              <w:rPr>
                <w:rFonts w:hint="eastAsia" w:ascii="仿宋_GB2312"/>
                <w:color w:val="000000"/>
                <w:kern w:val="0"/>
                <w:sz w:val="20"/>
                <w:szCs w:val="20"/>
              </w:rPr>
              <w:t>干部培训保障（2分）</w:t>
            </w:r>
          </w:p>
        </w:tc>
        <w:tc>
          <w:tcPr>
            <w:tcW w:w="680" w:type="dxa"/>
            <w:tcBorders>
              <w:top w:val="nil"/>
              <w:left w:val="nil"/>
              <w:bottom w:val="single" w:color="auto" w:sz="4" w:space="0"/>
              <w:right w:val="single" w:color="auto" w:sz="4" w:space="0"/>
            </w:tcBorders>
            <w:shd w:val="clear" w:color="auto" w:fill="auto"/>
            <w:vAlign w:val="center"/>
          </w:tcPr>
          <w:p w14:paraId="4471EDC9">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760" w:type="dxa"/>
            <w:tcBorders>
              <w:top w:val="nil"/>
              <w:left w:val="nil"/>
              <w:bottom w:val="single" w:color="auto" w:sz="4" w:space="0"/>
              <w:right w:val="single" w:color="auto" w:sz="4" w:space="0"/>
            </w:tcBorders>
            <w:shd w:val="clear" w:color="auto" w:fill="auto"/>
            <w:vAlign w:val="center"/>
          </w:tcPr>
          <w:p w14:paraId="732724D4">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3220" w:type="dxa"/>
            <w:tcBorders>
              <w:top w:val="nil"/>
              <w:left w:val="nil"/>
              <w:bottom w:val="single" w:color="auto" w:sz="4" w:space="0"/>
              <w:right w:val="single" w:color="auto" w:sz="4" w:space="0"/>
            </w:tcBorders>
            <w:shd w:val="clear" w:color="auto" w:fill="auto"/>
            <w:vAlign w:val="center"/>
          </w:tcPr>
          <w:p w14:paraId="619DE0CA">
            <w:pPr>
              <w:widowControl/>
              <w:rPr>
                <w:rFonts w:ascii="仿宋_GB2312"/>
                <w:color w:val="000000"/>
                <w:kern w:val="0"/>
                <w:sz w:val="20"/>
                <w:szCs w:val="20"/>
              </w:rPr>
            </w:pPr>
            <w:r>
              <w:rPr>
                <w:rFonts w:hint="eastAsia" w:ascii="仿宋_GB2312"/>
                <w:color w:val="000000"/>
                <w:kern w:val="0"/>
                <w:sz w:val="20"/>
                <w:szCs w:val="20"/>
              </w:rPr>
              <w:t>考察</w:t>
            </w:r>
            <w:r>
              <w:rPr>
                <w:rFonts w:hint="eastAsia" w:ascii="仿宋_GB2312"/>
                <w:color w:val="000000"/>
                <w:kern w:val="0"/>
                <w:sz w:val="20"/>
                <w:szCs w:val="20"/>
                <w:lang w:eastAsia="zh-CN"/>
              </w:rPr>
              <w:t>2023</w:t>
            </w:r>
            <w:r>
              <w:rPr>
                <w:rFonts w:hint="eastAsia" w:ascii="仿宋_GB2312"/>
                <w:color w:val="000000"/>
                <w:kern w:val="0"/>
                <w:sz w:val="20"/>
                <w:szCs w:val="20"/>
              </w:rPr>
              <w:t>年度干部教育培训的完成情况。</w:t>
            </w:r>
          </w:p>
        </w:tc>
        <w:tc>
          <w:tcPr>
            <w:tcW w:w="3900" w:type="dxa"/>
            <w:tcBorders>
              <w:top w:val="nil"/>
              <w:left w:val="nil"/>
              <w:bottom w:val="single" w:color="auto" w:sz="4" w:space="0"/>
              <w:right w:val="single" w:color="auto" w:sz="4" w:space="0"/>
            </w:tcBorders>
            <w:shd w:val="clear" w:color="auto" w:fill="auto"/>
            <w:vAlign w:val="center"/>
          </w:tcPr>
          <w:p w14:paraId="174F7438">
            <w:pPr>
              <w:widowControl/>
              <w:rPr>
                <w:rFonts w:ascii="仿宋_GB2312"/>
                <w:color w:val="000000"/>
                <w:kern w:val="0"/>
                <w:sz w:val="20"/>
                <w:szCs w:val="20"/>
              </w:rPr>
            </w:pPr>
            <w:r>
              <w:rPr>
                <w:rFonts w:hint="eastAsia" w:ascii="仿宋_GB2312"/>
                <w:color w:val="000000"/>
                <w:kern w:val="0"/>
                <w:sz w:val="20"/>
                <w:szCs w:val="20"/>
              </w:rPr>
              <w:t>重点项目全部完成为满分，每一项不达标扣权重分（2分）的20%；三项不达标则为零分。</w:t>
            </w:r>
          </w:p>
        </w:tc>
        <w:tc>
          <w:tcPr>
            <w:tcW w:w="1840" w:type="dxa"/>
            <w:tcBorders>
              <w:top w:val="nil"/>
              <w:left w:val="nil"/>
              <w:bottom w:val="single" w:color="auto" w:sz="4" w:space="0"/>
              <w:right w:val="single" w:color="auto" w:sz="4" w:space="0"/>
            </w:tcBorders>
            <w:shd w:val="clear" w:color="auto" w:fill="auto"/>
            <w:vAlign w:val="center"/>
          </w:tcPr>
          <w:p w14:paraId="148A8E89">
            <w:pPr>
              <w:widowControl/>
              <w:rPr>
                <w:rFonts w:ascii="仿宋_GB2312"/>
                <w:color w:val="000000"/>
                <w:kern w:val="0"/>
                <w:sz w:val="20"/>
                <w:szCs w:val="20"/>
              </w:rPr>
            </w:pPr>
            <w:r>
              <w:rPr>
                <w:rFonts w:hint="eastAsia" w:ascii="仿宋_GB2312"/>
                <w:color w:val="000000"/>
                <w:kern w:val="0"/>
                <w:sz w:val="20"/>
                <w:szCs w:val="20"/>
              </w:rPr>
              <w:t>重点项目指标及完成情况、工作总结</w:t>
            </w:r>
          </w:p>
        </w:tc>
      </w:tr>
      <w:tr w14:paraId="679CE596">
        <w:tblPrEx>
          <w:tblCellMar>
            <w:top w:w="0" w:type="dxa"/>
            <w:left w:w="108" w:type="dxa"/>
            <w:bottom w:w="0" w:type="dxa"/>
            <w:right w:w="108" w:type="dxa"/>
          </w:tblCellMar>
        </w:tblPrEx>
        <w:trPr>
          <w:trHeight w:val="960" w:hRule="atLeast"/>
        </w:trPr>
        <w:tc>
          <w:tcPr>
            <w:tcW w:w="740" w:type="dxa"/>
            <w:vMerge w:val="continue"/>
            <w:tcBorders>
              <w:top w:val="nil"/>
              <w:left w:val="single" w:color="auto" w:sz="4" w:space="0"/>
              <w:bottom w:val="nil"/>
              <w:right w:val="single" w:color="auto" w:sz="4" w:space="0"/>
            </w:tcBorders>
            <w:vAlign w:val="center"/>
          </w:tcPr>
          <w:p w14:paraId="3551EA29">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29E0AFB9">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3A731A10">
            <w:pPr>
              <w:widowControl/>
              <w:jc w:val="left"/>
              <w:rPr>
                <w:rFonts w:ascii="仿宋_GB2312"/>
                <w:kern w:val="0"/>
                <w:sz w:val="20"/>
                <w:szCs w:val="20"/>
              </w:rPr>
            </w:pPr>
            <w:r>
              <w:rPr>
                <w:rFonts w:hint="eastAsia" w:ascii="仿宋_GB2312"/>
                <w:kern w:val="0"/>
                <w:sz w:val="20"/>
                <w:szCs w:val="20"/>
              </w:rPr>
              <w:t>C25</w:t>
            </w:r>
            <w:r>
              <w:rPr>
                <w:rFonts w:hint="eastAsia" w:ascii="仿宋_GB2312"/>
                <w:color w:val="000000"/>
                <w:kern w:val="0"/>
                <w:sz w:val="20"/>
                <w:szCs w:val="20"/>
              </w:rPr>
              <w:t>扶贫工作成效宣传（2分）</w:t>
            </w:r>
          </w:p>
        </w:tc>
        <w:tc>
          <w:tcPr>
            <w:tcW w:w="680" w:type="dxa"/>
            <w:tcBorders>
              <w:top w:val="nil"/>
              <w:left w:val="nil"/>
              <w:bottom w:val="single" w:color="auto" w:sz="4" w:space="0"/>
              <w:right w:val="single" w:color="auto" w:sz="4" w:space="0"/>
            </w:tcBorders>
            <w:shd w:val="clear" w:color="auto" w:fill="auto"/>
            <w:vAlign w:val="center"/>
          </w:tcPr>
          <w:p w14:paraId="47DA4D6C">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760" w:type="dxa"/>
            <w:tcBorders>
              <w:top w:val="nil"/>
              <w:left w:val="nil"/>
              <w:bottom w:val="single" w:color="auto" w:sz="4" w:space="0"/>
              <w:right w:val="single" w:color="auto" w:sz="4" w:space="0"/>
            </w:tcBorders>
            <w:shd w:val="clear" w:color="auto" w:fill="auto"/>
            <w:vAlign w:val="center"/>
          </w:tcPr>
          <w:p w14:paraId="10D36BF5">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3220" w:type="dxa"/>
            <w:tcBorders>
              <w:top w:val="nil"/>
              <w:left w:val="nil"/>
              <w:bottom w:val="single" w:color="auto" w:sz="4" w:space="0"/>
              <w:right w:val="single" w:color="auto" w:sz="4" w:space="0"/>
            </w:tcBorders>
            <w:shd w:val="clear" w:color="auto" w:fill="auto"/>
            <w:vAlign w:val="center"/>
          </w:tcPr>
          <w:p w14:paraId="052A6569">
            <w:pPr>
              <w:widowControl/>
              <w:rPr>
                <w:rFonts w:ascii="仿宋_GB2312"/>
                <w:color w:val="000000"/>
                <w:kern w:val="0"/>
                <w:sz w:val="20"/>
                <w:szCs w:val="20"/>
              </w:rPr>
            </w:pPr>
            <w:r>
              <w:rPr>
                <w:rFonts w:hint="eastAsia" w:ascii="仿宋_GB2312"/>
                <w:color w:val="000000"/>
                <w:kern w:val="0"/>
                <w:sz w:val="20"/>
                <w:szCs w:val="20"/>
              </w:rPr>
              <w:t>考察村级组织活动场和村民小组活动场所建设项目完成情况</w:t>
            </w:r>
          </w:p>
        </w:tc>
        <w:tc>
          <w:tcPr>
            <w:tcW w:w="3900" w:type="dxa"/>
            <w:tcBorders>
              <w:top w:val="nil"/>
              <w:left w:val="nil"/>
              <w:bottom w:val="single" w:color="auto" w:sz="4" w:space="0"/>
              <w:right w:val="single" w:color="auto" w:sz="4" w:space="0"/>
            </w:tcBorders>
            <w:shd w:val="clear" w:color="auto" w:fill="auto"/>
            <w:vAlign w:val="center"/>
          </w:tcPr>
          <w:p w14:paraId="2459DEAE">
            <w:pPr>
              <w:widowControl/>
              <w:rPr>
                <w:rFonts w:ascii="仿宋_GB2312"/>
                <w:color w:val="000000"/>
                <w:kern w:val="0"/>
                <w:sz w:val="20"/>
                <w:szCs w:val="20"/>
              </w:rPr>
            </w:pPr>
            <w:r>
              <w:rPr>
                <w:rFonts w:hint="eastAsia" w:ascii="仿宋_GB2312"/>
                <w:color w:val="000000"/>
                <w:kern w:val="0"/>
                <w:sz w:val="20"/>
                <w:szCs w:val="20"/>
              </w:rPr>
              <w:t>村级组织活动场和村民小组活动场所年度内建成并投入使用，得1分；建成未投入使用，得0.75分；已开工建设未完工，得0.5分；未开工建设，不得分。</w:t>
            </w:r>
          </w:p>
        </w:tc>
        <w:tc>
          <w:tcPr>
            <w:tcW w:w="1840" w:type="dxa"/>
            <w:tcBorders>
              <w:top w:val="nil"/>
              <w:left w:val="nil"/>
              <w:bottom w:val="single" w:color="auto" w:sz="4" w:space="0"/>
              <w:right w:val="single" w:color="auto" w:sz="4" w:space="0"/>
            </w:tcBorders>
            <w:shd w:val="clear" w:color="auto" w:fill="auto"/>
            <w:vAlign w:val="center"/>
          </w:tcPr>
          <w:p w14:paraId="3728DD44">
            <w:pPr>
              <w:widowControl/>
              <w:rPr>
                <w:rFonts w:ascii="仿宋_GB2312"/>
                <w:color w:val="000000"/>
                <w:kern w:val="0"/>
                <w:sz w:val="20"/>
                <w:szCs w:val="20"/>
              </w:rPr>
            </w:pPr>
            <w:r>
              <w:rPr>
                <w:rFonts w:hint="eastAsia" w:ascii="仿宋_GB2312"/>
                <w:color w:val="000000"/>
                <w:kern w:val="0"/>
                <w:sz w:val="20"/>
                <w:szCs w:val="20"/>
              </w:rPr>
              <w:t>村级组织活动场和村民小组活动场所建设项目资料</w:t>
            </w:r>
          </w:p>
        </w:tc>
      </w:tr>
      <w:tr w14:paraId="08936218">
        <w:tblPrEx>
          <w:tblCellMar>
            <w:top w:w="0" w:type="dxa"/>
            <w:left w:w="108" w:type="dxa"/>
            <w:bottom w:w="0" w:type="dxa"/>
            <w:right w:w="108" w:type="dxa"/>
          </w:tblCellMar>
        </w:tblPrEx>
        <w:trPr>
          <w:trHeight w:val="1440" w:hRule="atLeast"/>
        </w:trPr>
        <w:tc>
          <w:tcPr>
            <w:tcW w:w="740" w:type="dxa"/>
            <w:vMerge w:val="continue"/>
            <w:tcBorders>
              <w:top w:val="nil"/>
              <w:left w:val="single" w:color="auto" w:sz="4" w:space="0"/>
              <w:bottom w:val="nil"/>
              <w:right w:val="single" w:color="auto" w:sz="4" w:space="0"/>
            </w:tcBorders>
            <w:vAlign w:val="center"/>
          </w:tcPr>
          <w:p w14:paraId="082CAFFF">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481144FC">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6451281C">
            <w:pPr>
              <w:widowControl/>
              <w:jc w:val="left"/>
              <w:rPr>
                <w:rFonts w:ascii="仿宋_GB2312"/>
                <w:kern w:val="0"/>
                <w:sz w:val="20"/>
                <w:szCs w:val="20"/>
              </w:rPr>
            </w:pPr>
            <w:r>
              <w:rPr>
                <w:rFonts w:hint="eastAsia" w:ascii="仿宋_GB2312"/>
                <w:kern w:val="0"/>
                <w:sz w:val="20"/>
                <w:szCs w:val="20"/>
              </w:rPr>
              <w:t>C26</w:t>
            </w:r>
            <w:r>
              <w:rPr>
                <w:rFonts w:hint="eastAsia" w:ascii="仿宋_GB2312"/>
                <w:color w:val="000000"/>
                <w:kern w:val="0"/>
                <w:sz w:val="20"/>
                <w:szCs w:val="20"/>
              </w:rPr>
              <w:t>单位及住宿区绿化率40%以上，排污达标，无卫生死角（2分）</w:t>
            </w:r>
          </w:p>
        </w:tc>
        <w:tc>
          <w:tcPr>
            <w:tcW w:w="680" w:type="dxa"/>
            <w:tcBorders>
              <w:top w:val="nil"/>
              <w:left w:val="nil"/>
              <w:bottom w:val="single" w:color="auto" w:sz="4" w:space="0"/>
              <w:right w:val="single" w:color="auto" w:sz="4" w:space="0"/>
            </w:tcBorders>
            <w:shd w:val="clear" w:color="auto" w:fill="auto"/>
            <w:vAlign w:val="center"/>
          </w:tcPr>
          <w:p w14:paraId="545171FA">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760" w:type="dxa"/>
            <w:tcBorders>
              <w:top w:val="nil"/>
              <w:left w:val="nil"/>
              <w:bottom w:val="single" w:color="auto" w:sz="4" w:space="0"/>
              <w:right w:val="single" w:color="auto" w:sz="4" w:space="0"/>
            </w:tcBorders>
            <w:shd w:val="clear" w:color="auto" w:fill="auto"/>
            <w:vAlign w:val="center"/>
          </w:tcPr>
          <w:p w14:paraId="2D63411B">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0.5</w:t>
            </w:r>
          </w:p>
        </w:tc>
        <w:tc>
          <w:tcPr>
            <w:tcW w:w="3220" w:type="dxa"/>
            <w:tcBorders>
              <w:top w:val="nil"/>
              <w:left w:val="nil"/>
              <w:bottom w:val="single" w:color="auto" w:sz="4" w:space="0"/>
              <w:right w:val="single" w:color="auto" w:sz="4" w:space="0"/>
            </w:tcBorders>
            <w:shd w:val="clear" w:color="auto" w:fill="auto"/>
            <w:vAlign w:val="center"/>
          </w:tcPr>
          <w:p w14:paraId="2CD81FCD">
            <w:pPr>
              <w:widowControl/>
              <w:jc w:val="left"/>
              <w:rPr>
                <w:rFonts w:ascii="仿宋_GB2312"/>
                <w:color w:val="000000"/>
                <w:kern w:val="0"/>
                <w:sz w:val="20"/>
                <w:szCs w:val="20"/>
              </w:rPr>
            </w:pPr>
            <w:r>
              <w:rPr>
                <w:rFonts w:hint="eastAsia" w:ascii="仿宋_GB2312"/>
                <w:color w:val="000000"/>
                <w:kern w:val="0"/>
                <w:sz w:val="20"/>
                <w:szCs w:val="20"/>
              </w:rPr>
              <w:t>用于反映单位绿化覆盖率、卫生情况。</w:t>
            </w:r>
          </w:p>
        </w:tc>
        <w:tc>
          <w:tcPr>
            <w:tcW w:w="3900" w:type="dxa"/>
            <w:tcBorders>
              <w:top w:val="nil"/>
              <w:left w:val="nil"/>
              <w:bottom w:val="single" w:color="auto" w:sz="4" w:space="0"/>
              <w:right w:val="single" w:color="auto" w:sz="4" w:space="0"/>
            </w:tcBorders>
            <w:shd w:val="clear" w:color="auto" w:fill="auto"/>
            <w:vAlign w:val="center"/>
          </w:tcPr>
          <w:p w14:paraId="63E28F8A">
            <w:pPr>
              <w:widowControl/>
              <w:jc w:val="left"/>
              <w:rPr>
                <w:rFonts w:ascii="仿宋_GB2312"/>
                <w:color w:val="000000"/>
                <w:kern w:val="0"/>
                <w:sz w:val="20"/>
                <w:szCs w:val="20"/>
              </w:rPr>
            </w:pPr>
            <w:r>
              <w:rPr>
                <w:rFonts w:hint="eastAsia" w:ascii="仿宋_GB2312"/>
                <w:color w:val="000000"/>
                <w:kern w:val="0"/>
                <w:sz w:val="20"/>
                <w:szCs w:val="20"/>
              </w:rPr>
              <w:t>①单位绿化覆盖率40%以上、排污达标、无污水外流、无卫生死角记1分。②单位绿化覆盖率差5%、排污不达标、有污水外流、有卫生死角。每1项扣0.3分，本三级指标1分扣完为止。单位绿化覆盖率=单位绿化面积/单位占地总面积x100%。</w:t>
            </w:r>
          </w:p>
        </w:tc>
        <w:tc>
          <w:tcPr>
            <w:tcW w:w="1840" w:type="dxa"/>
            <w:tcBorders>
              <w:top w:val="nil"/>
              <w:left w:val="nil"/>
              <w:bottom w:val="single" w:color="auto" w:sz="4" w:space="0"/>
              <w:right w:val="single" w:color="auto" w:sz="4" w:space="0"/>
            </w:tcBorders>
            <w:shd w:val="clear" w:color="auto" w:fill="auto"/>
            <w:vAlign w:val="center"/>
          </w:tcPr>
          <w:p w14:paraId="2A854177">
            <w:pPr>
              <w:widowControl/>
              <w:rPr>
                <w:rFonts w:ascii="仿宋_GB2312"/>
                <w:color w:val="000000"/>
                <w:kern w:val="0"/>
                <w:sz w:val="20"/>
                <w:szCs w:val="20"/>
              </w:rPr>
            </w:pPr>
            <w:r>
              <w:rPr>
                <w:rFonts w:hint="eastAsia" w:ascii="仿宋_GB2312"/>
                <w:color w:val="000000"/>
                <w:kern w:val="0"/>
                <w:sz w:val="20"/>
                <w:szCs w:val="20"/>
              </w:rPr>
              <w:t>绿化面积占占地面积的比例；排污达标，无卫生死角。</w:t>
            </w:r>
          </w:p>
        </w:tc>
      </w:tr>
      <w:tr w14:paraId="2AC4218D">
        <w:tblPrEx>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nil"/>
              <w:right w:val="single" w:color="auto" w:sz="4" w:space="0"/>
            </w:tcBorders>
            <w:vAlign w:val="center"/>
          </w:tcPr>
          <w:p w14:paraId="671B313B">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50B0E1FC">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1F2E4CD6">
            <w:pPr>
              <w:widowControl/>
              <w:jc w:val="left"/>
              <w:rPr>
                <w:rFonts w:ascii="仿宋_GB2312"/>
                <w:kern w:val="0"/>
                <w:sz w:val="20"/>
                <w:szCs w:val="20"/>
              </w:rPr>
            </w:pPr>
            <w:r>
              <w:rPr>
                <w:rFonts w:hint="eastAsia" w:ascii="仿宋_GB2312"/>
                <w:kern w:val="0"/>
                <w:sz w:val="20"/>
                <w:szCs w:val="20"/>
              </w:rPr>
              <w:t>C27单位职工工作环境生活条件有所改善</w:t>
            </w:r>
          </w:p>
        </w:tc>
        <w:tc>
          <w:tcPr>
            <w:tcW w:w="680" w:type="dxa"/>
            <w:tcBorders>
              <w:top w:val="nil"/>
              <w:left w:val="nil"/>
              <w:bottom w:val="single" w:color="auto" w:sz="4" w:space="0"/>
              <w:right w:val="single" w:color="auto" w:sz="4" w:space="0"/>
            </w:tcBorders>
            <w:shd w:val="clear" w:color="auto" w:fill="auto"/>
            <w:vAlign w:val="center"/>
          </w:tcPr>
          <w:p w14:paraId="2DBE4030">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760" w:type="dxa"/>
            <w:tcBorders>
              <w:top w:val="nil"/>
              <w:left w:val="nil"/>
              <w:bottom w:val="single" w:color="auto" w:sz="4" w:space="0"/>
              <w:right w:val="single" w:color="auto" w:sz="4" w:space="0"/>
            </w:tcBorders>
            <w:shd w:val="clear" w:color="auto" w:fill="auto"/>
            <w:vAlign w:val="center"/>
          </w:tcPr>
          <w:p w14:paraId="45644727">
            <w:pPr>
              <w:widowControl/>
              <w:jc w:val="center"/>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lang w:val="en-US" w:eastAsia="zh-CN"/>
              </w:rPr>
              <w:t>1</w:t>
            </w:r>
          </w:p>
        </w:tc>
        <w:tc>
          <w:tcPr>
            <w:tcW w:w="3220" w:type="dxa"/>
            <w:tcBorders>
              <w:top w:val="nil"/>
              <w:left w:val="nil"/>
              <w:bottom w:val="single" w:color="auto" w:sz="4" w:space="0"/>
              <w:right w:val="single" w:color="auto" w:sz="4" w:space="0"/>
            </w:tcBorders>
            <w:shd w:val="clear" w:color="auto" w:fill="auto"/>
            <w:vAlign w:val="center"/>
          </w:tcPr>
          <w:p w14:paraId="72086F6C">
            <w:pPr>
              <w:widowControl/>
              <w:jc w:val="left"/>
              <w:rPr>
                <w:rFonts w:ascii="仿宋_GB2312"/>
                <w:color w:val="000000"/>
                <w:kern w:val="0"/>
                <w:sz w:val="20"/>
                <w:szCs w:val="20"/>
              </w:rPr>
            </w:pPr>
            <w:r>
              <w:rPr>
                <w:rFonts w:hint="eastAsia" w:ascii="仿宋_GB2312"/>
                <w:color w:val="000000"/>
                <w:kern w:val="0"/>
                <w:sz w:val="20"/>
                <w:szCs w:val="20"/>
              </w:rPr>
              <w:t>考察单位职工工作环境生活条件有所改善</w:t>
            </w:r>
          </w:p>
        </w:tc>
        <w:tc>
          <w:tcPr>
            <w:tcW w:w="3900" w:type="dxa"/>
            <w:tcBorders>
              <w:top w:val="nil"/>
              <w:left w:val="nil"/>
              <w:bottom w:val="single" w:color="auto" w:sz="4" w:space="0"/>
              <w:right w:val="single" w:color="auto" w:sz="4" w:space="0"/>
            </w:tcBorders>
            <w:shd w:val="clear" w:color="auto" w:fill="auto"/>
            <w:vAlign w:val="center"/>
          </w:tcPr>
          <w:p w14:paraId="470043FB">
            <w:pPr>
              <w:widowControl/>
              <w:jc w:val="left"/>
              <w:rPr>
                <w:rFonts w:ascii="仿宋_GB2312"/>
                <w:color w:val="000000"/>
                <w:kern w:val="0"/>
                <w:sz w:val="20"/>
                <w:szCs w:val="20"/>
              </w:rPr>
            </w:pPr>
            <w:r>
              <w:rPr>
                <w:rFonts w:hint="eastAsia" w:ascii="仿宋_GB2312"/>
                <w:color w:val="000000"/>
                <w:kern w:val="0"/>
                <w:sz w:val="20"/>
                <w:szCs w:val="20"/>
              </w:rPr>
              <w:t>单位办公条件有改善得满分</w:t>
            </w:r>
          </w:p>
        </w:tc>
        <w:tc>
          <w:tcPr>
            <w:tcW w:w="1840" w:type="dxa"/>
            <w:tcBorders>
              <w:top w:val="nil"/>
              <w:left w:val="nil"/>
              <w:bottom w:val="single" w:color="auto" w:sz="4" w:space="0"/>
              <w:right w:val="single" w:color="auto" w:sz="4" w:space="0"/>
            </w:tcBorders>
            <w:shd w:val="clear" w:color="auto" w:fill="auto"/>
            <w:vAlign w:val="center"/>
          </w:tcPr>
          <w:p w14:paraId="43F5581E">
            <w:pPr>
              <w:widowControl/>
              <w:rPr>
                <w:rFonts w:ascii="仿宋_GB2312"/>
                <w:color w:val="000000"/>
                <w:kern w:val="0"/>
                <w:sz w:val="20"/>
                <w:szCs w:val="20"/>
              </w:rPr>
            </w:pPr>
            <w:r>
              <w:rPr>
                <w:rFonts w:hint="eastAsia" w:ascii="仿宋_GB2312"/>
                <w:color w:val="000000"/>
                <w:kern w:val="0"/>
                <w:sz w:val="20"/>
                <w:szCs w:val="20"/>
              </w:rPr>
              <w:t>重点项目指标及完成情况、工作总结</w:t>
            </w:r>
          </w:p>
        </w:tc>
      </w:tr>
      <w:tr w14:paraId="18CBE02D">
        <w:tblPrEx>
          <w:tblCellMar>
            <w:top w:w="0" w:type="dxa"/>
            <w:left w:w="108" w:type="dxa"/>
            <w:bottom w:w="0" w:type="dxa"/>
            <w:right w:w="108" w:type="dxa"/>
          </w:tblCellMar>
        </w:tblPrEx>
        <w:trPr>
          <w:trHeight w:val="480" w:hRule="atLeast"/>
        </w:trPr>
        <w:tc>
          <w:tcPr>
            <w:tcW w:w="740" w:type="dxa"/>
            <w:vMerge w:val="continue"/>
            <w:tcBorders>
              <w:top w:val="nil"/>
              <w:left w:val="single" w:color="auto" w:sz="4" w:space="0"/>
              <w:bottom w:val="nil"/>
              <w:right w:val="single" w:color="auto" w:sz="4" w:space="0"/>
            </w:tcBorders>
            <w:vAlign w:val="center"/>
          </w:tcPr>
          <w:p w14:paraId="32C4831A">
            <w:pPr>
              <w:widowControl/>
              <w:jc w:val="left"/>
              <w:rPr>
                <w:rFonts w:ascii="仿宋_GB2312"/>
                <w:b/>
                <w:bCs/>
                <w:color w:val="000000"/>
                <w:kern w:val="0"/>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14:paraId="6380AED2">
            <w:pPr>
              <w:widowControl/>
              <w:jc w:val="left"/>
              <w:rPr>
                <w:rFonts w:ascii="仿宋_GB2312"/>
                <w:color w:val="000000"/>
                <w:kern w:val="0"/>
                <w:sz w:val="20"/>
                <w:szCs w:val="20"/>
              </w:rPr>
            </w:pPr>
          </w:p>
        </w:tc>
        <w:tc>
          <w:tcPr>
            <w:tcW w:w="2040" w:type="dxa"/>
            <w:tcBorders>
              <w:top w:val="nil"/>
              <w:left w:val="nil"/>
              <w:bottom w:val="single" w:color="auto" w:sz="4" w:space="0"/>
              <w:right w:val="single" w:color="auto" w:sz="4" w:space="0"/>
            </w:tcBorders>
            <w:shd w:val="clear" w:color="auto" w:fill="auto"/>
            <w:vAlign w:val="center"/>
          </w:tcPr>
          <w:p w14:paraId="61750640">
            <w:pPr>
              <w:widowControl/>
              <w:jc w:val="left"/>
              <w:rPr>
                <w:rFonts w:ascii="仿宋_GB2312"/>
                <w:kern w:val="0"/>
                <w:sz w:val="20"/>
                <w:szCs w:val="20"/>
              </w:rPr>
            </w:pPr>
            <w:r>
              <w:rPr>
                <w:rFonts w:hint="eastAsia" w:ascii="仿宋_GB2312"/>
                <w:kern w:val="0"/>
                <w:sz w:val="20"/>
                <w:szCs w:val="20"/>
              </w:rPr>
              <w:t>C28</w:t>
            </w:r>
            <w:r>
              <w:rPr>
                <w:rFonts w:hint="eastAsia" w:ascii="仿宋_GB2312"/>
                <w:color w:val="000000"/>
                <w:kern w:val="0"/>
                <w:sz w:val="20"/>
                <w:szCs w:val="20"/>
              </w:rPr>
              <w:t>继续做到无欠债（2分）</w:t>
            </w:r>
          </w:p>
        </w:tc>
        <w:tc>
          <w:tcPr>
            <w:tcW w:w="680" w:type="dxa"/>
            <w:tcBorders>
              <w:top w:val="nil"/>
              <w:left w:val="nil"/>
              <w:bottom w:val="single" w:color="auto" w:sz="4" w:space="0"/>
              <w:right w:val="single" w:color="auto" w:sz="4" w:space="0"/>
            </w:tcBorders>
            <w:shd w:val="clear" w:color="auto" w:fill="auto"/>
            <w:vAlign w:val="center"/>
          </w:tcPr>
          <w:p w14:paraId="7E72A635">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760" w:type="dxa"/>
            <w:tcBorders>
              <w:top w:val="nil"/>
              <w:left w:val="nil"/>
              <w:bottom w:val="single" w:color="auto" w:sz="4" w:space="0"/>
              <w:right w:val="single" w:color="auto" w:sz="4" w:space="0"/>
            </w:tcBorders>
            <w:shd w:val="clear" w:color="auto" w:fill="auto"/>
            <w:vAlign w:val="center"/>
          </w:tcPr>
          <w:p w14:paraId="0216B6B5">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p>
        </w:tc>
        <w:tc>
          <w:tcPr>
            <w:tcW w:w="3220" w:type="dxa"/>
            <w:tcBorders>
              <w:top w:val="nil"/>
              <w:left w:val="nil"/>
              <w:bottom w:val="single" w:color="auto" w:sz="4" w:space="0"/>
              <w:right w:val="single" w:color="auto" w:sz="4" w:space="0"/>
            </w:tcBorders>
            <w:shd w:val="clear" w:color="auto" w:fill="auto"/>
            <w:vAlign w:val="center"/>
          </w:tcPr>
          <w:p w14:paraId="4218D9FA">
            <w:pPr>
              <w:widowControl/>
              <w:rPr>
                <w:rFonts w:ascii="仿宋_GB2312"/>
                <w:color w:val="000000"/>
                <w:kern w:val="0"/>
                <w:sz w:val="20"/>
                <w:szCs w:val="20"/>
              </w:rPr>
            </w:pPr>
            <w:r>
              <w:rPr>
                <w:rFonts w:hint="eastAsia" w:ascii="仿宋_GB2312"/>
                <w:color w:val="000000"/>
                <w:kern w:val="0"/>
                <w:sz w:val="20"/>
                <w:szCs w:val="20"/>
              </w:rPr>
              <w:t>考察单位无新增欠债</w:t>
            </w:r>
          </w:p>
        </w:tc>
        <w:tc>
          <w:tcPr>
            <w:tcW w:w="3900" w:type="dxa"/>
            <w:tcBorders>
              <w:top w:val="nil"/>
              <w:left w:val="nil"/>
              <w:bottom w:val="single" w:color="auto" w:sz="4" w:space="0"/>
              <w:right w:val="single" w:color="auto" w:sz="4" w:space="0"/>
            </w:tcBorders>
            <w:shd w:val="clear" w:color="auto" w:fill="auto"/>
            <w:vAlign w:val="center"/>
          </w:tcPr>
          <w:p w14:paraId="3922CEE6">
            <w:pPr>
              <w:widowControl/>
              <w:rPr>
                <w:rFonts w:ascii="仿宋_GB2312"/>
                <w:color w:val="000000"/>
                <w:kern w:val="0"/>
                <w:sz w:val="20"/>
                <w:szCs w:val="20"/>
              </w:rPr>
            </w:pPr>
            <w:r>
              <w:rPr>
                <w:rFonts w:hint="eastAsia" w:ascii="仿宋_GB2312"/>
                <w:color w:val="000000"/>
                <w:kern w:val="0"/>
                <w:sz w:val="20"/>
                <w:szCs w:val="20"/>
              </w:rPr>
              <w:t>单位无新增欠得满分。</w:t>
            </w:r>
          </w:p>
        </w:tc>
        <w:tc>
          <w:tcPr>
            <w:tcW w:w="1840" w:type="dxa"/>
            <w:tcBorders>
              <w:top w:val="nil"/>
              <w:left w:val="nil"/>
              <w:bottom w:val="single" w:color="auto" w:sz="4" w:space="0"/>
              <w:right w:val="single" w:color="auto" w:sz="4" w:space="0"/>
            </w:tcBorders>
            <w:shd w:val="clear" w:color="auto" w:fill="auto"/>
            <w:vAlign w:val="center"/>
          </w:tcPr>
          <w:p w14:paraId="27E1AC64">
            <w:pPr>
              <w:widowControl/>
              <w:rPr>
                <w:rFonts w:ascii="仿宋_GB2312"/>
                <w:color w:val="000000"/>
                <w:kern w:val="0"/>
                <w:sz w:val="20"/>
                <w:szCs w:val="20"/>
              </w:rPr>
            </w:pPr>
            <w:r>
              <w:rPr>
                <w:rFonts w:hint="eastAsia" w:ascii="仿宋_GB2312"/>
                <w:color w:val="000000"/>
                <w:kern w:val="0"/>
                <w:sz w:val="20"/>
                <w:szCs w:val="20"/>
              </w:rPr>
              <w:t>政府性债务管理系统数据</w:t>
            </w:r>
          </w:p>
        </w:tc>
      </w:tr>
      <w:tr w14:paraId="75EF7C5B">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nil"/>
              <w:right w:val="single" w:color="auto" w:sz="4" w:space="0"/>
            </w:tcBorders>
            <w:vAlign w:val="center"/>
          </w:tcPr>
          <w:p w14:paraId="1A5EE691">
            <w:pPr>
              <w:widowControl/>
              <w:jc w:val="left"/>
              <w:rPr>
                <w:rFonts w:ascii="仿宋_GB2312"/>
                <w:b/>
                <w:bCs/>
                <w:color w:val="000000"/>
                <w:kern w:val="0"/>
                <w:sz w:val="20"/>
                <w:szCs w:val="20"/>
              </w:rPr>
            </w:pPr>
          </w:p>
        </w:tc>
        <w:tc>
          <w:tcPr>
            <w:tcW w:w="820" w:type="dxa"/>
            <w:tcBorders>
              <w:top w:val="nil"/>
              <w:left w:val="nil"/>
              <w:bottom w:val="single" w:color="auto" w:sz="4" w:space="0"/>
              <w:right w:val="single" w:color="auto" w:sz="4" w:space="0"/>
            </w:tcBorders>
            <w:shd w:val="clear" w:color="auto" w:fill="auto"/>
            <w:vAlign w:val="center"/>
          </w:tcPr>
          <w:p w14:paraId="2F8AFA28">
            <w:pPr>
              <w:widowControl/>
              <w:jc w:val="left"/>
              <w:rPr>
                <w:rFonts w:ascii="仿宋_GB2312"/>
                <w:color w:val="000000"/>
                <w:kern w:val="0"/>
                <w:sz w:val="20"/>
                <w:szCs w:val="20"/>
              </w:rPr>
            </w:pPr>
            <w:r>
              <w:rPr>
                <w:rFonts w:hint="eastAsia" w:ascii="仿宋_GB2312"/>
                <w:color w:val="000000"/>
                <w:kern w:val="0"/>
                <w:sz w:val="20"/>
                <w:szCs w:val="20"/>
              </w:rPr>
              <w:t>C3满意度指标（6分）</w:t>
            </w:r>
          </w:p>
        </w:tc>
        <w:tc>
          <w:tcPr>
            <w:tcW w:w="2040" w:type="dxa"/>
            <w:tcBorders>
              <w:top w:val="nil"/>
              <w:left w:val="nil"/>
              <w:bottom w:val="single" w:color="auto" w:sz="4" w:space="0"/>
              <w:right w:val="single" w:color="auto" w:sz="4" w:space="0"/>
            </w:tcBorders>
            <w:shd w:val="clear" w:color="auto" w:fill="auto"/>
            <w:vAlign w:val="center"/>
          </w:tcPr>
          <w:p w14:paraId="4FF93726">
            <w:pPr>
              <w:widowControl/>
              <w:jc w:val="left"/>
              <w:rPr>
                <w:rFonts w:ascii="仿宋_GB2312"/>
                <w:color w:val="000000"/>
                <w:kern w:val="0"/>
                <w:sz w:val="20"/>
                <w:szCs w:val="20"/>
              </w:rPr>
            </w:pPr>
            <w:r>
              <w:rPr>
                <w:rFonts w:hint="eastAsia" w:ascii="仿宋_GB2312"/>
                <w:color w:val="000000"/>
                <w:kern w:val="0"/>
                <w:sz w:val="20"/>
                <w:szCs w:val="20"/>
              </w:rPr>
              <w:t>C31职工满意度（6分）</w:t>
            </w:r>
          </w:p>
        </w:tc>
        <w:tc>
          <w:tcPr>
            <w:tcW w:w="680" w:type="dxa"/>
            <w:tcBorders>
              <w:top w:val="nil"/>
              <w:left w:val="nil"/>
              <w:bottom w:val="single" w:color="auto" w:sz="4" w:space="0"/>
              <w:right w:val="single" w:color="auto" w:sz="4" w:space="0"/>
            </w:tcBorders>
            <w:shd w:val="clear" w:color="auto" w:fill="auto"/>
            <w:vAlign w:val="center"/>
          </w:tcPr>
          <w:p w14:paraId="4FFF9DA7">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w:t>
            </w:r>
          </w:p>
        </w:tc>
        <w:tc>
          <w:tcPr>
            <w:tcW w:w="760" w:type="dxa"/>
            <w:tcBorders>
              <w:top w:val="nil"/>
              <w:left w:val="nil"/>
              <w:bottom w:val="single" w:color="auto" w:sz="4" w:space="0"/>
              <w:right w:val="single" w:color="auto" w:sz="4" w:space="0"/>
            </w:tcBorders>
            <w:shd w:val="clear" w:color="auto" w:fill="auto"/>
            <w:vAlign w:val="center"/>
          </w:tcPr>
          <w:p w14:paraId="31DF992E">
            <w:pPr>
              <w:widowControl/>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6</w:t>
            </w:r>
          </w:p>
        </w:tc>
        <w:tc>
          <w:tcPr>
            <w:tcW w:w="3220" w:type="dxa"/>
            <w:tcBorders>
              <w:top w:val="nil"/>
              <w:left w:val="nil"/>
              <w:bottom w:val="single" w:color="auto" w:sz="4" w:space="0"/>
              <w:right w:val="single" w:color="auto" w:sz="4" w:space="0"/>
            </w:tcBorders>
            <w:shd w:val="clear" w:color="auto" w:fill="auto"/>
            <w:vAlign w:val="center"/>
          </w:tcPr>
          <w:p w14:paraId="48C5E4B4">
            <w:pPr>
              <w:widowControl/>
              <w:jc w:val="left"/>
              <w:rPr>
                <w:rFonts w:ascii="仿宋_GB2312"/>
                <w:color w:val="000000"/>
                <w:kern w:val="0"/>
                <w:sz w:val="20"/>
                <w:szCs w:val="20"/>
              </w:rPr>
            </w:pPr>
            <w:r>
              <w:rPr>
                <w:rFonts w:hint="eastAsia" w:ascii="仿宋_GB2312"/>
                <w:color w:val="000000"/>
                <w:kern w:val="0"/>
                <w:sz w:val="20"/>
                <w:szCs w:val="20"/>
              </w:rPr>
              <w:t>用于反映职工对整体支出绩效评价满意度评价</w:t>
            </w:r>
          </w:p>
        </w:tc>
        <w:tc>
          <w:tcPr>
            <w:tcW w:w="3900" w:type="dxa"/>
            <w:tcBorders>
              <w:top w:val="nil"/>
              <w:left w:val="nil"/>
              <w:bottom w:val="single" w:color="auto" w:sz="4" w:space="0"/>
              <w:right w:val="single" w:color="auto" w:sz="4" w:space="0"/>
            </w:tcBorders>
            <w:shd w:val="clear" w:color="auto" w:fill="auto"/>
            <w:vAlign w:val="center"/>
          </w:tcPr>
          <w:p w14:paraId="740FFE80">
            <w:pPr>
              <w:widowControl/>
              <w:jc w:val="left"/>
              <w:rPr>
                <w:rFonts w:ascii="仿宋_GB2312"/>
                <w:color w:val="000000"/>
                <w:kern w:val="0"/>
                <w:sz w:val="20"/>
                <w:szCs w:val="20"/>
              </w:rPr>
            </w:pPr>
            <w:r>
              <w:rPr>
                <w:rFonts w:hint="eastAsia" w:ascii="仿宋_GB2312"/>
                <w:color w:val="000000"/>
                <w:kern w:val="0"/>
                <w:sz w:val="20"/>
                <w:szCs w:val="20"/>
              </w:rPr>
              <w:t>满意度以1</w:t>
            </w:r>
            <w:r>
              <w:rPr>
                <w:rFonts w:hint="eastAsia" w:ascii="仿宋_GB2312"/>
                <w:color w:val="000000"/>
                <w:kern w:val="0"/>
                <w:sz w:val="20"/>
                <w:szCs w:val="20"/>
                <w:lang w:val="en-US" w:eastAsia="zh-CN"/>
              </w:rPr>
              <w:t>9</w:t>
            </w:r>
            <w:r>
              <w:rPr>
                <w:rFonts w:hint="eastAsia" w:ascii="仿宋_GB2312"/>
                <w:color w:val="000000"/>
                <w:kern w:val="0"/>
                <w:sz w:val="20"/>
                <w:szCs w:val="20"/>
              </w:rPr>
              <w:t>个调查对象为限，满意度达85%。</w:t>
            </w:r>
          </w:p>
        </w:tc>
        <w:tc>
          <w:tcPr>
            <w:tcW w:w="1840" w:type="dxa"/>
            <w:tcBorders>
              <w:top w:val="nil"/>
              <w:left w:val="nil"/>
              <w:bottom w:val="single" w:color="auto" w:sz="4" w:space="0"/>
              <w:right w:val="single" w:color="auto" w:sz="4" w:space="0"/>
            </w:tcBorders>
            <w:shd w:val="clear" w:color="auto" w:fill="auto"/>
            <w:vAlign w:val="center"/>
          </w:tcPr>
          <w:p w14:paraId="3426B982">
            <w:pPr>
              <w:widowControl/>
              <w:rPr>
                <w:rFonts w:ascii="仿宋_GB2312"/>
                <w:color w:val="000000"/>
                <w:kern w:val="0"/>
                <w:sz w:val="20"/>
                <w:szCs w:val="20"/>
              </w:rPr>
            </w:pPr>
            <w:r>
              <w:rPr>
                <w:rFonts w:hint="eastAsia" w:ascii="仿宋_GB2312"/>
                <w:color w:val="000000"/>
                <w:kern w:val="0"/>
                <w:sz w:val="20"/>
                <w:szCs w:val="20"/>
              </w:rPr>
              <w:t>调查问卷</w:t>
            </w:r>
          </w:p>
        </w:tc>
      </w:tr>
      <w:tr w14:paraId="5D0AB665">
        <w:tblPrEx>
          <w:tblCellMar>
            <w:top w:w="0" w:type="dxa"/>
            <w:left w:w="108" w:type="dxa"/>
            <w:bottom w:w="0" w:type="dxa"/>
            <w:right w:w="108" w:type="dxa"/>
          </w:tblCellMar>
        </w:tblPrEx>
        <w:trPr>
          <w:trHeight w:val="285"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1C758045">
            <w:pPr>
              <w:widowControl/>
              <w:jc w:val="center"/>
              <w:rPr>
                <w:rFonts w:ascii="仿宋_GB2312"/>
                <w:b/>
                <w:bCs/>
                <w:color w:val="000000"/>
                <w:kern w:val="0"/>
                <w:sz w:val="24"/>
                <w:szCs w:val="24"/>
              </w:rPr>
            </w:pPr>
            <w:r>
              <w:rPr>
                <w:rFonts w:hint="eastAsia" w:ascii="仿宋_GB2312"/>
                <w:b/>
                <w:bCs/>
                <w:color w:val="000000"/>
                <w:kern w:val="0"/>
                <w:sz w:val="24"/>
                <w:szCs w:val="24"/>
              </w:rPr>
              <w:t>合计</w:t>
            </w:r>
          </w:p>
        </w:tc>
        <w:tc>
          <w:tcPr>
            <w:tcW w:w="820" w:type="dxa"/>
            <w:tcBorders>
              <w:top w:val="nil"/>
              <w:left w:val="nil"/>
              <w:bottom w:val="single" w:color="auto" w:sz="4" w:space="0"/>
              <w:right w:val="single" w:color="auto" w:sz="4" w:space="0"/>
            </w:tcBorders>
            <w:shd w:val="clear" w:color="auto" w:fill="auto"/>
            <w:vAlign w:val="center"/>
          </w:tcPr>
          <w:p w14:paraId="73199333">
            <w:pPr>
              <w:widowControl/>
              <w:jc w:val="center"/>
              <w:rPr>
                <w:rFonts w:ascii="仿宋_GB2312"/>
                <w:b/>
                <w:bCs/>
                <w:color w:val="000000"/>
                <w:kern w:val="0"/>
                <w:szCs w:val="21"/>
              </w:rPr>
            </w:pPr>
            <w:r>
              <w:rPr>
                <w:rFonts w:hint="eastAsia" w:ascii="仿宋_GB2312"/>
                <w:b/>
                <w:bCs/>
                <w:color w:val="000000"/>
                <w:kern w:val="0"/>
                <w:szCs w:val="21"/>
              </w:rPr>
              <w:t>　</w:t>
            </w:r>
          </w:p>
        </w:tc>
        <w:tc>
          <w:tcPr>
            <w:tcW w:w="2040" w:type="dxa"/>
            <w:tcBorders>
              <w:top w:val="nil"/>
              <w:left w:val="nil"/>
              <w:bottom w:val="single" w:color="auto" w:sz="4" w:space="0"/>
              <w:right w:val="single" w:color="auto" w:sz="4" w:space="0"/>
            </w:tcBorders>
            <w:shd w:val="clear" w:color="auto" w:fill="auto"/>
            <w:vAlign w:val="center"/>
          </w:tcPr>
          <w:p w14:paraId="7CDAE3FF">
            <w:pPr>
              <w:widowControl/>
              <w:jc w:val="center"/>
              <w:rPr>
                <w:rFonts w:ascii="仿宋_GB2312"/>
                <w:b/>
                <w:bCs/>
                <w:color w:val="000000"/>
                <w:kern w:val="0"/>
                <w:szCs w:val="21"/>
              </w:rPr>
            </w:pPr>
            <w:r>
              <w:rPr>
                <w:rFonts w:hint="eastAsia" w:ascii="仿宋_GB2312"/>
                <w:b/>
                <w:bCs/>
                <w:color w:val="000000"/>
                <w:kern w:val="0"/>
                <w:szCs w:val="21"/>
              </w:rPr>
              <w:t>　</w:t>
            </w:r>
          </w:p>
        </w:tc>
        <w:tc>
          <w:tcPr>
            <w:tcW w:w="680" w:type="dxa"/>
            <w:tcBorders>
              <w:top w:val="nil"/>
              <w:left w:val="nil"/>
              <w:bottom w:val="single" w:color="auto" w:sz="4" w:space="0"/>
              <w:right w:val="single" w:color="auto" w:sz="4" w:space="0"/>
            </w:tcBorders>
            <w:shd w:val="clear" w:color="auto" w:fill="auto"/>
            <w:vAlign w:val="center"/>
          </w:tcPr>
          <w:p w14:paraId="0DE76064">
            <w:pPr>
              <w:widowControl/>
              <w:jc w:val="center"/>
              <w:rPr>
                <w:rFonts w:ascii="Times New Roman" w:hAnsi="Times New Roman" w:eastAsia="宋体" w:cs="Times New Roman"/>
                <w:b/>
                <w:bCs/>
                <w:color w:val="000000"/>
                <w:kern w:val="0"/>
                <w:sz w:val="22"/>
                <w:szCs w:val="22"/>
              </w:rPr>
            </w:pPr>
            <w:r>
              <w:rPr>
                <w:rFonts w:ascii="Times New Roman" w:hAnsi="Times New Roman" w:eastAsia="宋体" w:cs="Times New Roman"/>
                <w:b/>
                <w:bCs/>
                <w:color w:val="000000"/>
                <w:kern w:val="0"/>
                <w:sz w:val="22"/>
                <w:szCs w:val="22"/>
              </w:rPr>
              <w:t>100</w:t>
            </w:r>
          </w:p>
        </w:tc>
        <w:tc>
          <w:tcPr>
            <w:tcW w:w="760" w:type="dxa"/>
            <w:tcBorders>
              <w:top w:val="nil"/>
              <w:left w:val="nil"/>
              <w:bottom w:val="single" w:color="auto" w:sz="4" w:space="0"/>
              <w:right w:val="single" w:color="auto" w:sz="4" w:space="0"/>
            </w:tcBorders>
            <w:shd w:val="clear" w:color="auto" w:fill="auto"/>
            <w:vAlign w:val="center"/>
          </w:tcPr>
          <w:p w14:paraId="0D71EB9D">
            <w:pPr>
              <w:widowControl/>
              <w:jc w:val="center"/>
              <w:rPr>
                <w:rFonts w:hint="default" w:ascii="Times New Roman" w:hAnsi="Times New Roman" w:eastAsia="宋体" w:cs="Times New Roman"/>
                <w:b/>
                <w:bCs/>
                <w:color w:val="000000"/>
                <w:kern w:val="0"/>
                <w:sz w:val="22"/>
                <w:szCs w:val="22"/>
                <w:lang w:val="en-US" w:eastAsia="zh-CN"/>
              </w:rPr>
            </w:pPr>
            <w:r>
              <w:rPr>
                <w:rFonts w:hint="eastAsia" w:ascii="Times New Roman" w:hAnsi="Times New Roman" w:eastAsia="宋体" w:cs="Times New Roman"/>
                <w:b/>
                <w:bCs/>
                <w:color w:val="000000"/>
                <w:kern w:val="0"/>
                <w:sz w:val="22"/>
                <w:szCs w:val="22"/>
                <w:lang w:val="en-US" w:eastAsia="zh-CN"/>
              </w:rPr>
              <w:t>96</w:t>
            </w:r>
          </w:p>
        </w:tc>
        <w:tc>
          <w:tcPr>
            <w:tcW w:w="3220" w:type="dxa"/>
            <w:tcBorders>
              <w:top w:val="nil"/>
              <w:left w:val="nil"/>
              <w:bottom w:val="single" w:color="auto" w:sz="4" w:space="0"/>
              <w:right w:val="single" w:color="auto" w:sz="4" w:space="0"/>
            </w:tcBorders>
            <w:shd w:val="clear" w:color="auto" w:fill="auto"/>
            <w:vAlign w:val="center"/>
          </w:tcPr>
          <w:p w14:paraId="3404B7FB">
            <w:pPr>
              <w:widowControl/>
              <w:jc w:val="left"/>
              <w:rPr>
                <w:rFonts w:ascii="仿宋_GB2312"/>
                <w:b/>
                <w:bCs/>
                <w:color w:val="000000"/>
                <w:kern w:val="0"/>
                <w:szCs w:val="21"/>
              </w:rPr>
            </w:pPr>
            <w:r>
              <w:rPr>
                <w:rFonts w:hint="eastAsia" w:ascii="仿宋_GB2312"/>
                <w:b/>
                <w:bCs/>
                <w:color w:val="000000"/>
                <w:kern w:val="0"/>
                <w:szCs w:val="21"/>
              </w:rPr>
              <w:t>　</w:t>
            </w:r>
          </w:p>
        </w:tc>
        <w:tc>
          <w:tcPr>
            <w:tcW w:w="3900" w:type="dxa"/>
            <w:tcBorders>
              <w:top w:val="nil"/>
              <w:left w:val="nil"/>
              <w:bottom w:val="single" w:color="auto" w:sz="4" w:space="0"/>
              <w:right w:val="single" w:color="auto" w:sz="4" w:space="0"/>
            </w:tcBorders>
            <w:shd w:val="clear" w:color="auto" w:fill="auto"/>
            <w:vAlign w:val="center"/>
          </w:tcPr>
          <w:p w14:paraId="14CFC842">
            <w:pPr>
              <w:widowControl/>
              <w:jc w:val="left"/>
              <w:rPr>
                <w:rFonts w:ascii="仿宋_GB2312"/>
                <w:b/>
                <w:bCs/>
                <w:color w:val="000000"/>
                <w:kern w:val="0"/>
                <w:szCs w:val="21"/>
              </w:rPr>
            </w:pPr>
            <w:r>
              <w:rPr>
                <w:rFonts w:hint="eastAsia" w:ascii="仿宋_GB2312"/>
                <w:b/>
                <w:bCs/>
                <w:color w:val="000000"/>
                <w:kern w:val="0"/>
                <w:szCs w:val="21"/>
              </w:rPr>
              <w:t>　</w:t>
            </w:r>
          </w:p>
        </w:tc>
        <w:tc>
          <w:tcPr>
            <w:tcW w:w="1840" w:type="dxa"/>
            <w:tcBorders>
              <w:top w:val="nil"/>
              <w:left w:val="nil"/>
              <w:bottom w:val="single" w:color="auto" w:sz="4" w:space="0"/>
              <w:right w:val="single" w:color="auto" w:sz="4" w:space="0"/>
            </w:tcBorders>
            <w:shd w:val="clear" w:color="auto" w:fill="auto"/>
            <w:vAlign w:val="center"/>
          </w:tcPr>
          <w:p w14:paraId="2D6387FE">
            <w:pPr>
              <w:widowControl/>
              <w:jc w:val="left"/>
              <w:rPr>
                <w:rFonts w:ascii="仿宋_GB2312"/>
                <w:b/>
                <w:bCs/>
                <w:color w:val="000000"/>
                <w:kern w:val="0"/>
                <w:szCs w:val="21"/>
              </w:rPr>
            </w:pPr>
            <w:r>
              <w:rPr>
                <w:rFonts w:hint="eastAsia" w:ascii="仿宋_GB2312"/>
                <w:b/>
                <w:bCs/>
                <w:color w:val="000000"/>
                <w:kern w:val="0"/>
                <w:szCs w:val="21"/>
              </w:rPr>
              <w:t>　</w:t>
            </w:r>
          </w:p>
        </w:tc>
      </w:tr>
    </w:tbl>
    <w:p w14:paraId="47570D0F"/>
    <w:p w14:paraId="6C39B0BD">
      <w:pPr>
        <w:ind w:firstLine="640" w:firstLineChars="200"/>
        <w:rPr>
          <w:rFonts w:hint="eastAsia" w:ascii="仿宋_GB2312"/>
        </w:rPr>
      </w:pPr>
    </w:p>
    <w:p w14:paraId="58665EFC">
      <w:pPr>
        <w:ind w:firstLine="640" w:firstLineChars="200"/>
        <w:rPr>
          <w:rFonts w:ascii="仿宋_GB2312"/>
        </w:rPr>
        <w:sectPr>
          <w:pgSz w:w="16838" w:h="11906" w:orient="landscape"/>
          <w:pgMar w:top="1440" w:right="1440" w:bottom="1440" w:left="1440" w:header="851" w:footer="992" w:gutter="0"/>
          <w:cols w:space="425" w:num="1"/>
          <w:docGrid w:type="lines" w:linePitch="312" w:charSpace="0"/>
        </w:sectPr>
      </w:pPr>
    </w:p>
    <w:p w14:paraId="4895B834">
      <w:pPr>
        <w:spacing w:line="520" w:lineRule="exact"/>
        <w:ind w:left="960" w:hanging="960" w:hangingChars="3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附件</w:t>
      </w:r>
      <w:r>
        <w:rPr>
          <w:rFonts w:ascii="Times New Roman" w:hAnsi="Times New Roman" w:cs="Times New Roman"/>
          <w:color w:val="000000" w:themeColor="text1"/>
          <w14:textFill>
            <w14:solidFill>
              <w14:schemeClr w14:val="tx1"/>
            </w14:solidFill>
          </w14:textFill>
        </w:rPr>
        <w:t>4</w:t>
      </w:r>
      <w:r>
        <w:rPr>
          <w:rFonts w:hint="eastAsia" w:ascii="Times New Roman" w:hAnsi="Times New Roman" w:cs="Times New Roman"/>
          <w:color w:val="000000" w:themeColor="text1"/>
          <w14:textFill>
            <w14:solidFill>
              <w14:schemeClr w14:val="tx1"/>
            </w14:solidFill>
          </w14:textFill>
        </w:rPr>
        <w:t>：</w:t>
      </w:r>
    </w:p>
    <w:p w14:paraId="446445A7">
      <w:pPr>
        <w:spacing w:line="520" w:lineRule="exact"/>
        <w:ind w:left="840" w:hanging="840" w:hangingChars="30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中共寻甸县委党校</w:t>
      </w:r>
      <w:r>
        <w:rPr>
          <w:rFonts w:hint="eastAsia" w:ascii="Times New Roman" w:hAnsi="Times New Roman" w:cs="Times New Roman"/>
          <w:color w:val="000000" w:themeColor="text1"/>
          <w:sz w:val="28"/>
          <w:szCs w:val="28"/>
          <w:lang w:val="en-US" w:eastAsia="zh-CN"/>
          <w14:textFill>
            <w14:solidFill>
              <w14:schemeClr w14:val="tx1"/>
            </w14:solidFill>
          </w14:textFill>
        </w:rPr>
        <w:t>2024</w:t>
      </w:r>
      <w:r>
        <w:rPr>
          <w:rFonts w:ascii="Times New Roman" w:hAnsi="Times New Roman" w:cs="Times New Roman"/>
          <w:color w:val="000000" w:themeColor="text1"/>
          <w:sz w:val="28"/>
          <w:szCs w:val="28"/>
          <w14:textFill>
            <w14:solidFill>
              <w14:schemeClr w14:val="tx1"/>
            </w14:solidFill>
          </w14:textFill>
        </w:rPr>
        <w:t>年部门整体支出绩效评价调查问卷</w:t>
      </w:r>
    </w:p>
    <w:tbl>
      <w:tblPr>
        <w:tblStyle w:val="11"/>
        <w:tblW w:w="8453" w:type="dxa"/>
        <w:jc w:val="center"/>
        <w:tblLayout w:type="fixed"/>
        <w:tblCellMar>
          <w:top w:w="0" w:type="dxa"/>
          <w:left w:w="108" w:type="dxa"/>
          <w:bottom w:w="0" w:type="dxa"/>
          <w:right w:w="108" w:type="dxa"/>
        </w:tblCellMar>
      </w:tblPr>
      <w:tblGrid>
        <w:gridCol w:w="846"/>
        <w:gridCol w:w="2774"/>
        <w:gridCol w:w="2460"/>
        <w:gridCol w:w="1247"/>
        <w:gridCol w:w="1126"/>
      </w:tblGrid>
      <w:tr w14:paraId="38A63EEE">
        <w:tblPrEx>
          <w:tblCellMar>
            <w:top w:w="0" w:type="dxa"/>
            <w:left w:w="108" w:type="dxa"/>
            <w:bottom w:w="0" w:type="dxa"/>
            <w:right w:w="108" w:type="dxa"/>
          </w:tblCellMar>
        </w:tblPrEx>
        <w:trPr>
          <w:trHeight w:val="276"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39E99">
            <w:pPr>
              <w:widowControl/>
              <w:spacing w:line="240" w:lineRule="exact"/>
              <w:jc w:val="center"/>
              <w:rPr>
                <w:rFonts w:hint="eastAsia" w:ascii="仿宋_GB2312" w:hAnsi="Times New Roman" w:cs="Times New Roman"/>
                <w:b/>
                <w:bCs/>
                <w:color w:val="000000" w:themeColor="text1"/>
                <w:kern w:val="0"/>
                <w:sz w:val="21"/>
                <w:szCs w:val="21"/>
                <w14:textFill>
                  <w14:solidFill>
                    <w14:schemeClr w14:val="tx1"/>
                  </w14:solidFill>
                </w14:textFill>
              </w:rPr>
            </w:pPr>
            <w:r>
              <w:rPr>
                <w:rFonts w:hint="eastAsia" w:ascii="仿宋_GB2312" w:hAnsi="Times New Roman" w:cs="Times New Roman"/>
                <w:b/>
                <w:bCs/>
                <w:color w:val="000000" w:themeColor="text1"/>
                <w:kern w:val="0"/>
                <w:sz w:val="21"/>
                <w:szCs w:val="21"/>
                <w14:textFill>
                  <w14:solidFill>
                    <w14:schemeClr w14:val="tx1"/>
                  </w14:solidFill>
                </w14:textFill>
              </w:rPr>
              <w:t>序号</w:t>
            </w:r>
          </w:p>
        </w:tc>
        <w:tc>
          <w:tcPr>
            <w:tcW w:w="2774" w:type="dxa"/>
            <w:tcBorders>
              <w:top w:val="single" w:color="auto" w:sz="4" w:space="0"/>
              <w:left w:val="nil"/>
              <w:bottom w:val="single" w:color="auto" w:sz="4" w:space="0"/>
              <w:right w:val="single" w:color="auto" w:sz="4" w:space="0"/>
            </w:tcBorders>
            <w:shd w:val="clear" w:color="auto" w:fill="auto"/>
            <w:vAlign w:val="center"/>
          </w:tcPr>
          <w:p w14:paraId="03080543">
            <w:pPr>
              <w:widowControl/>
              <w:spacing w:line="240" w:lineRule="exact"/>
              <w:jc w:val="center"/>
              <w:rPr>
                <w:rFonts w:hint="eastAsia" w:ascii="仿宋_GB2312" w:hAnsi="Times New Roman" w:cs="Times New Roman"/>
                <w:b/>
                <w:bCs/>
                <w:color w:val="000000" w:themeColor="text1"/>
                <w:kern w:val="0"/>
                <w:sz w:val="21"/>
                <w:szCs w:val="21"/>
                <w14:textFill>
                  <w14:solidFill>
                    <w14:schemeClr w14:val="tx1"/>
                  </w14:solidFill>
                </w14:textFill>
              </w:rPr>
            </w:pPr>
            <w:r>
              <w:rPr>
                <w:rFonts w:hint="eastAsia" w:ascii="仿宋_GB2312" w:hAnsi="Times New Roman" w:cs="Times New Roman"/>
                <w:b/>
                <w:color w:val="000000" w:themeColor="text1"/>
                <w:sz w:val="21"/>
                <w:szCs w:val="21"/>
                <w14:textFill>
                  <w14:solidFill>
                    <w14:schemeClr w14:val="tx1"/>
                  </w14:solidFill>
                </w14:textFill>
              </w:rPr>
              <w:t>问卷</w:t>
            </w:r>
            <w:r>
              <w:rPr>
                <w:rFonts w:hint="eastAsia" w:ascii="仿宋_GB2312" w:hAnsi="Times New Roman" w:cs="Times New Roman"/>
                <w:b/>
                <w:bCs/>
                <w:color w:val="000000" w:themeColor="text1"/>
                <w:kern w:val="0"/>
                <w:sz w:val="21"/>
                <w:szCs w:val="21"/>
                <w14:textFill>
                  <w14:solidFill>
                    <w14:schemeClr w14:val="tx1"/>
                  </w14:solidFill>
                </w14:textFill>
              </w:rPr>
              <w:t>内容</w:t>
            </w:r>
          </w:p>
        </w:tc>
        <w:tc>
          <w:tcPr>
            <w:tcW w:w="2460" w:type="dxa"/>
            <w:tcBorders>
              <w:top w:val="single" w:color="auto" w:sz="4" w:space="0"/>
              <w:left w:val="nil"/>
              <w:bottom w:val="single" w:color="auto" w:sz="4" w:space="0"/>
              <w:right w:val="single" w:color="auto" w:sz="4" w:space="0"/>
            </w:tcBorders>
            <w:shd w:val="clear" w:color="auto" w:fill="auto"/>
            <w:vAlign w:val="center"/>
          </w:tcPr>
          <w:p w14:paraId="48840360">
            <w:pPr>
              <w:widowControl/>
              <w:spacing w:line="240" w:lineRule="exact"/>
              <w:jc w:val="center"/>
              <w:rPr>
                <w:rFonts w:hint="eastAsia" w:ascii="仿宋_GB2312" w:hAnsi="Times New Roman" w:cs="Times New Roman"/>
                <w:b/>
                <w:bCs/>
                <w:color w:val="000000" w:themeColor="text1"/>
                <w:kern w:val="0"/>
                <w:sz w:val="21"/>
                <w:szCs w:val="21"/>
                <w14:textFill>
                  <w14:solidFill>
                    <w14:schemeClr w14:val="tx1"/>
                  </w14:solidFill>
                </w14:textFill>
              </w:rPr>
            </w:pPr>
            <w:r>
              <w:rPr>
                <w:rFonts w:hint="eastAsia" w:ascii="仿宋_GB2312" w:hAnsi="Times New Roman" w:cs="Times New Roman"/>
                <w:b/>
                <w:bCs/>
                <w:color w:val="000000" w:themeColor="text1"/>
                <w:kern w:val="0"/>
                <w:sz w:val="21"/>
                <w:szCs w:val="21"/>
                <w14:textFill>
                  <w14:solidFill>
                    <w14:schemeClr w14:val="tx1"/>
                  </w14:solidFill>
                </w14:textFill>
              </w:rPr>
              <w:t>选项内容</w:t>
            </w:r>
          </w:p>
        </w:tc>
        <w:tc>
          <w:tcPr>
            <w:tcW w:w="1247" w:type="dxa"/>
            <w:tcBorders>
              <w:top w:val="single" w:color="auto" w:sz="4" w:space="0"/>
              <w:left w:val="nil"/>
              <w:bottom w:val="single" w:color="auto" w:sz="4" w:space="0"/>
              <w:right w:val="single" w:color="auto" w:sz="4" w:space="0"/>
            </w:tcBorders>
            <w:shd w:val="clear" w:color="auto" w:fill="auto"/>
            <w:vAlign w:val="center"/>
          </w:tcPr>
          <w:p w14:paraId="611EBF4F">
            <w:pPr>
              <w:widowControl/>
              <w:spacing w:line="240" w:lineRule="exact"/>
              <w:jc w:val="center"/>
              <w:rPr>
                <w:rFonts w:hint="eastAsia" w:ascii="仿宋_GB2312" w:hAnsi="Times New Roman" w:cs="Times New Roman"/>
                <w:b/>
                <w:bCs/>
                <w:color w:val="000000" w:themeColor="text1"/>
                <w:kern w:val="0"/>
                <w:sz w:val="21"/>
                <w:szCs w:val="21"/>
                <w14:textFill>
                  <w14:solidFill>
                    <w14:schemeClr w14:val="tx1"/>
                  </w14:solidFill>
                </w14:textFill>
              </w:rPr>
            </w:pPr>
            <w:r>
              <w:rPr>
                <w:rFonts w:hint="eastAsia" w:ascii="仿宋_GB2312" w:hAnsi="Times New Roman" w:cs="Times New Roman"/>
                <w:b/>
                <w:bCs/>
                <w:color w:val="000000" w:themeColor="text1"/>
                <w:kern w:val="0"/>
                <w:sz w:val="21"/>
                <w:szCs w:val="21"/>
                <w14:textFill>
                  <w14:solidFill>
                    <w14:schemeClr w14:val="tx1"/>
                  </w14:solidFill>
                </w14:textFill>
              </w:rPr>
              <w:t>标准分值</w:t>
            </w:r>
          </w:p>
        </w:tc>
        <w:tc>
          <w:tcPr>
            <w:tcW w:w="1126" w:type="dxa"/>
            <w:tcBorders>
              <w:top w:val="single" w:color="auto" w:sz="4" w:space="0"/>
              <w:left w:val="nil"/>
              <w:bottom w:val="single" w:color="auto" w:sz="4" w:space="0"/>
              <w:right w:val="single" w:color="auto" w:sz="4" w:space="0"/>
            </w:tcBorders>
            <w:shd w:val="clear" w:color="auto" w:fill="auto"/>
            <w:vAlign w:val="center"/>
          </w:tcPr>
          <w:p w14:paraId="69D2D63D">
            <w:pPr>
              <w:widowControl/>
              <w:spacing w:line="240" w:lineRule="exact"/>
              <w:jc w:val="center"/>
              <w:rPr>
                <w:rFonts w:hint="eastAsia" w:ascii="仿宋_GB2312" w:hAnsi="Times New Roman" w:cs="Times New Roman"/>
                <w:b/>
                <w:bCs/>
                <w:color w:val="000000" w:themeColor="text1"/>
                <w:kern w:val="0"/>
                <w:sz w:val="21"/>
                <w:szCs w:val="21"/>
                <w14:textFill>
                  <w14:solidFill>
                    <w14:schemeClr w14:val="tx1"/>
                  </w14:solidFill>
                </w14:textFill>
              </w:rPr>
            </w:pPr>
            <w:r>
              <w:rPr>
                <w:rFonts w:hint="eastAsia" w:ascii="仿宋_GB2312" w:hAnsi="Times New Roman" w:cs="Times New Roman"/>
                <w:b/>
                <w:bCs/>
                <w:color w:val="000000" w:themeColor="text1"/>
                <w:kern w:val="0"/>
                <w:sz w:val="21"/>
                <w:szCs w:val="21"/>
                <w14:textFill>
                  <w14:solidFill>
                    <w14:schemeClr w14:val="tx1"/>
                  </w14:solidFill>
                </w14:textFill>
              </w:rPr>
              <w:t>问卷分</w:t>
            </w:r>
          </w:p>
        </w:tc>
      </w:tr>
      <w:tr w14:paraId="48B57729">
        <w:tblPrEx>
          <w:tblCellMar>
            <w:top w:w="0" w:type="dxa"/>
            <w:left w:w="108" w:type="dxa"/>
            <w:bottom w:w="0" w:type="dxa"/>
            <w:right w:w="108" w:type="dxa"/>
          </w:tblCellMar>
        </w:tblPrEx>
        <w:trPr>
          <w:trHeight w:val="291"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14:paraId="393B715E">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1</w:t>
            </w:r>
          </w:p>
        </w:tc>
        <w:tc>
          <w:tcPr>
            <w:tcW w:w="2774" w:type="dxa"/>
            <w:vMerge w:val="restart"/>
            <w:tcBorders>
              <w:top w:val="nil"/>
              <w:left w:val="single" w:color="auto" w:sz="4" w:space="0"/>
              <w:bottom w:val="single" w:color="auto" w:sz="4" w:space="0"/>
              <w:right w:val="single" w:color="auto" w:sz="4" w:space="0"/>
            </w:tcBorders>
            <w:shd w:val="clear" w:color="auto" w:fill="auto"/>
            <w:vAlign w:val="center"/>
          </w:tcPr>
          <w:p w14:paraId="5945FF01">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您认为该部门在深入基层调查研究情况方面做的如何？</w:t>
            </w:r>
          </w:p>
        </w:tc>
        <w:tc>
          <w:tcPr>
            <w:tcW w:w="2460" w:type="dxa"/>
            <w:tcBorders>
              <w:top w:val="nil"/>
              <w:left w:val="nil"/>
              <w:bottom w:val="single" w:color="auto" w:sz="4" w:space="0"/>
              <w:right w:val="single" w:color="auto" w:sz="4" w:space="0"/>
            </w:tcBorders>
            <w:shd w:val="clear" w:color="auto" w:fill="auto"/>
            <w:vAlign w:val="center"/>
          </w:tcPr>
          <w:p w14:paraId="100E3D7B">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A.经常到基层调研</w:t>
            </w:r>
          </w:p>
        </w:tc>
        <w:tc>
          <w:tcPr>
            <w:tcW w:w="1247" w:type="dxa"/>
            <w:tcBorders>
              <w:top w:val="nil"/>
              <w:left w:val="nil"/>
              <w:bottom w:val="single" w:color="auto" w:sz="4" w:space="0"/>
              <w:right w:val="single" w:color="auto" w:sz="4" w:space="0"/>
            </w:tcBorders>
            <w:shd w:val="clear" w:color="auto" w:fill="auto"/>
            <w:vAlign w:val="center"/>
          </w:tcPr>
          <w:p w14:paraId="20F4C439">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10</w:t>
            </w:r>
          </w:p>
        </w:tc>
        <w:tc>
          <w:tcPr>
            <w:tcW w:w="1126" w:type="dxa"/>
            <w:tcBorders>
              <w:top w:val="nil"/>
              <w:left w:val="nil"/>
              <w:bottom w:val="single" w:color="auto" w:sz="4" w:space="0"/>
              <w:right w:val="single" w:color="auto" w:sz="4" w:space="0"/>
            </w:tcBorders>
            <w:shd w:val="clear" w:color="auto" w:fill="auto"/>
            <w:vAlign w:val="center"/>
          </w:tcPr>
          <w:p w14:paraId="101C29C5">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270</w:t>
            </w:r>
          </w:p>
        </w:tc>
      </w:tr>
      <w:tr w14:paraId="247F2DF8">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76B9B9FD">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08F1E5B6">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vAlign w:val="center"/>
          </w:tcPr>
          <w:p w14:paraId="4066F1E7">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B.偶尔到基层调研</w:t>
            </w:r>
          </w:p>
        </w:tc>
        <w:tc>
          <w:tcPr>
            <w:tcW w:w="1247" w:type="dxa"/>
            <w:tcBorders>
              <w:top w:val="nil"/>
              <w:left w:val="nil"/>
              <w:bottom w:val="single" w:color="auto" w:sz="4" w:space="0"/>
              <w:right w:val="single" w:color="auto" w:sz="4" w:space="0"/>
            </w:tcBorders>
            <w:shd w:val="clear" w:color="auto" w:fill="auto"/>
            <w:vAlign w:val="center"/>
          </w:tcPr>
          <w:p w14:paraId="4C66D435">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5</w:t>
            </w:r>
          </w:p>
        </w:tc>
        <w:tc>
          <w:tcPr>
            <w:tcW w:w="1126" w:type="dxa"/>
            <w:tcBorders>
              <w:top w:val="nil"/>
              <w:left w:val="nil"/>
              <w:bottom w:val="single" w:color="auto" w:sz="4" w:space="0"/>
              <w:right w:val="single" w:color="auto" w:sz="4" w:space="0"/>
            </w:tcBorders>
            <w:shd w:val="clear" w:color="auto" w:fill="auto"/>
            <w:vAlign w:val="center"/>
          </w:tcPr>
          <w:p w14:paraId="34D55427">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59322C76">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1FEB433D">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5ED42F9C">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vAlign w:val="center"/>
          </w:tcPr>
          <w:p w14:paraId="6688DB79">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C.从不到基层调研</w:t>
            </w:r>
          </w:p>
        </w:tc>
        <w:tc>
          <w:tcPr>
            <w:tcW w:w="1247" w:type="dxa"/>
            <w:tcBorders>
              <w:top w:val="nil"/>
              <w:left w:val="nil"/>
              <w:bottom w:val="single" w:color="auto" w:sz="4" w:space="0"/>
              <w:right w:val="single" w:color="auto" w:sz="4" w:space="0"/>
            </w:tcBorders>
            <w:shd w:val="clear" w:color="auto" w:fill="auto"/>
            <w:vAlign w:val="center"/>
          </w:tcPr>
          <w:p w14:paraId="3315748C">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0</w:t>
            </w:r>
          </w:p>
        </w:tc>
        <w:tc>
          <w:tcPr>
            <w:tcW w:w="1126" w:type="dxa"/>
            <w:tcBorders>
              <w:top w:val="nil"/>
              <w:left w:val="nil"/>
              <w:bottom w:val="single" w:color="auto" w:sz="4" w:space="0"/>
              <w:right w:val="single" w:color="auto" w:sz="4" w:space="0"/>
            </w:tcBorders>
            <w:shd w:val="clear" w:color="auto" w:fill="auto"/>
            <w:vAlign w:val="center"/>
          </w:tcPr>
          <w:p w14:paraId="03D9B484">
            <w:pPr>
              <w:widowControl/>
              <w:spacing w:line="240" w:lineRule="exact"/>
              <w:jc w:val="center"/>
              <w:rPr>
                <w:rFonts w:hint="eastAsia"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1E95E476">
        <w:tblPrEx>
          <w:tblCellMar>
            <w:top w:w="0" w:type="dxa"/>
            <w:left w:w="108" w:type="dxa"/>
            <w:bottom w:w="0" w:type="dxa"/>
            <w:right w:w="108" w:type="dxa"/>
          </w:tblCellMar>
        </w:tblPrEx>
        <w:trPr>
          <w:trHeight w:val="291"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14:paraId="7D3D4E2C">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2</w:t>
            </w:r>
          </w:p>
        </w:tc>
        <w:tc>
          <w:tcPr>
            <w:tcW w:w="2774" w:type="dxa"/>
            <w:vMerge w:val="restart"/>
            <w:tcBorders>
              <w:top w:val="nil"/>
              <w:left w:val="single" w:color="auto" w:sz="4" w:space="0"/>
              <w:bottom w:val="single" w:color="auto" w:sz="4" w:space="0"/>
              <w:right w:val="single" w:color="auto" w:sz="4" w:space="0"/>
            </w:tcBorders>
            <w:shd w:val="clear" w:color="auto" w:fill="auto"/>
            <w:vAlign w:val="center"/>
          </w:tcPr>
          <w:p w14:paraId="4788DAE6">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您是否了解该部门收集群众意见的相关渠道？</w:t>
            </w:r>
          </w:p>
        </w:tc>
        <w:tc>
          <w:tcPr>
            <w:tcW w:w="2460" w:type="dxa"/>
            <w:tcBorders>
              <w:top w:val="nil"/>
              <w:left w:val="nil"/>
              <w:bottom w:val="single" w:color="auto" w:sz="4" w:space="0"/>
              <w:right w:val="single" w:color="auto" w:sz="4" w:space="0"/>
            </w:tcBorders>
            <w:shd w:val="clear" w:color="auto" w:fill="auto"/>
            <w:vAlign w:val="center"/>
          </w:tcPr>
          <w:p w14:paraId="4F8AF4C6">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A.多渠道反映</w:t>
            </w:r>
          </w:p>
        </w:tc>
        <w:tc>
          <w:tcPr>
            <w:tcW w:w="1247" w:type="dxa"/>
            <w:tcBorders>
              <w:top w:val="nil"/>
              <w:left w:val="nil"/>
              <w:bottom w:val="single" w:color="auto" w:sz="4" w:space="0"/>
              <w:right w:val="single" w:color="auto" w:sz="4" w:space="0"/>
            </w:tcBorders>
            <w:shd w:val="clear" w:color="auto" w:fill="auto"/>
            <w:vAlign w:val="center"/>
          </w:tcPr>
          <w:p w14:paraId="29E1A549">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10</w:t>
            </w:r>
          </w:p>
        </w:tc>
        <w:tc>
          <w:tcPr>
            <w:tcW w:w="1126" w:type="dxa"/>
            <w:tcBorders>
              <w:top w:val="nil"/>
              <w:left w:val="nil"/>
              <w:bottom w:val="single" w:color="auto" w:sz="4" w:space="0"/>
              <w:right w:val="single" w:color="auto" w:sz="4" w:space="0"/>
            </w:tcBorders>
            <w:shd w:val="clear" w:color="auto" w:fill="auto"/>
            <w:vAlign w:val="center"/>
          </w:tcPr>
          <w:p w14:paraId="1F7C6CC2">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270</w:t>
            </w:r>
          </w:p>
        </w:tc>
      </w:tr>
      <w:tr w14:paraId="6E5E566D">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205ECA8C">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209B7992">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vAlign w:val="center"/>
          </w:tcPr>
          <w:p w14:paraId="2384D9AE">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B.单一渠道反映</w:t>
            </w:r>
          </w:p>
        </w:tc>
        <w:tc>
          <w:tcPr>
            <w:tcW w:w="1247" w:type="dxa"/>
            <w:tcBorders>
              <w:top w:val="nil"/>
              <w:left w:val="nil"/>
              <w:bottom w:val="single" w:color="auto" w:sz="4" w:space="0"/>
              <w:right w:val="single" w:color="auto" w:sz="4" w:space="0"/>
            </w:tcBorders>
            <w:shd w:val="clear" w:color="auto" w:fill="auto"/>
            <w:vAlign w:val="center"/>
          </w:tcPr>
          <w:p w14:paraId="6941E501">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5</w:t>
            </w:r>
          </w:p>
        </w:tc>
        <w:tc>
          <w:tcPr>
            <w:tcW w:w="1126" w:type="dxa"/>
            <w:tcBorders>
              <w:top w:val="nil"/>
              <w:left w:val="nil"/>
              <w:bottom w:val="single" w:color="auto" w:sz="4" w:space="0"/>
              <w:right w:val="single" w:color="auto" w:sz="4" w:space="0"/>
            </w:tcBorders>
            <w:shd w:val="clear" w:color="auto" w:fill="auto"/>
            <w:vAlign w:val="center"/>
          </w:tcPr>
          <w:p w14:paraId="07951A4A">
            <w:pPr>
              <w:widowControl/>
              <w:spacing w:line="240" w:lineRule="exact"/>
              <w:jc w:val="center"/>
              <w:rPr>
                <w:rFonts w:hint="eastAsia"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019749C9">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2F14AC67">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04E98A31">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vAlign w:val="center"/>
          </w:tcPr>
          <w:p w14:paraId="0B50CE4B">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C.无渠道反映</w:t>
            </w:r>
          </w:p>
        </w:tc>
        <w:tc>
          <w:tcPr>
            <w:tcW w:w="1247" w:type="dxa"/>
            <w:tcBorders>
              <w:top w:val="nil"/>
              <w:left w:val="nil"/>
              <w:bottom w:val="single" w:color="auto" w:sz="4" w:space="0"/>
              <w:right w:val="single" w:color="auto" w:sz="4" w:space="0"/>
            </w:tcBorders>
            <w:shd w:val="clear" w:color="auto" w:fill="auto"/>
            <w:vAlign w:val="center"/>
          </w:tcPr>
          <w:p w14:paraId="78853DD4">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0</w:t>
            </w:r>
          </w:p>
        </w:tc>
        <w:tc>
          <w:tcPr>
            <w:tcW w:w="1126" w:type="dxa"/>
            <w:tcBorders>
              <w:top w:val="nil"/>
              <w:left w:val="nil"/>
              <w:bottom w:val="single" w:color="auto" w:sz="4" w:space="0"/>
              <w:right w:val="single" w:color="auto" w:sz="4" w:space="0"/>
            </w:tcBorders>
            <w:shd w:val="clear" w:color="auto" w:fill="auto"/>
            <w:vAlign w:val="center"/>
          </w:tcPr>
          <w:p w14:paraId="3E58F2C5">
            <w:pPr>
              <w:widowControl/>
              <w:spacing w:line="240" w:lineRule="exact"/>
              <w:jc w:val="center"/>
              <w:rPr>
                <w:rFonts w:hint="eastAsia"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78EF43C4">
        <w:tblPrEx>
          <w:tblCellMar>
            <w:top w:w="0" w:type="dxa"/>
            <w:left w:w="108" w:type="dxa"/>
            <w:bottom w:w="0" w:type="dxa"/>
            <w:right w:w="108" w:type="dxa"/>
          </w:tblCellMar>
        </w:tblPrEx>
        <w:trPr>
          <w:trHeight w:val="291"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14:paraId="70EB5337">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3</w:t>
            </w:r>
          </w:p>
        </w:tc>
        <w:tc>
          <w:tcPr>
            <w:tcW w:w="2774" w:type="dxa"/>
            <w:vMerge w:val="restart"/>
            <w:tcBorders>
              <w:top w:val="nil"/>
              <w:left w:val="single" w:color="auto" w:sz="4" w:space="0"/>
              <w:bottom w:val="single" w:color="auto" w:sz="4" w:space="0"/>
              <w:right w:val="single" w:color="auto" w:sz="4" w:space="0"/>
            </w:tcBorders>
            <w:shd w:val="clear" w:color="auto" w:fill="auto"/>
            <w:vAlign w:val="center"/>
          </w:tcPr>
          <w:p w14:paraId="1520F136">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您向该部门反映的问题是否得到反馈？</w:t>
            </w:r>
          </w:p>
        </w:tc>
        <w:tc>
          <w:tcPr>
            <w:tcW w:w="2460" w:type="dxa"/>
            <w:tcBorders>
              <w:top w:val="nil"/>
              <w:left w:val="nil"/>
              <w:bottom w:val="single" w:color="auto" w:sz="4" w:space="0"/>
              <w:right w:val="single" w:color="auto" w:sz="4" w:space="0"/>
            </w:tcBorders>
            <w:shd w:val="clear" w:color="auto" w:fill="auto"/>
            <w:noWrap/>
            <w:vAlign w:val="center"/>
          </w:tcPr>
          <w:p w14:paraId="1B0EF4A0">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A.及时得到反馈</w:t>
            </w:r>
          </w:p>
        </w:tc>
        <w:tc>
          <w:tcPr>
            <w:tcW w:w="1247" w:type="dxa"/>
            <w:tcBorders>
              <w:top w:val="nil"/>
              <w:left w:val="nil"/>
              <w:bottom w:val="single" w:color="auto" w:sz="4" w:space="0"/>
              <w:right w:val="single" w:color="auto" w:sz="4" w:space="0"/>
            </w:tcBorders>
            <w:shd w:val="clear" w:color="auto" w:fill="auto"/>
            <w:noWrap/>
            <w:vAlign w:val="center"/>
          </w:tcPr>
          <w:p w14:paraId="35A6DD94">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10</w:t>
            </w:r>
          </w:p>
        </w:tc>
        <w:tc>
          <w:tcPr>
            <w:tcW w:w="1126" w:type="dxa"/>
            <w:tcBorders>
              <w:top w:val="nil"/>
              <w:left w:val="nil"/>
              <w:bottom w:val="single" w:color="auto" w:sz="4" w:space="0"/>
              <w:right w:val="single" w:color="auto" w:sz="4" w:space="0"/>
            </w:tcBorders>
            <w:shd w:val="clear" w:color="auto" w:fill="auto"/>
            <w:vAlign w:val="center"/>
          </w:tcPr>
          <w:p w14:paraId="2DC8092E">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270</w:t>
            </w:r>
          </w:p>
        </w:tc>
      </w:tr>
      <w:tr w14:paraId="19041B8C">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11F172A9">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12AC87D7">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14:paraId="5E8487FA">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B.反馈但不及时</w:t>
            </w:r>
          </w:p>
        </w:tc>
        <w:tc>
          <w:tcPr>
            <w:tcW w:w="1247" w:type="dxa"/>
            <w:tcBorders>
              <w:top w:val="nil"/>
              <w:left w:val="nil"/>
              <w:bottom w:val="single" w:color="auto" w:sz="4" w:space="0"/>
              <w:right w:val="single" w:color="auto" w:sz="4" w:space="0"/>
            </w:tcBorders>
            <w:shd w:val="clear" w:color="auto" w:fill="auto"/>
            <w:noWrap/>
            <w:vAlign w:val="center"/>
          </w:tcPr>
          <w:p w14:paraId="47E63255">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5</w:t>
            </w:r>
          </w:p>
        </w:tc>
        <w:tc>
          <w:tcPr>
            <w:tcW w:w="1126" w:type="dxa"/>
            <w:tcBorders>
              <w:top w:val="nil"/>
              <w:left w:val="nil"/>
              <w:bottom w:val="single" w:color="auto" w:sz="4" w:space="0"/>
              <w:right w:val="single" w:color="auto" w:sz="4" w:space="0"/>
            </w:tcBorders>
            <w:shd w:val="clear" w:color="auto" w:fill="auto"/>
            <w:vAlign w:val="center"/>
          </w:tcPr>
          <w:p w14:paraId="7C27049F">
            <w:pPr>
              <w:widowControl/>
              <w:spacing w:line="240" w:lineRule="exact"/>
              <w:jc w:val="center"/>
              <w:rPr>
                <w:rFonts w:hint="eastAsia"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19C480FD">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2A0FC6CA">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46281AA8">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14:paraId="610F845E">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C.未反馈</w:t>
            </w:r>
          </w:p>
        </w:tc>
        <w:tc>
          <w:tcPr>
            <w:tcW w:w="1247" w:type="dxa"/>
            <w:tcBorders>
              <w:top w:val="nil"/>
              <w:left w:val="nil"/>
              <w:bottom w:val="single" w:color="auto" w:sz="4" w:space="0"/>
              <w:right w:val="single" w:color="auto" w:sz="4" w:space="0"/>
            </w:tcBorders>
            <w:shd w:val="clear" w:color="auto" w:fill="auto"/>
            <w:noWrap/>
            <w:vAlign w:val="center"/>
          </w:tcPr>
          <w:p w14:paraId="2AB4E718">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0</w:t>
            </w:r>
          </w:p>
        </w:tc>
        <w:tc>
          <w:tcPr>
            <w:tcW w:w="1126" w:type="dxa"/>
            <w:tcBorders>
              <w:top w:val="nil"/>
              <w:left w:val="nil"/>
              <w:bottom w:val="single" w:color="auto" w:sz="4" w:space="0"/>
              <w:right w:val="single" w:color="auto" w:sz="4" w:space="0"/>
            </w:tcBorders>
            <w:shd w:val="clear" w:color="auto" w:fill="auto"/>
            <w:vAlign w:val="center"/>
          </w:tcPr>
          <w:p w14:paraId="18B68C66">
            <w:pPr>
              <w:widowControl/>
              <w:spacing w:line="240" w:lineRule="exact"/>
              <w:jc w:val="center"/>
              <w:rPr>
                <w:rFonts w:hint="eastAsia"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207611E9">
        <w:tblPrEx>
          <w:tblCellMar>
            <w:top w:w="0" w:type="dxa"/>
            <w:left w:w="108" w:type="dxa"/>
            <w:bottom w:w="0" w:type="dxa"/>
            <w:right w:w="108" w:type="dxa"/>
          </w:tblCellMar>
        </w:tblPrEx>
        <w:trPr>
          <w:trHeight w:val="291"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14:paraId="6E2AA9A8">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4</w:t>
            </w:r>
          </w:p>
        </w:tc>
        <w:tc>
          <w:tcPr>
            <w:tcW w:w="2774" w:type="dxa"/>
            <w:vMerge w:val="restart"/>
            <w:tcBorders>
              <w:top w:val="nil"/>
              <w:left w:val="single" w:color="auto" w:sz="4" w:space="0"/>
              <w:bottom w:val="single" w:color="auto" w:sz="4" w:space="0"/>
              <w:right w:val="single" w:color="auto" w:sz="4" w:space="0"/>
            </w:tcBorders>
            <w:shd w:val="clear" w:color="auto" w:fill="auto"/>
            <w:vAlign w:val="center"/>
          </w:tcPr>
          <w:p w14:paraId="2C2F5730">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您认为该部门在廉洁从政方面做的如何？</w:t>
            </w:r>
          </w:p>
        </w:tc>
        <w:tc>
          <w:tcPr>
            <w:tcW w:w="2460" w:type="dxa"/>
            <w:tcBorders>
              <w:top w:val="nil"/>
              <w:left w:val="nil"/>
              <w:bottom w:val="single" w:color="auto" w:sz="4" w:space="0"/>
              <w:right w:val="single" w:color="auto" w:sz="4" w:space="0"/>
            </w:tcBorders>
            <w:shd w:val="clear" w:color="auto" w:fill="auto"/>
            <w:noWrap/>
            <w:vAlign w:val="center"/>
          </w:tcPr>
          <w:p w14:paraId="1709CD02">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A.较好</w:t>
            </w:r>
          </w:p>
        </w:tc>
        <w:tc>
          <w:tcPr>
            <w:tcW w:w="1247" w:type="dxa"/>
            <w:tcBorders>
              <w:top w:val="nil"/>
              <w:left w:val="nil"/>
              <w:bottom w:val="single" w:color="auto" w:sz="4" w:space="0"/>
              <w:right w:val="single" w:color="auto" w:sz="4" w:space="0"/>
            </w:tcBorders>
            <w:shd w:val="clear" w:color="auto" w:fill="auto"/>
            <w:noWrap/>
            <w:vAlign w:val="center"/>
          </w:tcPr>
          <w:p w14:paraId="4050F631">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10</w:t>
            </w:r>
          </w:p>
        </w:tc>
        <w:tc>
          <w:tcPr>
            <w:tcW w:w="1126" w:type="dxa"/>
            <w:tcBorders>
              <w:top w:val="nil"/>
              <w:left w:val="nil"/>
              <w:bottom w:val="single" w:color="auto" w:sz="4" w:space="0"/>
              <w:right w:val="single" w:color="auto" w:sz="4" w:space="0"/>
            </w:tcBorders>
            <w:shd w:val="clear" w:color="auto" w:fill="auto"/>
            <w:vAlign w:val="center"/>
          </w:tcPr>
          <w:p w14:paraId="03F4A139">
            <w:pPr>
              <w:widowControl/>
              <w:spacing w:line="240" w:lineRule="exact"/>
              <w:jc w:val="center"/>
              <w:rPr>
                <w:rFonts w:hint="default" w:ascii="仿宋_GB2312" w:hAnsi="Times New Roman"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270</w:t>
            </w:r>
          </w:p>
        </w:tc>
      </w:tr>
      <w:tr w14:paraId="194A95F6">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3124B08D">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41441CBF">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14:paraId="69ACC765">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B.一般</w:t>
            </w:r>
          </w:p>
        </w:tc>
        <w:tc>
          <w:tcPr>
            <w:tcW w:w="1247" w:type="dxa"/>
            <w:tcBorders>
              <w:top w:val="nil"/>
              <w:left w:val="nil"/>
              <w:bottom w:val="single" w:color="auto" w:sz="4" w:space="0"/>
              <w:right w:val="single" w:color="auto" w:sz="4" w:space="0"/>
            </w:tcBorders>
            <w:shd w:val="clear" w:color="auto" w:fill="auto"/>
            <w:noWrap/>
            <w:vAlign w:val="center"/>
          </w:tcPr>
          <w:p w14:paraId="2D9B7CE9">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5</w:t>
            </w:r>
          </w:p>
        </w:tc>
        <w:tc>
          <w:tcPr>
            <w:tcW w:w="1126" w:type="dxa"/>
            <w:tcBorders>
              <w:top w:val="nil"/>
              <w:left w:val="nil"/>
              <w:bottom w:val="single" w:color="auto" w:sz="4" w:space="0"/>
              <w:right w:val="single" w:color="auto" w:sz="4" w:space="0"/>
            </w:tcBorders>
            <w:shd w:val="clear" w:color="auto" w:fill="auto"/>
            <w:vAlign w:val="center"/>
          </w:tcPr>
          <w:p w14:paraId="18B6DDD7">
            <w:pPr>
              <w:widowControl/>
              <w:spacing w:line="240" w:lineRule="exact"/>
              <w:jc w:val="center"/>
              <w:rPr>
                <w:rFonts w:hint="eastAsia"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4CF042BC">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0585B5D7">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7ACDE726">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14:paraId="3C6B4580">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C.差</w:t>
            </w:r>
          </w:p>
        </w:tc>
        <w:tc>
          <w:tcPr>
            <w:tcW w:w="1247" w:type="dxa"/>
            <w:tcBorders>
              <w:top w:val="nil"/>
              <w:left w:val="nil"/>
              <w:bottom w:val="single" w:color="auto" w:sz="4" w:space="0"/>
              <w:right w:val="single" w:color="auto" w:sz="4" w:space="0"/>
            </w:tcBorders>
            <w:shd w:val="clear" w:color="auto" w:fill="auto"/>
            <w:noWrap/>
            <w:vAlign w:val="center"/>
          </w:tcPr>
          <w:p w14:paraId="348D42D8">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0</w:t>
            </w:r>
          </w:p>
        </w:tc>
        <w:tc>
          <w:tcPr>
            <w:tcW w:w="1126" w:type="dxa"/>
            <w:tcBorders>
              <w:top w:val="nil"/>
              <w:left w:val="nil"/>
              <w:bottom w:val="single" w:color="auto" w:sz="4" w:space="0"/>
              <w:right w:val="single" w:color="auto" w:sz="4" w:space="0"/>
            </w:tcBorders>
            <w:shd w:val="clear" w:color="auto" w:fill="auto"/>
            <w:vAlign w:val="center"/>
          </w:tcPr>
          <w:p w14:paraId="57D35682">
            <w:pPr>
              <w:widowControl/>
              <w:spacing w:line="240" w:lineRule="exact"/>
              <w:jc w:val="center"/>
              <w:rPr>
                <w:rFonts w:hint="eastAsia"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403A9FA3">
        <w:tblPrEx>
          <w:tblCellMar>
            <w:top w:w="0" w:type="dxa"/>
            <w:left w:w="108" w:type="dxa"/>
            <w:bottom w:w="0" w:type="dxa"/>
            <w:right w:w="108" w:type="dxa"/>
          </w:tblCellMar>
        </w:tblPrEx>
        <w:trPr>
          <w:trHeight w:val="291"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14:paraId="6918B71E">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5</w:t>
            </w:r>
          </w:p>
        </w:tc>
        <w:tc>
          <w:tcPr>
            <w:tcW w:w="2774" w:type="dxa"/>
            <w:vMerge w:val="restart"/>
            <w:tcBorders>
              <w:top w:val="nil"/>
              <w:left w:val="single" w:color="auto" w:sz="4" w:space="0"/>
              <w:bottom w:val="single" w:color="auto" w:sz="4" w:space="0"/>
              <w:right w:val="single" w:color="auto" w:sz="4" w:space="0"/>
            </w:tcBorders>
            <w:shd w:val="clear" w:color="auto" w:fill="auto"/>
            <w:vAlign w:val="center"/>
          </w:tcPr>
          <w:p w14:paraId="51EB2E51">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您认为该部门办事程序是否合理？（如义务教育就学联系函、初中学业水平考试报名、高等教育考试报名等办理）</w:t>
            </w:r>
          </w:p>
        </w:tc>
        <w:tc>
          <w:tcPr>
            <w:tcW w:w="2460" w:type="dxa"/>
            <w:tcBorders>
              <w:top w:val="nil"/>
              <w:left w:val="nil"/>
              <w:bottom w:val="single" w:color="auto" w:sz="4" w:space="0"/>
              <w:right w:val="single" w:color="auto" w:sz="4" w:space="0"/>
            </w:tcBorders>
            <w:shd w:val="clear" w:color="auto" w:fill="auto"/>
            <w:noWrap/>
            <w:vAlign w:val="center"/>
          </w:tcPr>
          <w:p w14:paraId="222C496C">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A.程序比较合理</w:t>
            </w:r>
          </w:p>
        </w:tc>
        <w:tc>
          <w:tcPr>
            <w:tcW w:w="1247" w:type="dxa"/>
            <w:tcBorders>
              <w:top w:val="nil"/>
              <w:left w:val="nil"/>
              <w:bottom w:val="single" w:color="auto" w:sz="4" w:space="0"/>
              <w:right w:val="single" w:color="auto" w:sz="4" w:space="0"/>
            </w:tcBorders>
            <w:shd w:val="clear" w:color="auto" w:fill="auto"/>
            <w:noWrap/>
            <w:vAlign w:val="center"/>
          </w:tcPr>
          <w:p w14:paraId="59A2DF02">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10</w:t>
            </w:r>
          </w:p>
        </w:tc>
        <w:tc>
          <w:tcPr>
            <w:tcW w:w="1126" w:type="dxa"/>
            <w:tcBorders>
              <w:top w:val="nil"/>
              <w:left w:val="nil"/>
              <w:bottom w:val="single" w:color="auto" w:sz="4" w:space="0"/>
              <w:right w:val="single" w:color="auto" w:sz="4" w:space="0"/>
            </w:tcBorders>
            <w:shd w:val="clear" w:color="auto" w:fill="auto"/>
            <w:vAlign w:val="center"/>
          </w:tcPr>
          <w:p w14:paraId="49300790">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250</w:t>
            </w:r>
          </w:p>
        </w:tc>
      </w:tr>
      <w:tr w14:paraId="19EFCAAD">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305613F2">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69CFA75F">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14:paraId="09C26036">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B.程序基本合理</w:t>
            </w:r>
          </w:p>
        </w:tc>
        <w:tc>
          <w:tcPr>
            <w:tcW w:w="1247" w:type="dxa"/>
            <w:tcBorders>
              <w:top w:val="nil"/>
              <w:left w:val="nil"/>
              <w:bottom w:val="single" w:color="auto" w:sz="4" w:space="0"/>
              <w:right w:val="single" w:color="auto" w:sz="4" w:space="0"/>
            </w:tcBorders>
            <w:shd w:val="clear" w:color="auto" w:fill="auto"/>
            <w:noWrap/>
            <w:vAlign w:val="center"/>
          </w:tcPr>
          <w:p w14:paraId="20EFC7F7">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5</w:t>
            </w:r>
          </w:p>
        </w:tc>
        <w:tc>
          <w:tcPr>
            <w:tcW w:w="1126" w:type="dxa"/>
            <w:tcBorders>
              <w:top w:val="nil"/>
              <w:left w:val="nil"/>
              <w:bottom w:val="single" w:color="auto" w:sz="4" w:space="0"/>
              <w:right w:val="single" w:color="auto" w:sz="4" w:space="0"/>
            </w:tcBorders>
            <w:shd w:val="clear" w:color="auto" w:fill="auto"/>
            <w:vAlign w:val="center"/>
          </w:tcPr>
          <w:p w14:paraId="1B34C25D">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10</w:t>
            </w:r>
          </w:p>
        </w:tc>
      </w:tr>
      <w:tr w14:paraId="68AA2EFA">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3BF16B12">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5FB45DA6">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14:paraId="62413EA4">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C.程序复杂</w:t>
            </w:r>
          </w:p>
        </w:tc>
        <w:tc>
          <w:tcPr>
            <w:tcW w:w="1247" w:type="dxa"/>
            <w:tcBorders>
              <w:top w:val="nil"/>
              <w:left w:val="nil"/>
              <w:bottom w:val="single" w:color="auto" w:sz="4" w:space="0"/>
              <w:right w:val="single" w:color="auto" w:sz="4" w:space="0"/>
            </w:tcBorders>
            <w:shd w:val="clear" w:color="auto" w:fill="auto"/>
            <w:noWrap/>
            <w:vAlign w:val="center"/>
          </w:tcPr>
          <w:p w14:paraId="35B3ECD7">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0</w:t>
            </w:r>
          </w:p>
        </w:tc>
        <w:tc>
          <w:tcPr>
            <w:tcW w:w="1126" w:type="dxa"/>
            <w:tcBorders>
              <w:top w:val="nil"/>
              <w:left w:val="nil"/>
              <w:bottom w:val="single" w:color="auto" w:sz="4" w:space="0"/>
              <w:right w:val="single" w:color="auto" w:sz="4" w:space="0"/>
            </w:tcBorders>
            <w:shd w:val="clear" w:color="auto" w:fill="auto"/>
            <w:vAlign w:val="center"/>
          </w:tcPr>
          <w:p w14:paraId="7D3AA764">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60BD5282">
        <w:tblPrEx>
          <w:tblCellMar>
            <w:top w:w="0" w:type="dxa"/>
            <w:left w:w="108" w:type="dxa"/>
            <w:bottom w:w="0" w:type="dxa"/>
            <w:right w:w="108" w:type="dxa"/>
          </w:tblCellMar>
        </w:tblPrEx>
        <w:trPr>
          <w:trHeight w:val="291"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14:paraId="4CEF8165">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6</w:t>
            </w:r>
          </w:p>
        </w:tc>
        <w:tc>
          <w:tcPr>
            <w:tcW w:w="2774" w:type="dxa"/>
            <w:vMerge w:val="restart"/>
            <w:tcBorders>
              <w:top w:val="nil"/>
              <w:left w:val="single" w:color="auto" w:sz="4" w:space="0"/>
              <w:bottom w:val="single" w:color="auto" w:sz="4" w:space="0"/>
              <w:right w:val="single" w:color="auto" w:sz="4" w:space="0"/>
            </w:tcBorders>
            <w:shd w:val="clear" w:color="auto" w:fill="auto"/>
            <w:vAlign w:val="center"/>
          </w:tcPr>
          <w:p w14:paraId="4DC6AB58">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您认为该部门办理事务是否方便？</w:t>
            </w:r>
          </w:p>
        </w:tc>
        <w:tc>
          <w:tcPr>
            <w:tcW w:w="2460" w:type="dxa"/>
            <w:tcBorders>
              <w:top w:val="nil"/>
              <w:left w:val="nil"/>
              <w:bottom w:val="single" w:color="auto" w:sz="4" w:space="0"/>
              <w:right w:val="single" w:color="auto" w:sz="4" w:space="0"/>
            </w:tcBorders>
            <w:shd w:val="clear" w:color="auto" w:fill="auto"/>
            <w:noWrap/>
            <w:vAlign w:val="center"/>
          </w:tcPr>
          <w:p w14:paraId="13A60713">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A.方便，高效</w:t>
            </w:r>
          </w:p>
        </w:tc>
        <w:tc>
          <w:tcPr>
            <w:tcW w:w="1247" w:type="dxa"/>
            <w:tcBorders>
              <w:top w:val="nil"/>
              <w:left w:val="nil"/>
              <w:bottom w:val="single" w:color="auto" w:sz="4" w:space="0"/>
              <w:right w:val="single" w:color="auto" w:sz="4" w:space="0"/>
            </w:tcBorders>
            <w:shd w:val="clear" w:color="auto" w:fill="auto"/>
            <w:noWrap/>
            <w:vAlign w:val="center"/>
          </w:tcPr>
          <w:p w14:paraId="44BFAE87">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10</w:t>
            </w:r>
          </w:p>
        </w:tc>
        <w:tc>
          <w:tcPr>
            <w:tcW w:w="1126" w:type="dxa"/>
            <w:tcBorders>
              <w:top w:val="nil"/>
              <w:left w:val="nil"/>
              <w:bottom w:val="single" w:color="auto" w:sz="4" w:space="0"/>
              <w:right w:val="single" w:color="auto" w:sz="4" w:space="0"/>
            </w:tcBorders>
            <w:shd w:val="clear" w:color="auto" w:fill="auto"/>
            <w:vAlign w:val="center"/>
          </w:tcPr>
          <w:p w14:paraId="164C5AAD">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250</w:t>
            </w:r>
          </w:p>
        </w:tc>
      </w:tr>
      <w:tr w14:paraId="12AF4D01">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0C8DE920">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7C654BCD">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14:paraId="51CB05E5">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B.方便，效率一般</w:t>
            </w:r>
          </w:p>
        </w:tc>
        <w:tc>
          <w:tcPr>
            <w:tcW w:w="1247" w:type="dxa"/>
            <w:tcBorders>
              <w:top w:val="nil"/>
              <w:left w:val="nil"/>
              <w:bottom w:val="single" w:color="auto" w:sz="4" w:space="0"/>
              <w:right w:val="single" w:color="auto" w:sz="4" w:space="0"/>
            </w:tcBorders>
            <w:shd w:val="clear" w:color="auto" w:fill="auto"/>
            <w:noWrap/>
            <w:vAlign w:val="center"/>
          </w:tcPr>
          <w:p w14:paraId="0AAF0B7E">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5</w:t>
            </w:r>
          </w:p>
        </w:tc>
        <w:tc>
          <w:tcPr>
            <w:tcW w:w="1126" w:type="dxa"/>
            <w:tcBorders>
              <w:top w:val="nil"/>
              <w:left w:val="nil"/>
              <w:bottom w:val="single" w:color="auto" w:sz="4" w:space="0"/>
              <w:right w:val="single" w:color="auto" w:sz="4" w:space="0"/>
            </w:tcBorders>
            <w:shd w:val="clear" w:color="auto" w:fill="auto"/>
            <w:vAlign w:val="center"/>
          </w:tcPr>
          <w:p w14:paraId="108DC095">
            <w:pPr>
              <w:widowControl/>
              <w:spacing w:line="240" w:lineRule="exact"/>
              <w:jc w:val="both"/>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 xml:space="preserve">    10</w:t>
            </w:r>
          </w:p>
        </w:tc>
      </w:tr>
      <w:tr w14:paraId="502016EF">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39BEC2CB">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36E90F16">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14:paraId="10E46E67">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C.不方便，效率低</w:t>
            </w:r>
          </w:p>
        </w:tc>
        <w:tc>
          <w:tcPr>
            <w:tcW w:w="1247" w:type="dxa"/>
            <w:tcBorders>
              <w:top w:val="nil"/>
              <w:left w:val="nil"/>
              <w:bottom w:val="single" w:color="auto" w:sz="4" w:space="0"/>
              <w:right w:val="single" w:color="auto" w:sz="4" w:space="0"/>
            </w:tcBorders>
            <w:shd w:val="clear" w:color="auto" w:fill="auto"/>
            <w:noWrap/>
            <w:vAlign w:val="center"/>
          </w:tcPr>
          <w:p w14:paraId="5A9B1ABF">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0</w:t>
            </w:r>
          </w:p>
        </w:tc>
        <w:tc>
          <w:tcPr>
            <w:tcW w:w="1126" w:type="dxa"/>
            <w:tcBorders>
              <w:top w:val="nil"/>
              <w:left w:val="nil"/>
              <w:bottom w:val="single" w:color="auto" w:sz="4" w:space="0"/>
              <w:right w:val="single" w:color="auto" w:sz="4" w:space="0"/>
            </w:tcBorders>
            <w:shd w:val="clear" w:color="auto" w:fill="auto"/>
            <w:vAlign w:val="center"/>
          </w:tcPr>
          <w:p w14:paraId="2F653CD8">
            <w:pPr>
              <w:widowControl/>
              <w:spacing w:line="240" w:lineRule="exact"/>
              <w:jc w:val="center"/>
              <w:rPr>
                <w:rFonts w:hint="eastAsia"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6DF00474">
        <w:tblPrEx>
          <w:tblCellMar>
            <w:top w:w="0" w:type="dxa"/>
            <w:left w:w="108" w:type="dxa"/>
            <w:bottom w:w="0" w:type="dxa"/>
            <w:right w:w="108" w:type="dxa"/>
          </w:tblCellMar>
        </w:tblPrEx>
        <w:trPr>
          <w:trHeight w:val="291"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14:paraId="2CD3EDCE">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7</w:t>
            </w:r>
          </w:p>
        </w:tc>
        <w:tc>
          <w:tcPr>
            <w:tcW w:w="2774" w:type="dxa"/>
            <w:vMerge w:val="restart"/>
            <w:tcBorders>
              <w:top w:val="nil"/>
              <w:left w:val="single" w:color="auto" w:sz="4" w:space="0"/>
              <w:bottom w:val="single" w:color="auto" w:sz="4" w:space="0"/>
              <w:right w:val="single" w:color="auto" w:sz="4" w:space="0"/>
            </w:tcBorders>
            <w:shd w:val="clear" w:color="auto" w:fill="auto"/>
            <w:vAlign w:val="center"/>
          </w:tcPr>
          <w:p w14:paraId="33E4AEF3">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您认为该部门在开展学生资助活动方面做的如何</w:t>
            </w:r>
          </w:p>
        </w:tc>
        <w:tc>
          <w:tcPr>
            <w:tcW w:w="2460" w:type="dxa"/>
            <w:tcBorders>
              <w:top w:val="nil"/>
              <w:left w:val="nil"/>
              <w:bottom w:val="single" w:color="auto" w:sz="4" w:space="0"/>
              <w:right w:val="single" w:color="auto" w:sz="4" w:space="0"/>
            </w:tcBorders>
            <w:shd w:val="clear" w:color="auto" w:fill="auto"/>
            <w:noWrap/>
            <w:vAlign w:val="center"/>
          </w:tcPr>
          <w:p w14:paraId="08647902">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A.经常开展</w:t>
            </w:r>
          </w:p>
        </w:tc>
        <w:tc>
          <w:tcPr>
            <w:tcW w:w="1247" w:type="dxa"/>
            <w:tcBorders>
              <w:top w:val="nil"/>
              <w:left w:val="nil"/>
              <w:bottom w:val="single" w:color="auto" w:sz="4" w:space="0"/>
              <w:right w:val="single" w:color="auto" w:sz="4" w:space="0"/>
            </w:tcBorders>
            <w:shd w:val="clear" w:color="auto" w:fill="auto"/>
            <w:noWrap/>
            <w:vAlign w:val="center"/>
          </w:tcPr>
          <w:p w14:paraId="553D2960">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10</w:t>
            </w:r>
          </w:p>
        </w:tc>
        <w:tc>
          <w:tcPr>
            <w:tcW w:w="1126" w:type="dxa"/>
            <w:tcBorders>
              <w:top w:val="nil"/>
              <w:left w:val="nil"/>
              <w:bottom w:val="single" w:color="auto" w:sz="4" w:space="0"/>
              <w:right w:val="single" w:color="auto" w:sz="4" w:space="0"/>
            </w:tcBorders>
            <w:shd w:val="clear" w:color="auto" w:fill="auto"/>
            <w:vAlign w:val="center"/>
          </w:tcPr>
          <w:p w14:paraId="00F56ADE">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270</w:t>
            </w:r>
          </w:p>
        </w:tc>
      </w:tr>
      <w:tr w14:paraId="469D4128">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3528F1E2">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1DAB87CC">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14:paraId="16C16721">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B.偶尔开展</w:t>
            </w:r>
          </w:p>
        </w:tc>
        <w:tc>
          <w:tcPr>
            <w:tcW w:w="1247" w:type="dxa"/>
            <w:tcBorders>
              <w:top w:val="nil"/>
              <w:left w:val="nil"/>
              <w:bottom w:val="single" w:color="auto" w:sz="4" w:space="0"/>
              <w:right w:val="single" w:color="auto" w:sz="4" w:space="0"/>
            </w:tcBorders>
            <w:shd w:val="clear" w:color="auto" w:fill="auto"/>
            <w:noWrap/>
            <w:vAlign w:val="center"/>
          </w:tcPr>
          <w:p w14:paraId="411C15D1">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5</w:t>
            </w:r>
          </w:p>
        </w:tc>
        <w:tc>
          <w:tcPr>
            <w:tcW w:w="1126" w:type="dxa"/>
            <w:tcBorders>
              <w:top w:val="nil"/>
              <w:left w:val="nil"/>
              <w:bottom w:val="single" w:color="auto" w:sz="4" w:space="0"/>
              <w:right w:val="single" w:color="auto" w:sz="4" w:space="0"/>
            </w:tcBorders>
            <w:shd w:val="clear" w:color="auto" w:fill="auto"/>
            <w:vAlign w:val="center"/>
          </w:tcPr>
          <w:p w14:paraId="13699726">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68A499DD">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5310A9DB">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6520E982">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14:paraId="3F49463F">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C.不开展</w:t>
            </w:r>
          </w:p>
        </w:tc>
        <w:tc>
          <w:tcPr>
            <w:tcW w:w="1247" w:type="dxa"/>
            <w:tcBorders>
              <w:top w:val="nil"/>
              <w:left w:val="nil"/>
              <w:bottom w:val="single" w:color="auto" w:sz="4" w:space="0"/>
              <w:right w:val="single" w:color="auto" w:sz="4" w:space="0"/>
            </w:tcBorders>
            <w:shd w:val="clear" w:color="auto" w:fill="auto"/>
            <w:noWrap/>
            <w:vAlign w:val="center"/>
          </w:tcPr>
          <w:p w14:paraId="7AD3BA23">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0</w:t>
            </w:r>
          </w:p>
        </w:tc>
        <w:tc>
          <w:tcPr>
            <w:tcW w:w="1126" w:type="dxa"/>
            <w:tcBorders>
              <w:top w:val="nil"/>
              <w:left w:val="nil"/>
              <w:bottom w:val="single" w:color="auto" w:sz="4" w:space="0"/>
              <w:right w:val="single" w:color="auto" w:sz="4" w:space="0"/>
            </w:tcBorders>
            <w:shd w:val="clear" w:color="auto" w:fill="auto"/>
            <w:vAlign w:val="center"/>
          </w:tcPr>
          <w:p w14:paraId="5784B84B">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5358819B">
        <w:tblPrEx>
          <w:tblCellMar>
            <w:top w:w="0" w:type="dxa"/>
            <w:left w:w="108" w:type="dxa"/>
            <w:bottom w:w="0" w:type="dxa"/>
            <w:right w:w="108" w:type="dxa"/>
          </w:tblCellMar>
        </w:tblPrEx>
        <w:trPr>
          <w:trHeight w:val="291"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14:paraId="47E4A4D1">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lang w:eastAsia="zh-CN"/>
                <w14:textFill>
                  <w14:solidFill>
                    <w14:schemeClr w14:val="tx1"/>
                  </w14:solidFill>
                </w14:textFill>
              </w:rPr>
              <w:t>9</w:t>
            </w:r>
            <w:r>
              <w:rPr>
                <w:rFonts w:hint="eastAsia" w:ascii="仿宋_GB2312" w:hAnsi="Times New Roman" w:cs="Times New Roman"/>
                <w:color w:val="000000" w:themeColor="text1"/>
                <w:kern w:val="0"/>
                <w:sz w:val="21"/>
                <w:szCs w:val="21"/>
                <w:lang w:val="en-US" w:eastAsia="zh-CN"/>
                <w14:textFill>
                  <w14:solidFill>
                    <w14:schemeClr w14:val="tx1"/>
                  </w14:solidFill>
                </w14:textFill>
              </w:rPr>
              <w:t>8.94</w:t>
            </w:r>
            <w:r>
              <w:rPr>
                <w:rFonts w:hint="eastAsia" w:ascii="仿宋_GB2312" w:hAnsi="Times New Roman" w:cs="Times New Roman"/>
                <w:color w:val="000000" w:themeColor="text1"/>
                <w:kern w:val="0"/>
                <w:sz w:val="21"/>
                <w:szCs w:val="21"/>
                <w14:textFill>
                  <w14:solidFill>
                    <w14:schemeClr w14:val="tx1"/>
                  </w14:solidFill>
                </w14:textFill>
              </w:rPr>
              <w:t>8</w:t>
            </w:r>
          </w:p>
        </w:tc>
        <w:tc>
          <w:tcPr>
            <w:tcW w:w="2774" w:type="dxa"/>
            <w:vMerge w:val="restart"/>
            <w:tcBorders>
              <w:top w:val="nil"/>
              <w:left w:val="single" w:color="auto" w:sz="4" w:space="0"/>
              <w:bottom w:val="single" w:color="auto" w:sz="4" w:space="0"/>
              <w:right w:val="single" w:color="auto" w:sz="4" w:space="0"/>
            </w:tcBorders>
            <w:shd w:val="clear" w:color="auto" w:fill="auto"/>
            <w:vAlign w:val="center"/>
          </w:tcPr>
          <w:p w14:paraId="50933BEA">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您对该部门的服务态度、服务质量是否满意？</w:t>
            </w:r>
          </w:p>
        </w:tc>
        <w:tc>
          <w:tcPr>
            <w:tcW w:w="2460" w:type="dxa"/>
            <w:tcBorders>
              <w:top w:val="nil"/>
              <w:left w:val="nil"/>
              <w:bottom w:val="single" w:color="auto" w:sz="4" w:space="0"/>
              <w:right w:val="single" w:color="auto" w:sz="4" w:space="0"/>
            </w:tcBorders>
            <w:shd w:val="clear" w:color="auto" w:fill="auto"/>
            <w:noWrap/>
            <w:vAlign w:val="center"/>
          </w:tcPr>
          <w:p w14:paraId="3A4C1BBF">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A.非常满意</w:t>
            </w:r>
          </w:p>
        </w:tc>
        <w:tc>
          <w:tcPr>
            <w:tcW w:w="1247" w:type="dxa"/>
            <w:tcBorders>
              <w:top w:val="nil"/>
              <w:left w:val="nil"/>
              <w:bottom w:val="single" w:color="auto" w:sz="4" w:space="0"/>
              <w:right w:val="single" w:color="auto" w:sz="4" w:space="0"/>
            </w:tcBorders>
            <w:shd w:val="clear" w:color="auto" w:fill="auto"/>
            <w:noWrap/>
            <w:vAlign w:val="center"/>
          </w:tcPr>
          <w:p w14:paraId="1AA172B9">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10</w:t>
            </w:r>
          </w:p>
        </w:tc>
        <w:tc>
          <w:tcPr>
            <w:tcW w:w="1126" w:type="dxa"/>
            <w:tcBorders>
              <w:top w:val="nil"/>
              <w:left w:val="nil"/>
              <w:bottom w:val="single" w:color="auto" w:sz="4" w:space="0"/>
              <w:right w:val="single" w:color="auto" w:sz="4" w:space="0"/>
            </w:tcBorders>
            <w:shd w:val="clear" w:color="auto" w:fill="auto"/>
            <w:vAlign w:val="center"/>
          </w:tcPr>
          <w:p w14:paraId="4F785F52">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270</w:t>
            </w:r>
          </w:p>
        </w:tc>
      </w:tr>
      <w:tr w14:paraId="5039BAA3">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43E4827B">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4516D8C3">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14:paraId="3786DABB">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B.基本满意</w:t>
            </w:r>
          </w:p>
        </w:tc>
        <w:tc>
          <w:tcPr>
            <w:tcW w:w="1247" w:type="dxa"/>
            <w:tcBorders>
              <w:top w:val="nil"/>
              <w:left w:val="nil"/>
              <w:bottom w:val="single" w:color="auto" w:sz="4" w:space="0"/>
              <w:right w:val="single" w:color="auto" w:sz="4" w:space="0"/>
            </w:tcBorders>
            <w:shd w:val="clear" w:color="auto" w:fill="auto"/>
            <w:noWrap/>
            <w:vAlign w:val="center"/>
          </w:tcPr>
          <w:p w14:paraId="24CFC6B0">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5</w:t>
            </w:r>
          </w:p>
        </w:tc>
        <w:tc>
          <w:tcPr>
            <w:tcW w:w="1126" w:type="dxa"/>
            <w:tcBorders>
              <w:top w:val="nil"/>
              <w:left w:val="nil"/>
              <w:bottom w:val="single" w:color="auto" w:sz="4" w:space="0"/>
              <w:right w:val="single" w:color="auto" w:sz="4" w:space="0"/>
            </w:tcBorders>
            <w:shd w:val="clear" w:color="auto" w:fill="auto"/>
            <w:vAlign w:val="center"/>
          </w:tcPr>
          <w:p w14:paraId="56472335">
            <w:pPr>
              <w:widowControl/>
              <w:spacing w:line="240" w:lineRule="exact"/>
              <w:jc w:val="center"/>
              <w:rPr>
                <w:rFonts w:hint="eastAsia"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4C0884CE">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58378D81">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6BC61E7B">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14:paraId="7DAB09E2">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C.不满意</w:t>
            </w:r>
          </w:p>
        </w:tc>
        <w:tc>
          <w:tcPr>
            <w:tcW w:w="1247" w:type="dxa"/>
            <w:tcBorders>
              <w:top w:val="nil"/>
              <w:left w:val="nil"/>
              <w:bottom w:val="single" w:color="auto" w:sz="4" w:space="0"/>
              <w:right w:val="single" w:color="auto" w:sz="4" w:space="0"/>
            </w:tcBorders>
            <w:shd w:val="clear" w:color="auto" w:fill="auto"/>
            <w:noWrap/>
            <w:vAlign w:val="center"/>
          </w:tcPr>
          <w:p w14:paraId="1EC15739">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0</w:t>
            </w:r>
          </w:p>
        </w:tc>
        <w:tc>
          <w:tcPr>
            <w:tcW w:w="1126" w:type="dxa"/>
            <w:tcBorders>
              <w:top w:val="nil"/>
              <w:left w:val="nil"/>
              <w:bottom w:val="single" w:color="auto" w:sz="4" w:space="0"/>
              <w:right w:val="single" w:color="auto" w:sz="4" w:space="0"/>
            </w:tcBorders>
            <w:shd w:val="clear" w:color="auto" w:fill="auto"/>
            <w:vAlign w:val="center"/>
          </w:tcPr>
          <w:p w14:paraId="7591DD3B">
            <w:pPr>
              <w:widowControl/>
              <w:spacing w:line="240" w:lineRule="exact"/>
              <w:jc w:val="center"/>
              <w:rPr>
                <w:rFonts w:hint="eastAsia"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17941C09">
        <w:tblPrEx>
          <w:tblCellMar>
            <w:top w:w="0" w:type="dxa"/>
            <w:left w:w="108" w:type="dxa"/>
            <w:bottom w:w="0" w:type="dxa"/>
            <w:right w:w="108" w:type="dxa"/>
          </w:tblCellMar>
        </w:tblPrEx>
        <w:trPr>
          <w:trHeight w:val="369"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14:paraId="1195BC15">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9</w:t>
            </w:r>
          </w:p>
        </w:tc>
        <w:tc>
          <w:tcPr>
            <w:tcW w:w="2774" w:type="dxa"/>
            <w:vMerge w:val="restart"/>
            <w:tcBorders>
              <w:top w:val="nil"/>
              <w:left w:val="single" w:color="auto" w:sz="4" w:space="0"/>
              <w:bottom w:val="single" w:color="auto" w:sz="4" w:space="0"/>
              <w:right w:val="single" w:color="auto" w:sz="4" w:space="0"/>
            </w:tcBorders>
            <w:shd w:val="clear" w:color="auto" w:fill="auto"/>
            <w:vAlign w:val="center"/>
          </w:tcPr>
          <w:p w14:paraId="6E26CDB7">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您对部门在信息公开方面（如党务、政务、办事程序、财务等方面）的评价如何？</w:t>
            </w:r>
          </w:p>
        </w:tc>
        <w:tc>
          <w:tcPr>
            <w:tcW w:w="2460" w:type="dxa"/>
            <w:tcBorders>
              <w:top w:val="nil"/>
              <w:left w:val="nil"/>
              <w:bottom w:val="single" w:color="auto" w:sz="4" w:space="0"/>
              <w:right w:val="single" w:color="auto" w:sz="4" w:space="0"/>
            </w:tcBorders>
            <w:shd w:val="clear" w:color="auto" w:fill="auto"/>
            <w:noWrap/>
            <w:vAlign w:val="center"/>
          </w:tcPr>
          <w:p w14:paraId="2C4A2D31">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A.非常满意</w:t>
            </w:r>
          </w:p>
        </w:tc>
        <w:tc>
          <w:tcPr>
            <w:tcW w:w="1247" w:type="dxa"/>
            <w:tcBorders>
              <w:top w:val="nil"/>
              <w:left w:val="nil"/>
              <w:bottom w:val="single" w:color="auto" w:sz="4" w:space="0"/>
              <w:right w:val="single" w:color="auto" w:sz="4" w:space="0"/>
            </w:tcBorders>
            <w:shd w:val="clear" w:color="auto" w:fill="auto"/>
            <w:noWrap/>
            <w:vAlign w:val="center"/>
          </w:tcPr>
          <w:p w14:paraId="3821D0EA">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10</w:t>
            </w:r>
          </w:p>
        </w:tc>
        <w:tc>
          <w:tcPr>
            <w:tcW w:w="1126" w:type="dxa"/>
            <w:tcBorders>
              <w:top w:val="nil"/>
              <w:left w:val="nil"/>
              <w:bottom w:val="single" w:color="auto" w:sz="4" w:space="0"/>
              <w:right w:val="single" w:color="auto" w:sz="4" w:space="0"/>
            </w:tcBorders>
            <w:shd w:val="clear" w:color="auto" w:fill="auto"/>
            <w:vAlign w:val="center"/>
          </w:tcPr>
          <w:p w14:paraId="5EE95683">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270</w:t>
            </w:r>
          </w:p>
        </w:tc>
      </w:tr>
      <w:tr w14:paraId="5B270558">
        <w:tblPrEx>
          <w:tblCellMar>
            <w:top w:w="0" w:type="dxa"/>
            <w:left w:w="108" w:type="dxa"/>
            <w:bottom w:w="0" w:type="dxa"/>
            <w:right w:w="108" w:type="dxa"/>
          </w:tblCellMar>
        </w:tblPrEx>
        <w:trPr>
          <w:trHeight w:val="369"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2F90D34D">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00284296">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14:paraId="58DB137E">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B.基本满意</w:t>
            </w:r>
          </w:p>
        </w:tc>
        <w:tc>
          <w:tcPr>
            <w:tcW w:w="1247" w:type="dxa"/>
            <w:tcBorders>
              <w:top w:val="nil"/>
              <w:left w:val="nil"/>
              <w:bottom w:val="single" w:color="auto" w:sz="4" w:space="0"/>
              <w:right w:val="single" w:color="auto" w:sz="4" w:space="0"/>
            </w:tcBorders>
            <w:shd w:val="clear" w:color="auto" w:fill="auto"/>
            <w:noWrap/>
            <w:vAlign w:val="center"/>
          </w:tcPr>
          <w:p w14:paraId="6388D121">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5</w:t>
            </w:r>
          </w:p>
        </w:tc>
        <w:tc>
          <w:tcPr>
            <w:tcW w:w="1126" w:type="dxa"/>
            <w:tcBorders>
              <w:top w:val="nil"/>
              <w:left w:val="nil"/>
              <w:bottom w:val="single" w:color="auto" w:sz="4" w:space="0"/>
              <w:right w:val="single" w:color="auto" w:sz="4" w:space="0"/>
            </w:tcBorders>
            <w:shd w:val="clear" w:color="auto" w:fill="auto"/>
            <w:vAlign w:val="center"/>
          </w:tcPr>
          <w:p w14:paraId="07FB4A19">
            <w:pPr>
              <w:widowControl/>
              <w:spacing w:line="240" w:lineRule="exact"/>
              <w:jc w:val="center"/>
              <w:rPr>
                <w:rFonts w:hint="eastAsia"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21182E78">
        <w:tblPrEx>
          <w:tblCellMar>
            <w:top w:w="0" w:type="dxa"/>
            <w:left w:w="108" w:type="dxa"/>
            <w:bottom w:w="0" w:type="dxa"/>
            <w:right w:w="108" w:type="dxa"/>
          </w:tblCellMar>
        </w:tblPrEx>
        <w:trPr>
          <w:trHeight w:val="369"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1547FBCA">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74C450BA">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14:paraId="320A693A">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C.不满意</w:t>
            </w:r>
          </w:p>
        </w:tc>
        <w:tc>
          <w:tcPr>
            <w:tcW w:w="1247" w:type="dxa"/>
            <w:tcBorders>
              <w:top w:val="nil"/>
              <w:left w:val="nil"/>
              <w:bottom w:val="single" w:color="auto" w:sz="4" w:space="0"/>
              <w:right w:val="single" w:color="auto" w:sz="4" w:space="0"/>
            </w:tcBorders>
            <w:shd w:val="clear" w:color="auto" w:fill="auto"/>
            <w:noWrap/>
            <w:vAlign w:val="center"/>
          </w:tcPr>
          <w:p w14:paraId="1B838082">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0</w:t>
            </w:r>
          </w:p>
        </w:tc>
        <w:tc>
          <w:tcPr>
            <w:tcW w:w="1126" w:type="dxa"/>
            <w:tcBorders>
              <w:top w:val="nil"/>
              <w:left w:val="nil"/>
              <w:bottom w:val="single" w:color="auto" w:sz="4" w:space="0"/>
              <w:right w:val="single" w:color="auto" w:sz="4" w:space="0"/>
            </w:tcBorders>
            <w:shd w:val="clear" w:color="auto" w:fill="auto"/>
            <w:vAlign w:val="center"/>
          </w:tcPr>
          <w:p w14:paraId="4F94FC4D">
            <w:pPr>
              <w:widowControl/>
              <w:spacing w:line="240" w:lineRule="exact"/>
              <w:jc w:val="center"/>
              <w:rPr>
                <w:rFonts w:hint="eastAsia"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5A422AF0">
        <w:tblPrEx>
          <w:tblCellMar>
            <w:top w:w="0" w:type="dxa"/>
            <w:left w:w="108" w:type="dxa"/>
            <w:bottom w:w="0" w:type="dxa"/>
            <w:right w:w="108" w:type="dxa"/>
          </w:tblCellMar>
        </w:tblPrEx>
        <w:trPr>
          <w:trHeight w:val="291"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noWrap/>
            <w:vAlign w:val="center"/>
          </w:tcPr>
          <w:p w14:paraId="4D24DBF3">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10</w:t>
            </w:r>
          </w:p>
        </w:tc>
        <w:tc>
          <w:tcPr>
            <w:tcW w:w="2774" w:type="dxa"/>
            <w:vMerge w:val="restart"/>
            <w:tcBorders>
              <w:top w:val="nil"/>
              <w:left w:val="single" w:color="auto" w:sz="4" w:space="0"/>
              <w:bottom w:val="single" w:color="auto" w:sz="4" w:space="0"/>
              <w:right w:val="single" w:color="auto" w:sz="4" w:space="0"/>
            </w:tcBorders>
            <w:shd w:val="clear" w:color="auto" w:fill="auto"/>
            <w:vAlign w:val="center"/>
          </w:tcPr>
          <w:p w14:paraId="2AEB2CE3">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您对该部门工作现状的总体评价？</w:t>
            </w:r>
          </w:p>
        </w:tc>
        <w:tc>
          <w:tcPr>
            <w:tcW w:w="2460" w:type="dxa"/>
            <w:tcBorders>
              <w:top w:val="nil"/>
              <w:left w:val="nil"/>
              <w:bottom w:val="single" w:color="auto" w:sz="4" w:space="0"/>
              <w:right w:val="single" w:color="auto" w:sz="4" w:space="0"/>
            </w:tcBorders>
            <w:shd w:val="clear" w:color="auto" w:fill="auto"/>
            <w:noWrap/>
            <w:vAlign w:val="center"/>
          </w:tcPr>
          <w:p w14:paraId="739E4306">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A.非常满意</w:t>
            </w:r>
          </w:p>
        </w:tc>
        <w:tc>
          <w:tcPr>
            <w:tcW w:w="1247" w:type="dxa"/>
            <w:tcBorders>
              <w:top w:val="nil"/>
              <w:left w:val="nil"/>
              <w:bottom w:val="single" w:color="auto" w:sz="4" w:space="0"/>
              <w:right w:val="single" w:color="auto" w:sz="4" w:space="0"/>
            </w:tcBorders>
            <w:shd w:val="clear" w:color="auto" w:fill="auto"/>
            <w:noWrap/>
            <w:vAlign w:val="center"/>
          </w:tcPr>
          <w:p w14:paraId="50214A90">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10</w:t>
            </w:r>
          </w:p>
        </w:tc>
        <w:tc>
          <w:tcPr>
            <w:tcW w:w="1126" w:type="dxa"/>
            <w:tcBorders>
              <w:top w:val="nil"/>
              <w:left w:val="nil"/>
              <w:bottom w:val="single" w:color="auto" w:sz="4" w:space="0"/>
              <w:right w:val="single" w:color="auto" w:sz="4" w:space="0"/>
            </w:tcBorders>
            <w:shd w:val="clear" w:color="auto" w:fill="auto"/>
            <w:vAlign w:val="center"/>
          </w:tcPr>
          <w:p w14:paraId="1544E757">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270</w:t>
            </w:r>
          </w:p>
        </w:tc>
      </w:tr>
      <w:tr w14:paraId="54C656EE">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4F79B630">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13B9B4BD">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14:paraId="454DD04F">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C.基本满意</w:t>
            </w:r>
          </w:p>
        </w:tc>
        <w:tc>
          <w:tcPr>
            <w:tcW w:w="1247" w:type="dxa"/>
            <w:tcBorders>
              <w:top w:val="nil"/>
              <w:left w:val="nil"/>
              <w:bottom w:val="single" w:color="auto" w:sz="4" w:space="0"/>
              <w:right w:val="single" w:color="auto" w:sz="4" w:space="0"/>
            </w:tcBorders>
            <w:shd w:val="clear" w:color="auto" w:fill="auto"/>
            <w:noWrap/>
            <w:vAlign w:val="center"/>
          </w:tcPr>
          <w:p w14:paraId="00620870">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5</w:t>
            </w:r>
          </w:p>
        </w:tc>
        <w:tc>
          <w:tcPr>
            <w:tcW w:w="1126" w:type="dxa"/>
            <w:tcBorders>
              <w:top w:val="nil"/>
              <w:left w:val="nil"/>
              <w:bottom w:val="single" w:color="auto" w:sz="4" w:space="0"/>
              <w:right w:val="single" w:color="auto" w:sz="4" w:space="0"/>
            </w:tcBorders>
            <w:shd w:val="clear" w:color="auto" w:fill="auto"/>
            <w:vAlign w:val="center"/>
          </w:tcPr>
          <w:p w14:paraId="0B0BB352">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1C629D29">
        <w:tblPrEx>
          <w:tblCellMar>
            <w:top w:w="0" w:type="dxa"/>
            <w:left w:w="108" w:type="dxa"/>
            <w:bottom w:w="0" w:type="dxa"/>
            <w:right w:w="108" w:type="dxa"/>
          </w:tblCellMar>
        </w:tblPrEx>
        <w:trPr>
          <w:trHeight w:val="276" w:hRule="atLeast"/>
          <w:jc w:val="center"/>
        </w:trPr>
        <w:tc>
          <w:tcPr>
            <w:tcW w:w="846" w:type="dxa"/>
            <w:vMerge w:val="continue"/>
            <w:tcBorders>
              <w:top w:val="nil"/>
              <w:left w:val="single" w:color="auto" w:sz="4" w:space="0"/>
              <w:bottom w:val="single" w:color="auto" w:sz="4" w:space="0"/>
              <w:right w:val="single" w:color="auto" w:sz="4" w:space="0"/>
            </w:tcBorders>
            <w:vAlign w:val="center"/>
          </w:tcPr>
          <w:p w14:paraId="41FF37F1">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774" w:type="dxa"/>
            <w:vMerge w:val="continue"/>
            <w:tcBorders>
              <w:top w:val="nil"/>
              <w:left w:val="single" w:color="auto" w:sz="4" w:space="0"/>
              <w:bottom w:val="single" w:color="auto" w:sz="4" w:space="0"/>
              <w:right w:val="single" w:color="auto" w:sz="4" w:space="0"/>
            </w:tcBorders>
            <w:vAlign w:val="center"/>
          </w:tcPr>
          <w:p w14:paraId="33018EE1">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p>
        </w:tc>
        <w:tc>
          <w:tcPr>
            <w:tcW w:w="2460" w:type="dxa"/>
            <w:tcBorders>
              <w:top w:val="nil"/>
              <w:left w:val="nil"/>
              <w:bottom w:val="single" w:color="auto" w:sz="4" w:space="0"/>
              <w:right w:val="single" w:color="auto" w:sz="4" w:space="0"/>
            </w:tcBorders>
            <w:shd w:val="clear" w:color="auto" w:fill="auto"/>
            <w:noWrap/>
            <w:vAlign w:val="center"/>
          </w:tcPr>
          <w:p w14:paraId="62859D1A">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D.不满意</w:t>
            </w:r>
          </w:p>
        </w:tc>
        <w:tc>
          <w:tcPr>
            <w:tcW w:w="1247" w:type="dxa"/>
            <w:tcBorders>
              <w:top w:val="nil"/>
              <w:left w:val="nil"/>
              <w:bottom w:val="single" w:color="auto" w:sz="4" w:space="0"/>
              <w:right w:val="single" w:color="auto" w:sz="4" w:space="0"/>
            </w:tcBorders>
            <w:shd w:val="clear" w:color="auto" w:fill="auto"/>
            <w:noWrap/>
            <w:vAlign w:val="center"/>
          </w:tcPr>
          <w:p w14:paraId="6415B15E">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0</w:t>
            </w:r>
          </w:p>
        </w:tc>
        <w:tc>
          <w:tcPr>
            <w:tcW w:w="1126" w:type="dxa"/>
            <w:tcBorders>
              <w:top w:val="nil"/>
              <w:left w:val="nil"/>
              <w:bottom w:val="single" w:color="auto" w:sz="4" w:space="0"/>
              <w:right w:val="single" w:color="auto" w:sz="4" w:space="0"/>
            </w:tcBorders>
            <w:shd w:val="clear" w:color="auto" w:fill="auto"/>
            <w:vAlign w:val="center"/>
          </w:tcPr>
          <w:p w14:paraId="3951A873">
            <w:pPr>
              <w:widowControl/>
              <w:spacing w:line="240" w:lineRule="exact"/>
              <w:jc w:val="center"/>
              <w:rPr>
                <w:rFonts w:hint="eastAsia"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0</w:t>
            </w:r>
          </w:p>
        </w:tc>
      </w:tr>
      <w:tr w14:paraId="3BC69615">
        <w:tblPrEx>
          <w:tblCellMar>
            <w:top w:w="0" w:type="dxa"/>
            <w:left w:w="108" w:type="dxa"/>
            <w:bottom w:w="0" w:type="dxa"/>
            <w:right w:w="108" w:type="dxa"/>
          </w:tblCellMar>
        </w:tblPrEx>
        <w:trPr>
          <w:trHeight w:val="276" w:hRule="atLeast"/>
          <w:jc w:val="center"/>
        </w:trPr>
        <w:tc>
          <w:tcPr>
            <w:tcW w:w="362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5710B77">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单个问卷得分</w:t>
            </w:r>
          </w:p>
        </w:tc>
        <w:tc>
          <w:tcPr>
            <w:tcW w:w="2460" w:type="dxa"/>
            <w:tcBorders>
              <w:top w:val="nil"/>
              <w:left w:val="nil"/>
              <w:bottom w:val="single" w:color="auto" w:sz="4" w:space="0"/>
              <w:right w:val="single" w:color="auto" w:sz="4" w:space="0"/>
            </w:tcBorders>
            <w:shd w:val="clear" w:color="auto" w:fill="auto"/>
            <w:vAlign w:val="center"/>
          </w:tcPr>
          <w:p w14:paraId="75BB39FD">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　</w:t>
            </w:r>
          </w:p>
        </w:tc>
        <w:tc>
          <w:tcPr>
            <w:tcW w:w="1247" w:type="dxa"/>
            <w:tcBorders>
              <w:top w:val="nil"/>
              <w:left w:val="nil"/>
              <w:bottom w:val="single" w:color="auto" w:sz="4" w:space="0"/>
              <w:right w:val="single" w:color="auto" w:sz="4" w:space="0"/>
            </w:tcBorders>
            <w:shd w:val="clear" w:color="auto" w:fill="auto"/>
            <w:vAlign w:val="center"/>
          </w:tcPr>
          <w:p w14:paraId="534CAE33">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100</w:t>
            </w:r>
          </w:p>
        </w:tc>
        <w:tc>
          <w:tcPr>
            <w:tcW w:w="1126" w:type="dxa"/>
            <w:tcBorders>
              <w:top w:val="nil"/>
              <w:left w:val="nil"/>
              <w:bottom w:val="single" w:color="auto" w:sz="4" w:space="0"/>
              <w:right w:val="single" w:color="auto" w:sz="4" w:space="0"/>
            </w:tcBorders>
            <w:shd w:val="clear" w:color="auto" w:fill="auto"/>
            <w:vAlign w:val="center"/>
          </w:tcPr>
          <w:p w14:paraId="66A74821">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99.25</w:t>
            </w:r>
          </w:p>
        </w:tc>
      </w:tr>
      <w:tr w14:paraId="1E8E6A36">
        <w:tblPrEx>
          <w:tblCellMar>
            <w:top w:w="0" w:type="dxa"/>
            <w:left w:w="108" w:type="dxa"/>
            <w:bottom w:w="0" w:type="dxa"/>
            <w:right w:w="108" w:type="dxa"/>
          </w:tblCellMar>
        </w:tblPrEx>
        <w:trPr>
          <w:trHeight w:val="201" w:hRule="atLeast"/>
          <w:jc w:val="center"/>
        </w:trPr>
        <w:tc>
          <w:tcPr>
            <w:tcW w:w="362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3F07A97">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有效问卷份数</w:t>
            </w:r>
          </w:p>
        </w:tc>
        <w:tc>
          <w:tcPr>
            <w:tcW w:w="2460" w:type="dxa"/>
            <w:tcBorders>
              <w:top w:val="nil"/>
              <w:left w:val="nil"/>
              <w:bottom w:val="single" w:color="auto" w:sz="4" w:space="0"/>
              <w:right w:val="single" w:color="auto" w:sz="4" w:space="0"/>
            </w:tcBorders>
            <w:shd w:val="clear" w:color="auto" w:fill="auto"/>
            <w:vAlign w:val="center"/>
          </w:tcPr>
          <w:p w14:paraId="31F5DE1C">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　</w:t>
            </w:r>
          </w:p>
        </w:tc>
        <w:tc>
          <w:tcPr>
            <w:tcW w:w="1247" w:type="dxa"/>
            <w:tcBorders>
              <w:top w:val="nil"/>
              <w:left w:val="nil"/>
              <w:bottom w:val="single" w:color="auto" w:sz="4" w:space="0"/>
              <w:right w:val="single" w:color="auto" w:sz="4" w:space="0"/>
            </w:tcBorders>
            <w:shd w:val="clear" w:color="auto" w:fill="auto"/>
            <w:vAlign w:val="center"/>
          </w:tcPr>
          <w:p w14:paraId="0F9ECA68">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　</w:t>
            </w:r>
          </w:p>
        </w:tc>
        <w:tc>
          <w:tcPr>
            <w:tcW w:w="1126" w:type="dxa"/>
            <w:tcBorders>
              <w:top w:val="nil"/>
              <w:left w:val="nil"/>
              <w:bottom w:val="single" w:color="auto" w:sz="4" w:space="0"/>
              <w:right w:val="single" w:color="auto" w:sz="4" w:space="0"/>
            </w:tcBorders>
            <w:shd w:val="clear" w:color="auto" w:fill="auto"/>
            <w:vAlign w:val="center"/>
          </w:tcPr>
          <w:p w14:paraId="417E2866">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27</w:t>
            </w:r>
          </w:p>
        </w:tc>
      </w:tr>
      <w:tr w14:paraId="149ED7CA">
        <w:tblPrEx>
          <w:tblCellMar>
            <w:top w:w="0" w:type="dxa"/>
            <w:left w:w="108" w:type="dxa"/>
            <w:bottom w:w="0" w:type="dxa"/>
            <w:right w:w="108" w:type="dxa"/>
          </w:tblCellMar>
        </w:tblPrEx>
        <w:trPr>
          <w:trHeight w:val="276" w:hRule="atLeast"/>
          <w:jc w:val="center"/>
        </w:trPr>
        <w:tc>
          <w:tcPr>
            <w:tcW w:w="362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D687789">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问卷综合得分</w:t>
            </w:r>
          </w:p>
        </w:tc>
        <w:tc>
          <w:tcPr>
            <w:tcW w:w="2460" w:type="dxa"/>
            <w:tcBorders>
              <w:top w:val="nil"/>
              <w:left w:val="nil"/>
              <w:bottom w:val="single" w:color="auto" w:sz="4" w:space="0"/>
              <w:right w:val="single" w:color="auto" w:sz="4" w:space="0"/>
            </w:tcBorders>
            <w:shd w:val="clear" w:color="auto" w:fill="auto"/>
            <w:vAlign w:val="center"/>
          </w:tcPr>
          <w:p w14:paraId="433CFE39">
            <w:pPr>
              <w:widowControl/>
              <w:spacing w:line="240" w:lineRule="exact"/>
              <w:jc w:val="left"/>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　</w:t>
            </w:r>
          </w:p>
        </w:tc>
        <w:tc>
          <w:tcPr>
            <w:tcW w:w="1247" w:type="dxa"/>
            <w:tcBorders>
              <w:top w:val="nil"/>
              <w:left w:val="nil"/>
              <w:bottom w:val="single" w:color="auto" w:sz="4" w:space="0"/>
              <w:right w:val="single" w:color="auto" w:sz="4" w:space="0"/>
            </w:tcBorders>
            <w:shd w:val="clear" w:color="auto" w:fill="auto"/>
            <w:vAlign w:val="center"/>
          </w:tcPr>
          <w:p w14:paraId="31C6C35A">
            <w:pPr>
              <w:widowControl/>
              <w:spacing w:line="240" w:lineRule="exact"/>
              <w:jc w:val="center"/>
              <w:rPr>
                <w:rFonts w:hint="eastAsia" w:ascii="仿宋_GB2312" w:hAnsi="Times New Roman" w:cs="Times New Roman"/>
                <w:color w:val="000000" w:themeColor="text1"/>
                <w:kern w:val="0"/>
                <w:sz w:val="21"/>
                <w:szCs w:val="21"/>
                <w14:textFill>
                  <w14:solidFill>
                    <w14:schemeClr w14:val="tx1"/>
                  </w14:solidFill>
                </w14:textFill>
              </w:rPr>
            </w:pPr>
            <w:r>
              <w:rPr>
                <w:rFonts w:hint="eastAsia" w:ascii="仿宋_GB2312" w:hAnsi="Times New Roman" w:cs="Times New Roman"/>
                <w:color w:val="000000" w:themeColor="text1"/>
                <w:kern w:val="0"/>
                <w:sz w:val="21"/>
                <w:szCs w:val="21"/>
                <w14:textFill>
                  <w14:solidFill>
                    <w14:schemeClr w14:val="tx1"/>
                  </w14:solidFill>
                </w14:textFill>
              </w:rPr>
              <w:t>　</w:t>
            </w:r>
          </w:p>
        </w:tc>
        <w:tc>
          <w:tcPr>
            <w:tcW w:w="1126" w:type="dxa"/>
            <w:tcBorders>
              <w:top w:val="nil"/>
              <w:left w:val="nil"/>
              <w:bottom w:val="single" w:color="auto" w:sz="4" w:space="0"/>
              <w:right w:val="single" w:color="auto" w:sz="4" w:space="0"/>
            </w:tcBorders>
            <w:shd w:val="clear" w:color="auto" w:fill="auto"/>
            <w:vAlign w:val="center"/>
          </w:tcPr>
          <w:p w14:paraId="01D613F4">
            <w:pPr>
              <w:widowControl/>
              <w:spacing w:line="240" w:lineRule="exact"/>
              <w:jc w:val="center"/>
              <w:rPr>
                <w:rFonts w:hint="default" w:ascii="仿宋_GB2312"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仿宋_GB2312" w:hAnsi="Times New Roman" w:cs="Times New Roman"/>
                <w:color w:val="000000" w:themeColor="text1"/>
                <w:kern w:val="0"/>
                <w:sz w:val="21"/>
                <w:szCs w:val="21"/>
                <w:lang w:val="en-US" w:eastAsia="zh-CN"/>
                <w14:textFill>
                  <w14:solidFill>
                    <w14:schemeClr w14:val="tx1"/>
                  </w14:solidFill>
                </w14:textFill>
              </w:rPr>
              <w:t>2680</w:t>
            </w:r>
          </w:p>
        </w:tc>
      </w:tr>
    </w:tbl>
    <w:p w14:paraId="36E56B4F">
      <w:pPr>
        <w:spacing w:line="520" w:lineRule="exact"/>
        <w:ind w:left="630" w:hanging="630" w:hangingChars="300"/>
        <w:jc w:val="left"/>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汇总。</w:t>
      </w:r>
      <w:r>
        <w:rPr>
          <w:rFonts w:ascii="Times New Roman" w:hAnsi="Times New Roman" w:cs="Times New Roman"/>
          <w:color w:val="000000" w:themeColor="text1"/>
          <w:sz w:val="21"/>
          <w:szCs w:val="21"/>
          <w14:textFill>
            <w14:solidFill>
              <w14:schemeClr w14:val="tx1"/>
            </w14:solidFill>
          </w14:textFill>
        </w:rPr>
        <w:t>发放问卷</w:t>
      </w:r>
      <w:r>
        <w:rPr>
          <w:rFonts w:hint="eastAsia"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CN"/>
          <w14:textFill>
            <w14:solidFill>
              <w14:schemeClr w14:val="tx1"/>
            </w14:solidFill>
          </w14:textFill>
        </w:rPr>
        <w:t>27</w:t>
      </w:r>
      <w:r>
        <w:rPr>
          <w:rFonts w:ascii="Times New Roman" w:hAnsi="Times New Roman" w:cs="Times New Roman"/>
          <w:color w:val="000000" w:themeColor="text1"/>
          <w:sz w:val="21"/>
          <w:szCs w:val="21"/>
          <w14:textFill>
            <w14:solidFill>
              <w14:schemeClr w14:val="tx1"/>
            </w14:solidFill>
          </w14:textFill>
        </w:rPr>
        <w:t>份</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收回问卷：</w:t>
      </w:r>
      <w:r>
        <w:rPr>
          <w:rFonts w:hint="eastAsia" w:ascii="Times New Roman" w:hAnsi="Times New Roman" w:cs="Times New Roman"/>
          <w:color w:val="000000" w:themeColor="text1"/>
          <w:sz w:val="21"/>
          <w:szCs w:val="21"/>
          <w:lang w:val="en-US" w:eastAsia="zh-CN"/>
          <w14:textFill>
            <w14:solidFill>
              <w14:schemeClr w14:val="tx1"/>
            </w14:solidFill>
          </w14:textFill>
        </w:rPr>
        <w:t>27</w:t>
      </w:r>
      <w:r>
        <w:rPr>
          <w:rFonts w:ascii="Times New Roman" w:hAnsi="Times New Roman" w:cs="Times New Roman"/>
          <w:color w:val="000000" w:themeColor="text1"/>
          <w:sz w:val="21"/>
          <w:szCs w:val="21"/>
          <w14:textFill>
            <w14:solidFill>
              <w14:schemeClr w14:val="tx1"/>
            </w14:solidFill>
          </w14:textFill>
        </w:rPr>
        <w:t>份</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有效问卷：</w:t>
      </w:r>
      <w:r>
        <w:rPr>
          <w:rFonts w:hint="eastAsia" w:ascii="Times New Roman" w:hAnsi="Times New Roman" w:cs="Times New Roman"/>
          <w:color w:val="000000" w:themeColor="text1"/>
          <w:sz w:val="21"/>
          <w:szCs w:val="21"/>
          <w:lang w:val="en-US" w:eastAsia="zh-CN"/>
          <w14:textFill>
            <w14:solidFill>
              <w14:schemeClr w14:val="tx1"/>
            </w14:solidFill>
          </w14:textFill>
        </w:rPr>
        <w:t>27</w:t>
      </w:r>
      <w:r>
        <w:rPr>
          <w:rFonts w:ascii="Times New Roman" w:hAnsi="Times New Roman" w:cs="Times New Roman"/>
          <w:color w:val="000000" w:themeColor="text1"/>
          <w:sz w:val="21"/>
          <w:szCs w:val="21"/>
          <w14:textFill>
            <w14:solidFill>
              <w14:schemeClr w14:val="tx1"/>
            </w14:solidFill>
          </w14:textFill>
        </w:rPr>
        <w:t>份</w:t>
      </w:r>
      <w:r>
        <w:rPr>
          <w:rFonts w:hint="eastAsia" w:ascii="Times New Roman" w:hAnsi="Times New Roman" w:cs="Times New Roman"/>
          <w:color w:val="000000" w:themeColor="text1"/>
          <w:sz w:val="21"/>
          <w:szCs w:val="21"/>
          <w14:textFill>
            <w14:solidFill>
              <w14:schemeClr w14:val="tx1"/>
            </w14:solidFill>
          </w14:textFill>
        </w:rPr>
        <w:t>，平均分：</w:t>
      </w:r>
      <w:r>
        <w:rPr>
          <w:rFonts w:hint="eastAsia" w:ascii="Times New Roman" w:hAnsi="Times New Roman" w:cs="Times New Roman"/>
          <w:color w:val="000000" w:themeColor="text1"/>
          <w:sz w:val="21"/>
          <w:szCs w:val="21"/>
          <w:lang w:val="en-US" w:eastAsia="zh-CN"/>
          <w14:textFill>
            <w14:solidFill>
              <w14:schemeClr w14:val="tx1"/>
            </w14:solidFill>
          </w14:textFill>
        </w:rPr>
        <w:t>99.25</w:t>
      </w:r>
      <w:r>
        <w:rPr>
          <w:rFonts w:hint="eastAsia" w:ascii="Times New Roman" w:hAnsi="Times New Roman" w:cs="Times New Roman"/>
          <w:color w:val="000000" w:themeColor="text1"/>
          <w:sz w:val="21"/>
          <w:szCs w:val="21"/>
          <w14:textFill>
            <w14:solidFill>
              <w14:schemeClr w14:val="tx1"/>
            </w14:solidFill>
          </w14:textFill>
        </w:rPr>
        <w:t xml:space="preserve"> 。</w:t>
      </w:r>
    </w:p>
    <w:p w14:paraId="15BCA3B4">
      <w:pPr>
        <w:ind w:firstLine="640" w:firstLineChars="200"/>
        <w:rPr>
          <w:rFonts w:hint="eastAsia" w:ascii="仿宋_GB2312"/>
        </w:rPr>
      </w:pPr>
    </w:p>
    <w:p w14:paraId="7A54D694">
      <w:pPr>
        <w:ind w:firstLine="640" w:firstLineChars="200"/>
        <w:rPr>
          <w:rFonts w:hint="eastAsia" w:ascii="仿宋_GB2312"/>
        </w:rPr>
      </w:pPr>
    </w:p>
    <w:p w14:paraId="332A7BB7">
      <w:pPr>
        <w:ind w:firstLine="640" w:firstLineChars="200"/>
        <w:rPr>
          <w:rFonts w:hint="eastAsia" w:ascii="仿宋_GB2312"/>
        </w:rPr>
      </w:pPr>
    </w:p>
    <w:p w14:paraId="3472F0AA">
      <w:pPr>
        <w:spacing w:line="520" w:lineRule="exact"/>
        <w:rPr>
          <w:sz w:val="28"/>
          <w:szCs w:val="28"/>
        </w:rPr>
      </w:pPr>
      <w:r>
        <w:rPr>
          <w:rFonts w:hint="eastAsia" w:ascii="黑体" w:hAnsi="黑体" w:eastAsia="黑体"/>
          <w:kern w:val="0"/>
        </w:rPr>
        <w:t>附件5:</w:t>
      </w:r>
      <w:bookmarkStart w:id="0" w:name="_Toc457922895"/>
      <w:r>
        <w:rPr>
          <w:rFonts w:hint="eastAsia" w:ascii="黑体" w:hAnsi="黑体" w:eastAsia="黑体"/>
          <w:kern w:val="0"/>
        </w:rPr>
        <w:t>工作底稿</w:t>
      </w:r>
      <w:bookmarkEnd w:id="0"/>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6770"/>
      </w:tblGrid>
      <w:tr w14:paraId="17EA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64" w:type="dxa"/>
            <w:gridSpan w:val="2"/>
            <w:tcBorders>
              <w:top w:val="nil"/>
              <w:left w:val="nil"/>
              <w:bottom w:val="nil"/>
              <w:right w:val="nil"/>
            </w:tcBorders>
            <w:vAlign w:val="center"/>
          </w:tcPr>
          <w:p w14:paraId="59B57C28">
            <w:pPr>
              <w:spacing w:line="560" w:lineRule="exact"/>
              <w:jc w:val="center"/>
              <w:rPr>
                <w:rFonts w:hint="eastAsia" w:ascii="仿宋_GB2312"/>
                <w:bCs/>
                <w:sz w:val="28"/>
                <w:szCs w:val="28"/>
              </w:rPr>
            </w:pPr>
          </w:p>
          <w:p w14:paraId="5CCD39D5">
            <w:pPr>
              <w:spacing w:line="560" w:lineRule="exact"/>
              <w:jc w:val="center"/>
              <w:rPr>
                <w:rFonts w:hint="eastAsia" w:ascii="仿宋_GB2312"/>
                <w:b/>
                <w:bCs/>
                <w:sz w:val="28"/>
                <w:szCs w:val="28"/>
              </w:rPr>
            </w:pPr>
            <w:r>
              <w:rPr>
                <w:rFonts w:hint="eastAsia" w:ascii="仿宋_GB2312"/>
                <w:bCs/>
                <w:sz w:val="28"/>
                <w:szCs w:val="28"/>
              </w:rPr>
              <w:t>A11“</w:t>
            </w:r>
            <w:bookmarkStart w:id="1" w:name="OLE_LINK2"/>
            <w:r>
              <w:rPr>
                <w:rFonts w:hint="eastAsia" w:ascii="仿宋_GB2312" w:cs="仿宋_GB2312"/>
                <w:bCs/>
                <w:sz w:val="28"/>
                <w:szCs w:val="28"/>
              </w:rPr>
              <w:t>部门战略规划目标的明确性与合理</w:t>
            </w:r>
            <w:bookmarkEnd w:id="1"/>
            <w:r>
              <w:rPr>
                <w:rFonts w:hint="eastAsia" w:ascii="仿宋_GB2312" w:cs="仿宋_GB2312"/>
                <w:bCs/>
                <w:sz w:val="28"/>
                <w:szCs w:val="28"/>
              </w:rPr>
              <w:t>性</w:t>
            </w:r>
            <w:r>
              <w:rPr>
                <w:rFonts w:hint="eastAsia" w:ascii="仿宋_GB2312"/>
                <w:bCs/>
                <w:sz w:val="28"/>
                <w:szCs w:val="28"/>
              </w:rPr>
              <w:t>”</w:t>
            </w:r>
            <w:r>
              <w:rPr>
                <w:rFonts w:hint="eastAsia" w:ascii="仿宋_GB2312" w:cs="仿宋_GB2312"/>
                <w:bCs/>
                <w:sz w:val="28"/>
                <w:szCs w:val="28"/>
              </w:rPr>
              <w:t>评价底稿</w:t>
            </w:r>
          </w:p>
        </w:tc>
      </w:tr>
      <w:tr w14:paraId="6CE3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2"/>
            <w:tcBorders>
              <w:top w:val="nil"/>
              <w:left w:val="nil"/>
              <w:bottom w:val="nil"/>
              <w:right w:val="nil"/>
            </w:tcBorders>
            <w:vAlign w:val="center"/>
          </w:tcPr>
          <w:p w14:paraId="67C5ABCA">
            <w:pPr>
              <w:spacing w:line="560" w:lineRule="exact"/>
              <w:rPr>
                <w:rFonts w:hint="eastAsia" w:ascii="仿宋_GB2312" w:cs="仿宋_GB2312"/>
                <w:sz w:val="28"/>
                <w:szCs w:val="28"/>
              </w:rPr>
            </w:pPr>
            <w:bookmarkStart w:id="2" w:name="OLE_LINK1" w:colFirst="0" w:colLast="0"/>
          </w:p>
          <w:p w14:paraId="02B21035">
            <w:pPr>
              <w:spacing w:line="560" w:lineRule="exact"/>
              <w:rPr>
                <w:rFonts w:hint="eastAsia" w:ascii="仿宋_GB2312"/>
                <w:sz w:val="28"/>
                <w:szCs w:val="28"/>
              </w:rPr>
            </w:pPr>
            <w:r>
              <w:rPr>
                <w:rFonts w:hint="eastAsia" w:ascii="仿宋_GB2312" w:cs="仿宋_GB2312"/>
                <w:sz w:val="28"/>
                <w:szCs w:val="28"/>
              </w:rPr>
              <w:t>项目名称：中共寻甸县委党校</w:t>
            </w:r>
            <w:r>
              <w:rPr>
                <w:rFonts w:hint="eastAsia" w:ascii="仿宋_GB2312"/>
                <w:sz w:val="28"/>
                <w:szCs w:val="28"/>
              </w:rPr>
              <w:t xml:space="preserve"> </w:t>
            </w:r>
            <w:r>
              <w:rPr>
                <w:rFonts w:hint="eastAsia" w:ascii="仿宋_GB2312"/>
                <w:sz w:val="28"/>
                <w:szCs w:val="28"/>
                <w:lang w:val="en-US" w:eastAsia="zh-CN"/>
              </w:rPr>
              <w:t>2024</w:t>
            </w:r>
            <w:r>
              <w:rPr>
                <w:rFonts w:hint="eastAsia" w:ascii="仿宋_GB2312" w:cs="仿宋_GB2312"/>
                <w:sz w:val="28"/>
                <w:szCs w:val="28"/>
              </w:rPr>
              <w:t>年部门整体支出</w:t>
            </w:r>
          </w:p>
        </w:tc>
      </w:tr>
      <w:tr w14:paraId="0AB3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gridSpan w:val="2"/>
            <w:tcBorders>
              <w:top w:val="nil"/>
              <w:left w:val="nil"/>
              <w:right w:val="nil"/>
            </w:tcBorders>
            <w:vAlign w:val="center"/>
          </w:tcPr>
          <w:p w14:paraId="420E0E2C">
            <w:pPr>
              <w:spacing w:line="560" w:lineRule="exact"/>
              <w:rPr>
                <w:rFonts w:hint="eastAsia" w:ascii="仿宋_GB2312"/>
                <w:sz w:val="28"/>
                <w:szCs w:val="28"/>
              </w:rPr>
            </w:pPr>
            <w:r>
              <w:rPr>
                <w:rFonts w:hint="eastAsia" w:ascii="仿宋_GB2312" w:cs="仿宋_GB2312"/>
                <w:sz w:val="28"/>
                <w:szCs w:val="28"/>
              </w:rPr>
              <w:t>评价机构：中共寻甸县委党校</w:t>
            </w:r>
          </w:p>
        </w:tc>
      </w:tr>
      <w:bookmarkEnd w:id="2"/>
      <w:tr w14:paraId="6779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594" w:type="dxa"/>
            <w:vAlign w:val="center"/>
          </w:tcPr>
          <w:p w14:paraId="02A48203">
            <w:pPr>
              <w:spacing w:line="560" w:lineRule="exact"/>
              <w:rPr>
                <w:rFonts w:hint="eastAsia" w:ascii="仿宋_GB2312"/>
                <w:sz w:val="28"/>
                <w:szCs w:val="28"/>
              </w:rPr>
            </w:pPr>
            <w:r>
              <w:rPr>
                <w:rFonts w:hint="eastAsia" w:ascii="仿宋_GB2312"/>
                <w:sz w:val="28"/>
                <w:szCs w:val="28"/>
              </w:rPr>
              <w:t>指标解释</w:t>
            </w:r>
          </w:p>
        </w:tc>
        <w:tc>
          <w:tcPr>
            <w:tcW w:w="6770" w:type="dxa"/>
            <w:vAlign w:val="center"/>
          </w:tcPr>
          <w:p w14:paraId="618F9BE4">
            <w:pPr>
              <w:spacing w:line="560" w:lineRule="exact"/>
              <w:rPr>
                <w:rFonts w:hint="eastAsia" w:ascii="仿宋_GB2312"/>
                <w:sz w:val="28"/>
                <w:szCs w:val="28"/>
              </w:rPr>
            </w:pPr>
            <w:r>
              <w:rPr>
                <w:rFonts w:hint="eastAsia" w:ascii="仿宋_GB2312"/>
                <w:sz w:val="28"/>
                <w:szCs w:val="28"/>
              </w:rPr>
              <w:t>按照《</w:t>
            </w:r>
            <w:r>
              <w:rPr>
                <w:rFonts w:hint="eastAsia" w:ascii="仿宋_GB2312" w:hAnsi="Times New Roman"/>
                <w:sz w:val="28"/>
                <w:szCs w:val="28"/>
              </w:rPr>
              <w:t>附件3</w:t>
            </w:r>
            <w:r>
              <w:rPr>
                <w:rFonts w:hint="eastAsia" w:ascii="仿宋_GB2312"/>
                <w:sz w:val="28"/>
                <w:szCs w:val="28"/>
              </w:rPr>
              <w:t>：中共寻甸县委党校</w:t>
            </w:r>
            <w:r>
              <w:rPr>
                <w:rFonts w:hint="eastAsia" w:ascii="仿宋_GB2312"/>
                <w:sz w:val="28"/>
                <w:szCs w:val="28"/>
                <w:lang w:val="en-US" w:eastAsia="zh-CN"/>
              </w:rPr>
              <w:t>2023</w:t>
            </w:r>
            <w:r>
              <w:rPr>
                <w:rFonts w:hint="eastAsia" w:ascii="仿宋_GB2312"/>
                <w:sz w:val="28"/>
                <w:szCs w:val="28"/>
              </w:rPr>
              <w:t>年部门整体支出绩效评价指标体系》中的“指标解释”进行整体预算绩效自评。</w:t>
            </w:r>
          </w:p>
        </w:tc>
      </w:tr>
      <w:tr w14:paraId="02A6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Merge w:val="restart"/>
            <w:vAlign w:val="center"/>
          </w:tcPr>
          <w:p w14:paraId="433AEAD5">
            <w:pPr>
              <w:spacing w:line="560" w:lineRule="exact"/>
              <w:rPr>
                <w:rFonts w:hint="eastAsia" w:ascii="仿宋_GB2312"/>
                <w:sz w:val="28"/>
                <w:szCs w:val="28"/>
              </w:rPr>
            </w:pPr>
            <w:r>
              <w:rPr>
                <w:rFonts w:hint="eastAsia" w:ascii="仿宋_GB2312"/>
                <w:sz w:val="28"/>
                <w:szCs w:val="28"/>
              </w:rPr>
              <w:t>指标权重</w:t>
            </w:r>
          </w:p>
        </w:tc>
        <w:tc>
          <w:tcPr>
            <w:tcW w:w="6770" w:type="dxa"/>
            <w:vAlign w:val="center"/>
          </w:tcPr>
          <w:p w14:paraId="43B1EB6E">
            <w:pPr>
              <w:spacing w:line="560" w:lineRule="exact"/>
              <w:rPr>
                <w:rFonts w:hint="eastAsia" w:ascii="仿宋_GB2312" w:hAnsi="Times New Roman"/>
                <w:color w:val="000000"/>
                <w:sz w:val="28"/>
                <w:szCs w:val="28"/>
              </w:rPr>
            </w:pPr>
            <w:r>
              <w:rPr>
                <w:rFonts w:hint="eastAsia" w:ascii="仿宋_GB2312" w:hAnsi="Times New Roman"/>
                <w:color w:val="000000"/>
                <w:sz w:val="28"/>
                <w:szCs w:val="28"/>
              </w:rPr>
              <w:t>指标权重100分</w:t>
            </w:r>
          </w:p>
        </w:tc>
      </w:tr>
      <w:tr w14:paraId="602F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Merge w:val="continue"/>
            <w:vAlign w:val="center"/>
          </w:tcPr>
          <w:p w14:paraId="2CC37FE3">
            <w:pPr>
              <w:spacing w:line="560" w:lineRule="exact"/>
              <w:rPr>
                <w:rFonts w:hint="eastAsia" w:ascii="仿宋_GB2312"/>
                <w:sz w:val="28"/>
                <w:szCs w:val="28"/>
              </w:rPr>
            </w:pPr>
          </w:p>
        </w:tc>
        <w:tc>
          <w:tcPr>
            <w:tcW w:w="6770" w:type="dxa"/>
            <w:vAlign w:val="center"/>
          </w:tcPr>
          <w:p w14:paraId="24604004">
            <w:pPr>
              <w:spacing w:line="560" w:lineRule="exact"/>
              <w:rPr>
                <w:rFonts w:hint="eastAsia" w:ascii="仿宋_GB2312" w:hAnsi="Times New Roman"/>
                <w:color w:val="000000"/>
                <w:sz w:val="28"/>
                <w:szCs w:val="28"/>
              </w:rPr>
            </w:pPr>
            <w:r>
              <w:rPr>
                <w:rFonts w:hint="eastAsia" w:ascii="仿宋_GB2312" w:hAnsi="Times New Roman"/>
                <w:color w:val="000000"/>
                <w:sz w:val="28"/>
                <w:szCs w:val="28"/>
              </w:rPr>
              <w:t>指标权重设定的依据、理由：参考</w:t>
            </w:r>
            <w:r>
              <w:rPr>
                <w:rFonts w:hint="eastAsia" w:ascii="仿宋_GB2312" w:hAnsi="Times New Roman"/>
                <w:sz w:val="28"/>
                <w:szCs w:val="28"/>
              </w:rPr>
              <w:t>附件3</w:t>
            </w:r>
          </w:p>
        </w:tc>
      </w:tr>
      <w:tr w14:paraId="53DC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Merge w:val="restart"/>
            <w:vAlign w:val="center"/>
          </w:tcPr>
          <w:p w14:paraId="5D83D8B4">
            <w:pPr>
              <w:spacing w:line="560" w:lineRule="exact"/>
              <w:rPr>
                <w:rFonts w:hint="eastAsia" w:ascii="仿宋_GB2312"/>
                <w:sz w:val="28"/>
                <w:szCs w:val="28"/>
              </w:rPr>
            </w:pPr>
            <w:r>
              <w:rPr>
                <w:rFonts w:hint="eastAsia" w:ascii="仿宋_GB2312"/>
                <w:sz w:val="28"/>
                <w:szCs w:val="28"/>
              </w:rPr>
              <w:t>评价标准</w:t>
            </w:r>
          </w:p>
        </w:tc>
        <w:tc>
          <w:tcPr>
            <w:tcW w:w="6770" w:type="dxa"/>
            <w:vAlign w:val="center"/>
          </w:tcPr>
          <w:p w14:paraId="37FAB2AD">
            <w:pPr>
              <w:spacing w:line="560" w:lineRule="exact"/>
              <w:rPr>
                <w:rFonts w:hint="eastAsia" w:ascii="仿宋_GB2312" w:hAnsi="Times New Roman"/>
                <w:color w:val="000000"/>
                <w:sz w:val="28"/>
                <w:szCs w:val="28"/>
              </w:rPr>
            </w:pPr>
            <w:r>
              <w:rPr>
                <w:rFonts w:hint="eastAsia" w:ascii="仿宋_GB2312" w:hAnsi="Times New Roman"/>
                <w:color w:val="000000"/>
                <w:sz w:val="28"/>
                <w:szCs w:val="28"/>
              </w:rPr>
              <w:t>指标标杆值：参考</w:t>
            </w:r>
            <w:r>
              <w:rPr>
                <w:rFonts w:hint="eastAsia" w:ascii="仿宋_GB2312" w:hAnsi="Times New Roman"/>
                <w:sz w:val="28"/>
                <w:szCs w:val="28"/>
              </w:rPr>
              <w:t>附件3</w:t>
            </w:r>
          </w:p>
        </w:tc>
      </w:tr>
      <w:tr w14:paraId="5E77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94" w:type="dxa"/>
            <w:vMerge w:val="continue"/>
            <w:vAlign w:val="center"/>
          </w:tcPr>
          <w:p w14:paraId="27EF0F26">
            <w:pPr>
              <w:spacing w:line="560" w:lineRule="exact"/>
              <w:rPr>
                <w:rFonts w:hint="eastAsia" w:ascii="仿宋_GB2312"/>
                <w:sz w:val="28"/>
                <w:szCs w:val="28"/>
              </w:rPr>
            </w:pPr>
          </w:p>
        </w:tc>
        <w:tc>
          <w:tcPr>
            <w:tcW w:w="6770" w:type="dxa"/>
            <w:vAlign w:val="center"/>
          </w:tcPr>
          <w:p w14:paraId="0EF138A2">
            <w:pPr>
              <w:spacing w:line="560" w:lineRule="exact"/>
              <w:rPr>
                <w:rFonts w:hint="eastAsia" w:ascii="仿宋_GB2312" w:hAnsi="Times New Roman"/>
                <w:color w:val="000000"/>
                <w:sz w:val="28"/>
                <w:szCs w:val="28"/>
              </w:rPr>
            </w:pPr>
            <w:r>
              <w:rPr>
                <w:rFonts w:hint="eastAsia" w:ascii="仿宋_GB2312" w:hAnsi="Times New Roman"/>
                <w:color w:val="000000"/>
                <w:sz w:val="28"/>
                <w:szCs w:val="28"/>
              </w:rPr>
              <w:t>指标标杆值依据：参考</w:t>
            </w:r>
            <w:r>
              <w:rPr>
                <w:rFonts w:hint="eastAsia" w:ascii="仿宋_GB2312" w:hAnsi="Times New Roman"/>
                <w:sz w:val="28"/>
                <w:szCs w:val="28"/>
              </w:rPr>
              <w:t>附件3</w:t>
            </w:r>
          </w:p>
        </w:tc>
      </w:tr>
      <w:tr w14:paraId="7038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Merge w:val="continue"/>
            <w:vAlign w:val="center"/>
          </w:tcPr>
          <w:p w14:paraId="406B4EF1">
            <w:pPr>
              <w:spacing w:line="560" w:lineRule="exact"/>
              <w:rPr>
                <w:rFonts w:hint="eastAsia" w:ascii="仿宋_GB2312"/>
                <w:sz w:val="28"/>
                <w:szCs w:val="28"/>
              </w:rPr>
            </w:pPr>
          </w:p>
        </w:tc>
        <w:tc>
          <w:tcPr>
            <w:tcW w:w="6770" w:type="dxa"/>
            <w:vAlign w:val="center"/>
          </w:tcPr>
          <w:p w14:paraId="7102D717">
            <w:pPr>
              <w:spacing w:line="560" w:lineRule="exact"/>
              <w:rPr>
                <w:rFonts w:hint="eastAsia" w:ascii="仿宋_GB2312" w:hAnsi="Times New Roman"/>
                <w:color w:val="000000"/>
                <w:sz w:val="28"/>
                <w:szCs w:val="28"/>
              </w:rPr>
            </w:pPr>
            <w:r>
              <w:rPr>
                <w:rFonts w:hint="eastAsia" w:ascii="仿宋_GB2312" w:hAnsi="Times New Roman"/>
                <w:color w:val="000000"/>
                <w:sz w:val="28"/>
                <w:szCs w:val="28"/>
              </w:rPr>
              <w:t>指标评分细则：参考</w:t>
            </w:r>
            <w:r>
              <w:rPr>
                <w:rFonts w:hint="eastAsia" w:ascii="仿宋_GB2312" w:hAnsi="Times New Roman"/>
                <w:sz w:val="28"/>
                <w:szCs w:val="28"/>
              </w:rPr>
              <w:t>附件3</w:t>
            </w:r>
          </w:p>
        </w:tc>
      </w:tr>
      <w:tr w14:paraId="1AA1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Align w:val="center"/>
          </w:tcPr>
          <w:p w14:paraId="7CDC69CC">
            <w:pPr>
              <w:adjustRightInd w:val="0"/>
              <w:snapToGrid w:val="0"/>
              <w:spacing w:line="560" w:lineRule="exact"/>
              <w:jc w:val="center"/>
              <w:rPr>
                <w:rFonts w:hint="eastAsia" w:ascii="仿宋_GB2312"/>
                <w:sz w:val="28"/>
                <w:szCs w:val="28"/>
              </w:rPr>
            </w:pPr>
            <w:r>
              <w:rPr>
                <w:rFonts w:hint="eastAsia" w:ascii="仿宋_GB2312" w:cs="仿宋_GB2312"/>
                <w:sz w:val="28"/>
                <w:szCs w:val="28"/>
              </w:rPr>
              <w:t>数据来源及取数方式</w:t>
            </w:r>
          </w:p>
        </w:tc>
        <w:tc>
          <w:tcPr>
            <w:tcW w:w="6770" w:type="dxa"/>
            <w:vAlign w:val="center"/>
          </w:tcPr>
          <w:p w14:paraId="3C7FC4E8">
            <w:pPr>
              <w:topLinePunct/>
              <w:spacing w:line="560" w:lineRule="exact"/>
              <w:rPr>
                <w:rFonts w:hint="eastAsia" w:ascii="仿宋_GB2312" w:hAnsi="Times New Roman"/>
                <w:color w:val="000000"/>
                <w:sz w:val="28"/>
                <w:szCs w:val="28"/>
              </w:rPr>
            </w:pPr>
            <w:r>
              <w:rPr>
                <w:rFonts w:hint="eastAsia" w:ascii="仿宋_GB2312" w:hAnsi="Times New Roman"/>
                <w:color w:val="000000"/>
                <w:sz w:val="28"/>
                <w:szCs w:val="28"/>
              </w:rPr>
              <w:t>通过评价小组自评的方式，按照</w:t>
            </w:r>
            <w:r>
              <w:rPr>
                <w:rFonts w:hint="eastAsia" w:ascii="仿宋_GB2312" w:hAnsi="Times New Roman"/>
                <w:sz w:val="28"/>
                <w:szCs w:val="28"/>
              </w:rPr>
              <w:t>附件3</w:t>
            </w:r>
            <w:r>
              <w:rPr>
                <w:rFonts w:hint="eastAsia" w:ascii="仿宋_GB2312" w:hAnsi="Times New Roman"/>
                <w:color w:val="000000"/>
                <w:sz w:val="28"/>
                <w:szCs w:val="28"/>
              </w:rPr>
              <w:t>的要求，整理好基础工作台账，做好绩效自评数据来源资料准备。通过绩效自评所需的自评数据指标进行取数，完成整体支出绩效自评工作。</w:t>
            </w:r>
          </w:p>
        </w:tc>
      </w:tr>
      <w:tr w14:paraId="1B7C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Merge w:val="restart"/>
            <w:vAlign w:val="center"/>
          </w:tcPr>
          <w:p w14:paraId="061D1133">
            <w:pPr>
              <w:adjustRightInd w:val="0"/>
              <w:snapToGrid w:val="0"/>
              <w:spacing w:line="560" w:lineRule="exact"/>
              <w:jc w:val="center"/>
              <w:rPr>
                <w:rFonts w:hint="eastAsia" w:ascii="仿宋_GB2312"/>
                <w:sz w:val="28"/>
                <w:szCs w:val="28"/>
              </w:rPr>
            </w:pPr>
            <w:r>
              <w:rPr>
                <w:rFonts w:hint="eastAsia" w:ascii="仿宋_GB2312" w:cs="仿宋_GB2312"/>
                <w:sz w:val="28"/>
                <w:szCs w:val="28"/>
              </w:rPr>
              <w:t>评价结果</w:t>
            </w:r>
          </w:p>
        </w:tc>
        <w:tc>
          <w:tcPr>
            <w:tcW w:w="6770" w:type="dxa"/>
            <w:vAlign w:val="center"/>
          </w:tcPr>
          <w:p w14:paraId="49ACB3A9">
            <w:pPr>
              <w:spacing w:line="560" w:lineRule="exact"/>
              <w:rPr>
                <w:rFonts w:hint="eastAsia" w:ascii="仿宋_GB2312"/>
                <w:sz w:val="28"/>
                <w:szCs w:val="28"/>
              </w:rPr>
            </w:pPr>
            <w:r>
              <w:rPr>
                <w:rFonts w:hint="eastAsia" w:ascii="仿宋_GB2312"/>
                <w:sz w:val="28"/>
                <w:szCs w:val="28"/>
              </w:rPr>
              <w:t>中共寻甸县委党校</w:t>
            </w:r>
            <w:r>
              <w:rPr>
                <w:rFonts w:hint="eastAsia" w:ascii="仿宋_GB2312"/>
                <w:sz w:val="28"/>
                <w:szCs w:val="28"/>
                <w:lang w:val="en-US" w:eastAsia="zh-CN"/>
              </w:rPr>
              <w:t>2024</w:t>
            </w:r>
            <w:r>
              <w:rPr>
                <w:rFonts w:hint="eastAsia" w:ascii="仿宋_GB2312"/>
                <w:sz w:val="28"/>
                <w:szCs w:val="28"/>
              </w:rPr>
              <w:t>年部门整体支出绩效评价指标体系整体支出绩效总评价分100分，自评得分</w:t>
            </w:r>
            <w:r>
              <w:rPr>
                <w:rFonts w:hint="eastAsia" w:ascii="仿宋_GB2312"/>
                <w:sz w:val="28"/>
                <w:szCs w:val="28"/>
                <w:lang w:val="en-US" w:eastAsia="zh-CN"/>
              </w:rPr>
              <w:t>96</w:t>
            </w:r>
            <w:r>
              <w:rPr>
                <w:rFonts w:hint="eastAsia" w:ascii="仿宋_GB2312"/>
                <w:sz w:val="28"/>
                <w:szCs w:val="28"/>
              </w:rPr>
              <w:t>分。整体支出绩效自评为“优秀”。</w:t>
            </w:r>
          </w:p>
        </w:tc>
      </w:tr>
      <w:tr w14:paraId="05B0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vMerge w:val="continue"/>
            <w:vAlign w:val="center"/>
          </w:tcPr>
          <w:p w14:paraId="497B56F9">
            <w:pPr>
              <w:spacing w:line="560" w:lineRule="exact"/>
              <w:jc w:val="center"/>
              <w:rPr>
                <w:rFonts w:hint="eastAsia" w:ascii="仿宋_GB2312"/>
                <w:sz w:val="28"/>
                <w:szCs w:val="28"/>
              </w:rPr>
            </w:pPr>
          </w:p>
        </w:tc>
        <w:tc>
          <w:tcPr>
            <w:tcW w:w="6770" w:type="dxa"/>
            <w:vAlign w:val="center"/>
          </w:tcPr>
          <w:p w14:paraId="06BADD43">
            <w:pPr>
              <w:spacing w:line="560" w:lineRule="exact"/>
              <w:rPr>
                <w:rFonts w:hint="eastAsia" w:ascii="仿宋_GB2312"/>
                <w:sz w:val="28"/>
                <w:szCs w:val="28"/>
              </w:rPr>
            </w:pPr>
            <w:r>
              <w:rPr>
                <w:rFonts w:hint="eastAsia" w:ascii="仿宋_GB2312" w:cs="仿宋_GB2312"/>
                <w:sz w:val="28"/>
                <w:szCs w:val="28"/>
              </w:rPr>
              <w:t>自评得分：</w:t>
            </w:r>
            <w:r>
              <w:rPr>
                <w:rFonts w:hint="eastAsia" w:ascii="仿宋_GB2312"/>
                <w:sz w:val="28"/>
                <w:szCs w:val="28"/>
                <w:lang w:val="en-US" w:eastAsia="zh-CN"/>
              </w:rPr>
              <w:t>96</w:t>
            </w:r>
            <w:r>
              <w:rPr>
                <w:rFonts w:hint="eastAsia" w:ascii="仿宋_GB2312" w:cs="仿宋_GB2312"/>
                <w:sz w:val="28"/>
                <w:szCs w:val="28"/>
              </w:rPr>
              <w:t>分</w:t>
            </w:r>
          </w:p>
        </w:tc>
      </w:tr>
    </w:tbl>
    <w:p w14:paraId="1B67D576">
      <w:pPr>
        <w:ind w:firstLine="640" w:firstLineChars="200"/>
        <w:rPr>
          <w:rFonts w:ascii="仿宋_GB2312"/>
        </w:rPr>
        <w:sectPr>
          <w:pgSz w:w="11906" w:h="16838"/>
          <w:pgMar w:top="1440" w:right="1800" w:bottom="1440" w:left="1800" w:header="851" w:footer="992" w:gutter="0"/>
          <w:cols w:space="425" w:num="1"/>
          <w:docGrid w:type="lines" w:linePitch="312" w:charSpace="0"/>
        </w:sectPr>
      </w:pPr>
    </w:p>
    <w:p w14:paraId="26B94F54">
      <w:pPr>
        <w:rPr>
          <w:rFonts w:hint="eastAsia" w:ascii="仿宋_GB2312"/>
        </w:rPr>
      </w:pPr>
      <w:r>
        <w:rPr>
          <w:rFonts w:hint="eastAsia" w:ascii="仿宋_GB2312"/>
        </w:rPr>
        <w:t>附件6：</w:t>
      </w:r>
    </w:p>
    <w:p w14:paraId="0CADCE05">
      <w:pPr>
        <w:ind w:firstLine="640" w:firstLineChars="200"/>
        <w:jc w:val="center"/>
        <w:rPr>
          <w:rFonts w:hint="eastAsia" w:ascii="黑体" w:eastAsia="黑体"/>
        </w:rPr>
      </w:pPr>
      <w:r>
        <w:rPr>
          <w:rFonts w:hint="eastAsia" w:ascii="黑体" w:eastAsia="黑体"/>
        </w:rPr>
        <w:t>收入支出决算总表</w:t>
      </w:r>
    </w:p>
    <w:p w14:paraId="312B5341">
      <w:pPr>
        <w:jc w:val="left"/>
        <w:rPr>
          <w:rFonts w:hint="eastAsia" w:ascii="仿宋_GB2312"/>
          <w:sz w:val="28"/>
          <w:szCs w:val="28"/>
        </w:rPr>
      </w:pPr>
      <w:r>
        <w:rPr>
          <w:rFonts w:hint="eastAsia" w:ascii="仿宋_GB2312"/>
          <w:sz w:val="28"/>
          <w:szCs w:val="28"/>
        </w:rPr>
        <w:t xml:space="preserve">编制单位：中国共产党寻甸回族彝族自治县委员会党校                   </w:t>
      </w:r>
      <w:r>
        <w:rPr>
          <w:rFonts w:hint="eastAsia" w:ascii="仿宋_GB2312"/>
          <w:sz w:val="28"/>
          <w:szCs w:val="28"/>
          <w:lang w:val="en-US" w:eastAsia="zh-CN"/>
        </w:rPr>
        <w:t>2024</w:t>
      </w:r>
      <w:r>
        <w:rPr>
          <w:rFonts w:ascii="仿宋_GB2312"/>
          <w:sz w:val="28"/>
          <w:szCs w:val="28"/>
        </w:rPr>
        <w:t>年度</w:t>
      </w:r>
      <w:r>
        <w:rPr>
          <w:rFonts w:hint="eastAsia" w:ascii="仿宋_GB2312"/>
          <w:sz w:val="28"/>
          <w:szCs w:val="28"/>
        </w:rPr>
        <w:t xml:space="preserve">                                                      金额单位：万元</w:t>
      </w:r>
    </w:p>
    <w:tbl>
      <w:tblPr>
        <w:tblStyle w:val="11"/>
        <w:tblW w:w="21150" w:type="dxa"/>
        <w:tblInd w:w="0" w:type="dxa"/>
        <w:tblLayout w:type="fixed"/>
        <w:tblCellMar>
          <w:top w:w="0" w:type="dxa"/>
          <w:left w:w="108" w:type="dxa"/>
          <w:bottom w:w="0" w:type="dxa"/>
          <w:right w:w="108" w:type="dxa"/>
        </w:tblCellMar>
      </w:tblPr>
      <w:tblGrid>
        <w:gridCol w:w="3228"/>
        <w:gridCol w:w="639"/>
        <w:gridCol w:w="1231"/>
        <w:gridCol w:w="1231"/>
        <w:gridCol w:w="850"/>
        <w:gridCol w:w="3232"/>
        <w:gridCol w:w="639"/>
        <w:gridCol w:w="1231"/>
        <w:gridCol w:w="1231"/>
        <w:gridCol w:w="838"/>
        <w:gridCol w:w="2847"/>
        <w:gridCol w:w="639"/>
        <w:gridCol w:w="1231"/>
        <w:gridCol w:w="1232"/>
        <w:gridCol w:w="851"/>
      </w:tblGrid>
      <w:tr w14:paraId="1260D945">
        <w:tblPrEx>
          <w:tblCellMar>
            <w:top w:w="0" w:type="dxa"/>
            <w:left w:w="108" w:type="dxa"/>
            <w:bottom w:w="0" w:type="dxa"/>
            <w:right w:w="108" w:type="dxa"/>
          </w:tblCellMar>
        </w:tblPrEx>
        <w:trPr>
          <w:cantSplit/>
          <w:trHeight w:val="340" w:hRule="exact"/>
        </w:trPr>
        <w:tc>
          <w:tcPr>
            <w:tcW w:w="7179" w:type="dxa"/>
            <w:gridSpan w:val="5"/>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2D5155">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收入</w:t>
            </w:r>
          </w:p>
        </w:tc>
        <w:tc>
          <w:tcPr>
            <w:tcW w:w="13971" w:type="dxa"/>
            <w:gridSpan w:val="10"/>
            <w:tcBorders>
              <w:top w:val="single" w:color="000000" w:sz="4" w:space="0"/>
              <w:left w:val="nil"/>
              <w:bottom w:val="single" w:color="000000" w:sz="4" w:space="0"/>
              <w:right w:val="single" w:color="000000" w:sz="8" w:space="0"/>
            </w:tcBorders>
            <w:shd w:val="clear" w:color="FFFFFF" w:fill="FFFFFF"/>
            <w:noWrap/>
            <w:vAlign w:val="center"/>
          </w:tcPr>
          <w:p w14:paraId="14710C81">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支出</w:t>
            </w:r>
          </w:p>
        </w:tc>
      </w:tr>
      <w:tr w14:paraId="26BB84F9">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tcPr>
          <w:p w14:paraId="732A77C1">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项目</w:t>
            </w:r>
          </w:p>
        </w:tc>
        <w:tc>
          <w:tcPr>
            <w:tcW w:w="639" w:type="dxa"/>
            <w:tcBorders>
              <w:top w:val="nil"/>
              <w:left w:val="nil"/>
              <w:bottom w:val="single" w:color="000000" w:sz="4" w:space="0"/>
              <w:right w:val="single" w:color="000000" w:sz="4" w:space="0"/>
            </w:tcBorders>
            <w:shd w:val="clear" w:color="FFFFFF" w:fill="FFFFFF"/>
            <w:noWrap/>
          </w:tcPr>
          <w:p w14:paraId="75884E5F">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行次</w:t>
            </w:r>
          </w:p>
        </w:tc>
        <w:tc>
          <w:tcPr>
            <w:tcW w:w="1231" w:type="dxa"/>
            <w:tcBorders>
              <w:top w:val="nil"/>
              <w:left w:val="nil"/>
              <w:bottom w:val="single" w:color="000000" w:sz="4" w:space="0"/>
              <w:right w:val="single" w:color="000000" w:sz="4" w:space="0"/>
            </w:tcBorders>
            <w:shd w:val="clear" w:color="FFFFFF" w:fill="FFFFFF"/>
            <w:noWrap/>
          </w:tcPr>
          <w:p w14:paraId="51D489A1">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年初预算数</w:t>
            </w:r>
          </w:p>
        </w:tc>
        <w:tc>
          <w:tcPr>
            <w:tcW w:w="1231" w:type="dxa"/>
            <w:tcBorders>
              <w:top w:val="nil"/>
              <w:left w:val="nil"/>
              <w:bottom w:val="single" w:color="000000" w:sz="4" w:space="0"/>
              <w:right w:val="single" w:color="000000" w:sz="4" w:space="0"/>
            </w:tcBorders>
            <w:shd w:val="clear" w:color="FFFFFF" w:fill="FFFFFF"/>
            <w:noWrap/>
          </w:tcPr>
          <w:p w14:paraId="7BCAD4CB">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调整预算数</w:t>
            </w:r>
          </w:p>
        </w:tc>
        <w:tc>
          <w:tcPr>
            <w:tcW w:w="850" w:type="dxa"/>
            <w:tcBorders>
              <w:top w:val="nil"/>
              <w:left w:val="nil"/>
              <w:bottom w:val="single" w:color="000000" w:sz="4" w:space="0"/>
              <w:right w:val="single" w:color="000000" w:sz="4" w:space="0"/>
            </w:tcBorders>
            <w:shd w:val="clear" w:color="FFFFFF" w:fill="FFFFFF"/>
            <w:noWrap/>
          </w:tcPr>
          <w:p w14:paraId="01E989DD">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决算数</w:t>
            </w:r>
          </w:p>
        </w:tc>
        <w:tc>
          <w:tcPr>
            <w:tcW w:w="3232" w:type="dxa"/>
            <w:tcBorders>
              <w:top w:val="nil"/>
              <w:left w:val="nil"/>
              <w:bottom w:val="single" w:color="000000" w:sz="4" w:space="0"/>
              <w:right w:val="single" w:color="000000" w:sz="4" w:space="0"/>
            </w:tcBorders>
            <w:shd w:val="clear" w:color="FFFFFF" w:fill="FFFFFF"/>
            <w:noWrap/>
          </w:tcPr>
          <w:p w14:paraId="4F3FF4FD">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项目</w:t>
            </w:r>
            <w:r>
              <w:rPr>
                <w:rFonts w:ascii="Times New Roman" w:hAnsi="Times New Roman" w:eastAsia="宋体" w:cs="Times New Roman"/>
                <w:color w:val="000000"/>
                <w:kern w:val="0"/>
                <w:sz w:val="18"/>
                <w:szCs w:val="18"/>
              </w:rPr>
              <w:t>(</w:t>
            </w:r>
            <w:r>
              <w:rPr>
                <w:rFonts w:hint="eastAsia" w:ascii="仿宋_GB2312" w:hAnsi="Times New Roman" w:cs="Times New Roman"/>
                <w:color w:val="000000"/>
                <w:kern w:val="0"/>
                <w:sz w:val="18"/>
                <w:szCs w:val="18"/>
              </w:rPr>
              <w:t>按功能分类</w:t>
            </w:r>
            <w:r>
              <w:rPr>
                <w:rFonts w:ascii="Times New Roman" w:hAnsi="Times New Roman" w:eastAsia="宋体" w:cs="Times New Roman"/>
                <w:color w:val="000000"/>
                <w:kern w:val="0"/>
                <w:sz w:val="18"/>
                <w:szCs w:val="18"/>
              </w:rPr>
              <w:t>)</w:t>
            </w:r>
          </w:p>
        </w:tc>
        <w:tc>
          <w:tcPr>
            <w:tcW w:w="639" w:type="dxa"/>
            <w:tcBorders>
              <w:top w:val="nil"/>
              <w:left w:val="nil"/>
              <w:bottom w:val="single" w:color="000000" w:sz="4" w:space="0"/>
              <w:right w:val="single" w:color="000000" w:sz="4" w:space="0"/>
            </w:tcBorders>
            <w:shd w:val="clear" w:color="FFFFFF" w:fill="FFFFFF"/>
            <w:noWrap/>
          </w:tcPr>
          <w:p w14:paraId="3D6E0D43">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行次</w:t>
            </w:r>
          </w:p>
        </w:tc>
        <w:tc>
          <w:tcPr>
            <w:tcW w:w="1231" w:type="dxa"/>
            <w:tcBorders>
              <w:top w:val="nil"/>
              <w:left w:val="nil"/>
              <w:bottom w:val="single" w:color="000000" w:sz="4" w:space="0"/>
              <w:right w:val="single" w:color="000000" w:sz="4" w:space="0"/>
            </w:tcBorders>
            <w:shd w:val="clear" w:color="FFFFFF" w:fill="FFFFFF"/>
            <w:noWrap/>
          </w:tcPr>
          <w:p w14:paraId="71CA6320">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年初预算数</w:t>
            </w:r>
          </w:p>
        </w:tc>
        <w:tc>
          <w:tcPr>
            <w:tcW w:w="1231" w:type="dxa"/>
            <w:tcBorders>
              <w:top w:val="nil"/>
              <w:left w:val="nil"/>
              <w:bottom w:val="single" w:color="000000" w:sz="4" w:space="0"/>
              <w:right w:val="single" w:color="000000" w:sz="4" w:space="0"/>
            </w:tcBorders>
            <w:shd w:val="clear" w:color="FFFFFF" w:fill="FFFFFF"/>
            <w:noWrap/>
          </w:tcPr>
          <w:p w14:paraId="783B4956">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调整预算数</w:t>
            </w:r>
          </w:p>
        </w:tc>
        <w:tc>
          <w:tcPr>
            <w:tcW w:w="838" w:type="dxa"/>
            <w:tcBorders>
              <w:top w:val="nil"/>
              <w:left w:val="nil"/>
              <w:bottom w:val="single" w:color="000000" w:sz="4" w:space="0"/>
              <w:right w:val="single" w:color="000000" w:sz="4" w:space="0"/>
            </w:tcBorders>
            <w:shd w:val="clear" w:color="FFFFFF" w:fill="FFFFFF"/>
            <w:noWrap/>
          </w:tcPr>
          <w:p w14:paraId="49D6F59A">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决算数</w:t>
            </w:r>
          </w:p>
        </w:tc>
        <w:tc>
          <w:tcPr>
            <w:tcW w:w="2847" w:type="dxa"/>
            <w:tcBorders>
              <w:top w:val="nil"/>
              <w:left w:val="nil"/>
              <w:bottom w:val="single" w:color="000000" w:sz="4" w:space="0"/>
              <w:right w:val="single" w:color="000000" w:sz="4" w:space="0"/>
            </w:tcBorders>
            <w:shd w:val="clear" w:color="FFFFFF" w:fill="FFFFFF"/>
            <w:noWrap/>
          </w:tcPr>
          <w:p w14:paraId="7FE053AE">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项目</w:t>
            </w:r>
            <w:r>
              <w:rPr>
                <w:rFonts w:ascii="Times New Roman" w:hAnsi="Times New Roman" w:eastAsia="宋体" w:cs="Times New Roman"/>
                <w:color w:val="000000"/>
                <w:kern w:val="0"/>
                <w:sz w:val="18"/>
                <w:szCs w:val="18"/>
              </w:rPr>
              <w:t>(</w:t>
            </w:r>
            <w:r>
              <w:rPr>
                <w:rFonts w:hint="eastAsia" w:ascii="仿宋_GB2312" w:hAnsi="Times New Roman" w:cs="Times New Roman"/>
                <w:color w:val="000000"/>
                <w:kern w:val="0"/>
                <w:sz w:val="18"/>
                <w:szCs w:val="18"/>
              </w:rPr>
              <w:t>按支出性质和经济分类</w:t>
            </w:r>
            <w:r>
              <w:rPr>
                <w:rFonts w:ascii="Times New Roman" w:hAnsi="Times New Roman" w:eastAsia="宋体" w:cs="Times New Roman"/>
                <w:color w:val="000000"/>
                <w:kern w:val="0"/>
                <w:sz w:val="18"/>
                <w:szCs w:val="18"/>
              </w:rPr>
              <w:t>)</w:t>
            </w:r>
          </w:p>
        </w:tc>
        <w:tc>
          <w:tcPr>
            <w:tcW w:w="639" w:type="dxa"/>
            <w:tcBorders>
              <w:top w:val="nil"/>
              <w:left w:val="nil"/>
              <w:bottom w:val="single" w:color="000000" w:sz="4" w:space="0"/>
              <w:right w:val="single" w:color="000000" w:sz="4" w:space="0"/>
            </w:tcBorders>
            <w:shd w:val="clear" w:color="FFFFFF" w:fill="FFFFFF"/>
            <w:noWrap/>
          </w:tcPr>
          <w:p w14:paraId="4ECD65C4">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行次</w:t>
            </w:r>
          </w:p>
        </w:tc>
        <w:tc>
          <w:tcPr>
            <w:tcW w:w="1231" w:type="dxa"/>
            <w:tcBorders>
              <w:top w:val="nil"/>
              <w:left w:val="nil"/>
              <w:bottom w:val="single" w:color="000000" w:sz="4" w:space="0"/>
              <w:right w:val="single" w:color="000000" w:sz="4" w:space="0"/>
            </w:tcBorders>
            <w:shd w:val="clear" w:color="FFFFFF" w:fill="FFFFFF"/>
            <w:noWrap/>
          </w:tcPr>
          <w:p w14:paraId="4E037D11">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年初预算数</w:t>
            </w:r>
          </w:p>
        </w:tc>
        <w:tc>
          <w:tcPr>
            <w:tcW w:w="1232" w:type="dxa"/>
            <w:tcBorders>
              <w:top w:val="nil"/>
              <w:left w:val="nil"/>
              <w:bottom w:val="single" w:color="000000" w:sz="4" w:space="0"/>
              <w:right w:val="single" w:color="000000" w:sz="4" w:space="0"/>
            </w:tcBorders>
            <w:shd w:val="clear" w:color="FFFFFF" w:fill="FFFFFF"/>
            <w:noWrap/>
          </w:tcPr>
          <w:p w14:paraId="7DDBABB8">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调整预算数</w:t>
            </w:r>
          </w:p>
        </w:tc>
        <w:tc>
          <w:tcPr>
            <w:tcW w:w="851" w:type="dxa"/>
            <w:tcBorders>
              <w:top w:val="nil"/>
              <w:left w:val="nil"/>
              <w:bottom w:val="single" w:color="000000" w:sz="4" w:space="0"/>
              <w:right w:val="single" w:color="000000" w:sz="8" w:space="0"/>
            </w:tcBorders>
            <w:shd w:val="clear" w:color="FFFFFF" w:fill="FFFFFF"/>
            <w:noWrap/>
          </w:tcPr>
          <w:p w14:paraId="71DEF009">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决算数</w:t>
            </w:r>
          </w:p>
        </w:tc>
      </w:tr>
      <w:tr w14:paraId="32FC8DEE">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35B56170">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栏次</w:t>
            </w:r>
          </w:p>
        </w:tc>
        <w:tc>
          <w:tcPr>
            <w:tcW w:w="639" w:type="dxa"/>
            <w:tcBorders>
              <w:top w:val="nil"/>
              <w:left w:val="nil"/>
              <w:bottom w:val="single" w:color="000000" w:sz="4" w:space="0"/>
              <w:right w:val="single" w:color="000000" w:sz="4" w:space="0"/>
            </w:tcBorders>
            <w:shd w:val="clear" w:color="FFFFFF" w:fill="FFFFFF"/>
            <w:noWrap/>
            <w:vAlign w:val="center"/>
          </w:tcPr>
          <w:p w14:paraId="10C56205">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FFFFFF" w:fill="FFFFFF"/>
            <w:noWrap/>
            <w:vAlign w:val="center"/>
          </w:tcPr>
          <w:p w14:paraId="2A94F3B3">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1231" w:type="dxa"/>
            <w:tcBorders>
              <w:top w:val="nil"/>
              <w:left w:val="nil"/>
              <w:bottom w:val="single" w:color="000000" w:sz="4" w:space="0"/>
              <w:right w:val="single" w:color="000000" w:sz="4" w:space="0"/>
            </w:tcBorders>
            <w:shd w:val="clear" w:color="FFFFFF" w:fill="FFFFFF"/>
            <w:noWrap/>
            <w:vAlign w:val="center"/>
          </w:tcPr>
          <w:p w14:paraId="44D0110A">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850" w:type="dxa"/>
            <w:tcBorders>
              <w:top w:val="nil"/>
              <w:left w:val="nil"/>
              <w:bottom w:val="single" w:color="000000" w:sz="4" w:space="0"/>
              <w:right w:val="single" w:color="000000" w:sz="4" w:space="0"/>
            </w:tcBorders>
            <w:shd w:val="clear" w:color="FFFFFF" w:fill="FFFFFF"/>
            <w:noWrap/>
            <w:vAlign w:val="center"/>
          </w:tcPr>
          <w:p w14:paraId="7CA3ABEC">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p>
        </w:tc>
        <w:tc>
          <w:tcPr>
            <w:tcW w:w="3232" w:type="dxa"/>
            <w:tcBorders>
              <w:top w:val="nil"/>
              <w:left w:val="nil"/>
              <w:bottom w:val="single" w:color="000000" w:sz="4" w:space="0"/>
              <w:right w:val="single" w:color="000000" w:sz="4" w:space="0"/>
            </w:tcBorders>
            <w:shd w:val="clear" w:color="FFFFFF" w:fill="FFFFFF"/>
            <w:noWrap/>
            <w:vAlign w:val="center"/>
          </w:tcPr>
          <w:p w14:paraId="3EC16163">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栏次</w:t>
            </w:r>
          </w:p>
        </w:tc>
        <w:tc>
          <w:tcPr>
            <w:tcW w:w="639" w:type="dxa"/>
            <w:tcBorders>
              <w:top w:val="nil"/>
              <w:left w:val="nil"/>
              <w:bottom w:val="single" w:color="000000" w:sz="4" w:space="0"/>
              <w:right w:val="single" w:color="000000" w:sz="4" w:space="0"/>
            </w:tcBorders>
            <w:shd w:val="clear" w:color="FFFFFF" w:fill="FFFFFF"/>
            <w:noWrap/>
            <w:vAlign w:val="center"/>
          </w:tcPr>
          <w:p w14:paraId="06C2E30C">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FFFFFF" w:fill="FFFFFF"/>
            <w:noWrap/>
            <w:vAlign w:val="center"/>
          </w:tcPr>
          <w:p w14:paraId="6799177E">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1231" w:type="dxa"/>
            <w:tcBorders>
              <w:top w:val="nil"/>
              <w:left w:val="nil"/>
              <w:bottom w:val="single" w:color="000000" w:sz="4" w:space="0"/>
              <w:right w:val="single" w:color="000000" w:sz="4" w:space="0"/>
            </w:tcBorders>
            <w:shd w:val="clear" w:color="FFFFFF" w:fill="FFFFFF"/>
            <w:noWrap/>
            <w:vAlign w:val="center"/>
          </w:tcPr>
          <w:p w14:paraId="30191B4D">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w:t>
            </w:r>
          </w:p>
        </w:tc>
        <w:tc>
          <w:tcPr>
            <w:tcW w:w="838" w:type="dxa"/>
            <w:tcBorders>
              <w:top w:val="nil"/>
              <w:left w:val="nil"/>
              <w:bottom w:val="single" w:color="000000" w:sz="4" w:space="0"/>
              <w:right w:val="single" w:color="000000" w:sz="4" w:space="0"/>
            </w:tcBorders>
            <w:shd w:val="clear" w:color="FFFFFF" w:fill="FFFFFF"/>
            <w:noWrap/>
            <w:vAlign w:val="center"/>
          </w:tcPr>
          <w:p w14:paraId="6F48F56A">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w:t>
            </w:r>
          </w:p>
        </w:tc>
        <w:tc>
          <w:tcPr>
            <w:tcW w:w="2847" w:type="dxa"/>
            <w:tcBorders>
              <w:top w:val="nil"/>
              <w:left w:val="nil"/>
              <w:bottom w:val="single" w:color="000000" w:sz="4" w:space="0"/>
              <w:right w:val="single" w:color="000000" w:sz="4" w:space="0"/>
            </w:tcBorders>
            <w:shd w:val="clear" w:color="FFFFFF" w:fill="FFFFFF"/>
            <w:noWrap/>
            <w:vAlign w:val="center"/>
          </w:tcPr>
          <w:p w14:paraId="260C91E0">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栏次</w:t>
            </w:r>
          </w:p>
        </w:tc>
        <w:tc>
          <w:tcPr>
            <w:tcW w:w="639" w:type="dxa"/>
            <w:tcBorders>
              <w:top w:val="nil"/>
              <w:left w:val="nil"/>
              <w:bottom w:val="single" w:color="000000" w:sz="4" w:space="0"/>
              <w:right w:val="single" w:color="000000" w:sz="4" w:space="0"/>
            </w:tcBorders>
            <w:shd w:val="clear" w:color="FFFFFF" w:fill="FFFFFF"/>
            <w:noWrap/>
            <w:vAlign w:val="center"/>
          </w:tcPr>
          <w:p w14:paraId="346455FF">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FFFFFF" w:fill="FFFFFF"/>
            <w:noWrap/>
            <w:vAlign w:val="center"/>
          </w:tcPr>
          <w:p w14:paraId="5F6A2E89">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w:t>
            </w:r>
          </w:p>
        </w:tc>
        <w:tc>
          <w:tcPr>
            <w:tcW w:w="1232" w:type="dxa"/>
            <w:tcBorders>
              <w:top w:val="nil"/>
              <w:left w:val="nil"/>
              <w:bottom w:val="single" w:color="000000" w:sz="4" w:space="0"/>
              <w:right w:val="single" w:color="000000" w:sz="4" w:space="0"/>
            </w:tcBorders>
            <w:shd w:val="clear" w:color="FFFFFF" w:fill="FFFFFF"/>
            <w:noWrap/>
            <w:vAlign w:val="center"/>
          </w:tcPr>
          <w:p w14:paraId="150478B7">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w:t>
            </w:r>
          </w:p>
        </w:tc>
        <w:tc>
          <w:tcPr>
            <w:tcW w:w="851" w:type="dxa"/>
            <w:tcBorders>
              <w:top w:val="nil"/>
              <w:left w:val="nil"/>
              <w:bottom w:val="single" w:color="000000" w:sz="4" w:space="0"/>
              <w:right w:val="single" w:color="000000" w:sz="8" w:space="0"/>
            </w:tcBorders>
            <w:shd w:val="clear" w:color="FFFFFF" w:fill="FFFFFF"/>
            <w:noWrap/>
            <w:vAlign w:val="center"/>
          </w:tcPr>
          <w:p w14:paraId="3F37F7F9">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w:t>
            </w:r>
          </w:p>
        </w:tc>
      </w:tr>
      <w:tr w14:paraId="6AEFD919">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6C357E70">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一、一般公共预算财政拨款收入</w:t>
            </w:r>
          </w:p>
        </w:tc>
        <w:tc>
          <w:tcPr>
            <w:tcW w:w="639" w:type="dxa"/>
            <w:tcBorders>
              <w:top w:val="nil"/>
              <w:left w:val="nil"/>
              <w:bottom w:val="single" w:color="000000" w:sz="4" w:space="0"/>
              <w:right w:val="single" w:color="000000" w:sz="4" w:space="0"/>
            </w:tcBorders>
            <w:shd w:val="clear" w:color="FFFFFF" w:fill="FFFFFF"/>
            <w:noWrap/>
            <w:vAlign w:val="center"/>
          </w:tcPr>
          <w:p w14:paraId="3203E378">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1231" w:type="dxa"/>
            <w:tcBorders>
              <w:top w:val="nil"/>
              <w:left w:val="nil"/>
              <w:bottom w:val="single" w:color="000000" w:sz="4" w:space="0"/>
              <w:right w:val="single" w:color="000000" w:sz="4" w:space="0"/>
            </w:tcBorders>
            <w:shd w:val="clear" w:color="000000" w:fill="FFFFFF"/>
            <w:noWrap/>
            <w:vAlign w:val="center"/>
          </w:tcPr>
          <w:p w14:paraId="64CA55AF">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475.96</w:t>
            </w:r>
          </w:p>
        </w:tc>
        <w:tc>
          <w:tcPr>
            <w:tcW w:w="1231" w:type="dxa"/>
            <w:tcBorders>
              <w:top w:val="nil"/>
              <w:left w:val="nil"/>
              <w:bottom w:val="single" w:color="000000" w:sz="4" w:space="0"/>
              <w:right w:val="single" w:color="000000" w:sz="4" w:space="0"/>
            </w:tcBorders>
            <w:shd w:val="clear" w:color="000000" w:fill="FFFFFF"/>
            <w:noWrap/>
            <w:vAlign w:val="center"/>
          </w:tcPr>
          <w:p w14:paraId="07BDC0AF">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560.16</w:t>
            </w:r>
          </w:p>
        </w:tc>
        <w:tc>
          <w:tcPr>
            <w:tcW w:w="850" w:type="dxa"/>
            <w:tcBorders>
              <w:top w:val="nil"/>
              <w:left w:val="nil"/>
              <w:bottom w:val="single" w:color="000000" w:sz="4" w:space="0"/>
              <w:right w:val="single" w:color="000000" w:sz="4" w:space="0"/>
            </w:tcBorders>
            <w:shd w:val="clear" w:color="000000" w:fill="FFFFFF"/>
            <w:noWrap/>
            <w:vAlign w:val="center"/>
          </w:tcPr>
          <w:p w14:paraId="596F337F">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560.16</w:t>
            </w:r>
          </w:p>
        </w:tc>
        <w:tc>
          <w:tcPr>
            <w:tcW w:w="3232" w:type="dxa"/>
            <w:tcBorders>
              <w:top w:val="nil"/>
              <w:left w:val="nil"/>
              <w:bottom w:val="single" w:color="000000" w:sz="4" w:space="0"/>
              <w:right w:val="single" w:color="000000" w:sz="4" w:space="0"/>
            </w:tcBorders>
            <w:shd w:val="clear" w:color="FFFFFF" w:fill="FFFFFF"/>
            <w:noWrap/>
            <w:vAlign w:val="center"/>
          </w:tcPr>
          <w:p w14:paraId="648FE03F">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一、一般公共服务支出</w:t>
            </w:r>
          </w:p>
        </w:tc>
        <w:tc>
          <w:tcPr>
            <w:tcW w:w="639" w:type="dxa"/>
            <w:tcBorders>
              <w:top w:val="nil"/>
              <w:left w:val="nil"/>
              <w:bottom w:val="single" w:color="000000" w:sz="4" w:space="0"/>
              <w:right w:val="single" w:color="000000" w:sz="4" w:space="0"/>
            </w:tcBorders>
            <w:shd w:val="clear" w:color="FFFFFF" w:fill="FFFFFF"/>
            <w:noWrap/>
            <w:vAlign w:val="center"/>
          </w:tcPr>
          <w:p w14:paraId="648D7B3C">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w:t>
            </w:r>
          </w:p>
        </w:tc>
        <w:tc>
          <w:tcPr>
            <w:tcW w:w="1231" w:type="dxa"/>
            <w:tcBorders>
              <w:top w:val="nil"/>
              <w:left w:val="nil"/>
              <w:bottom w:val="single" w:color="000000" w:sz="4" w:space="0"/>
              <w:right w:val="single" w:color="000000" w:sz="4" w:space="0"/>
            </w:tcBorders>
            <w:shd w:val="clear" w:color="000000" w:fill="FFFFFF"/>
            <w:noWrap/>
            <w:vAlign w:val="center"/>
          </w:tcPr>
          <w:p w14:paraId="23D899A0">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5D5498EC">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4C81F7EF">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3B2A649D">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一、基本支出</w:t>
            </w:r>
          </w:p>
        </w:tc>
        <w:tc>
          <w:tcPr>
            <w:tcW w:w="639" w:type="dxa"/>
            <w:tcBorders>
              <w:top w:val="nil"/>
              <w:left w:val="nil"/>
              <w:bottom w:val="single" w:color="000000" w:sz="4" w:space="0"/>
              <w:right w:val="single" w:color="000000" w:sz="4" w:space="0"/>
            </w:tcBorders>
            <w:shd w:val="clear" w:color="FFFFFF" w:fill="FFFFFF"/>
            <w:noWrap/>
            <w:vAlign w:val="center"/>
          </w:tcPr>
          <w:p w14:paraId="46D50019">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56</w:t>
            </w:r>
          </w:p>
        </w:tc>
        <w:tc>
          <w:tcPr>
            <w:tcW w:w="1231" w:type="dxa"/>
            <w:tcBorders>
              <w:top w:val="nil"/>
              <w:left w:val="nil"/>
              <w:bottom w:val="single" w:color="000000" w:sz="4" w:space="0"/>
              <w:right w:val="single" w:color="000000" w:sz="4" w:space="0"/>
            </w:tcBorders>
            <w:shd w:val="clear" w:color="000000" w:fill="FFFFFF"/>
            <w:noWrap/>
            <w:vAlign w:val="center"/>
          </w:tcPr>
          <w:p w14:paraId="07578DBA">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440.96</w:t>
            </w:r>
          </w:p>
        </w:tc>
        <w:tc>
          <w:tcPr>
            <w:tcW w:w="1232" w:type="dxa"/>
            <w:tcBorders>
              <w:top w:val="nil"/>
              <w:left w:val="nil"/>
              <w:bottom w:val="single" w:color="000000" w:sz="4" w:space="0"/>
              <w:right w:val="single" w:color="000000" w:sz="4" w:space="0"/>
            </w:tcBorders>
            <w:shd w:val="clear" w:color="000000" w:fill="FFFFFF"/>
            <w:noWrap/>
            <w:vAlign w:val="center"/>
          </w:tcPr>
          <w:p w14:paraId="3ED1CBFB">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456.78</w:t>
            </w:r>
          </w:p>
        </w:tc>
        <w:tc>
          <w:tcPr>
            <w:tcW w:w="851" w:type="dxa"/>
            <w:tcBorders>
              <w:top w:val="nil"/>
              <w:left w:val="nil"/>
              <w:bottom w:val="single" w:color="000000" w:sz="4" w:space="0"/>
              <w:right w:val="single" w:color="000000" w:sz="8" w:space="0"/>
            </w:tcBorders>
            <w:shd w:val="clear" w:color="000000" w:fill="FFFFFF"/>
            <w:noWrap/>
            <w:vAlign w:val="center"/>
          </w:tcPr>
          <w:p w14:paraId="0B5DBAAD">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456.78</w:t>
            </w:r>
          </w:p>
        </w:tc>
      </w:tr>
      <w:tr w14:paraId="40F583C2">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6A223ED2">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二、政府性基金预算财政拨款收入</w:t>
            </w:r>
          </w:p>
        </w:tc>
        <w:tc>
          <w:tcPr>
            <w:tcW w:w="639" w:type="dxa"/>
            <w:tcBorders>
              <w:top w:val="nil"/>
              <w:left w:val="nil"/>
              <w:bottom w:val="single" w:color="000000" w:sz="4" w:space="0"/>
              <w:right w:val="single" w:color="000000" w:sz="4" w:space="0"/>
            </w:tcBorders>
            <w:shd w:val="clear" w:color="FFFFFF" w:fill="FFFFFF"/>
            <w:noWrap/>
            <w:vAlign w:val="center"/>
          </w:tcPr>
          <w:p w14:paraId="42AF55F0">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1231" w:type="dxa"/>
            <w:tcBorders>
              <w:top w:val="nil"/>
              <w:left w:val="nil"/>
              <w:bottom w:val="single" w:color="000000" w:sz="4" w:space="0"/>
              <w:right w:val="single" w:color="000000" w:sz="4" w:space="0"/>
            </w:tcBorders>
            <w:shd w:val="clear" w:color="000000" w:fill="FFFFFF"/>
            <w:noWrap/>
            <w:vAlign w:val="center"/>
          </w:tcPr>
          <w:p w14:paraId="10B4A27C">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2990EFB4">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3E0E3287">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498F14A8">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二、外交支出</w:t>
            </w:r>
          </w:p>
        </w:tc>
        <w:tc>
          <w:tcPr>
            <w:tcW w:w="639" w:type="dxa"/>
            <w:tcBorders>
              <w:top w:val="nil"/>
              <w:left w:val="nil"/>
              <w:bottom w:val="single" w:color="000000" w:sz="4" w:space="0"/>
              <w:right w:val="single" w:color="000000" w:sz="4" w:space="0"/>
            </w:tcBorders>
            <w:shd w:val="clear" w:color="FFFFFF" w:fill="FFFFFF"/>
            <w:noWrap/>
            <w:vAlign w:val="center"/>
          </w:tcPr>
          <w:p w14:paraId="0228563C">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32</w:t>
            </w:r>
          </w:p>
        </w:tc>
        <w:tc>
          <w:tcPr>
            <w:tcW w:w="1231" w:type="dxa"/>
            <w:tcBorders>
              <w:top w:val="nil"/>
              <w:left w:val="nil"/>
              <w:bottom w:val="single" w:color="000000" w:sz="4" w:space="0"/>
              <w:right w:val="single" w:color="000000" w:sz="4" w:space="0"/>
            </w:tcBorders>
            <w:shd w:val="clear" w:color="000000" w:fill="FFFFFF"/>
            <w:noWrap/>
            <w:vAlign w:val="center"/>
          </w:tcPr>
          <w:p w14:paraId="7F93CC00">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18B93054">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669B9F2F">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4AD29D15">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cs="Times New Roman"/>
                <w:color w:val="000000"/>
                <w:kern w:val="0"/>
                <w:sz w:val="18"/>
                <w:szCs w:val="18"/>
              </w:rPr>
              <w:t>人员经费</w:t>
            </w:r>
          </w:p>
        </w:tc>
        <w:tc>
          <w:tcPr>
            <w:tcW w:w="639" w:type="dxa"/>
            <w:tcBorders>
              <w:top w:val="nil"/>
              <w:left w:val="nil"/>
              <w:bottom w:val="single" w:color="000000" w:sz="4" w:space="0"/>
              <w:right w:val="single" w:color="000000" w:sz="4" w:space="0"/>
            </w:tcBorders>
            <w:shd w:val="clear" w:color="FFFFFF" w:fill="FFFFFF"/>
            <w:noWrap/>
            <w:vAlign w:val="center"/>
          </w:tcPr>
          <w:p w14:paraId="35900687">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57</w:t>
            </w:r>
          </w:p>
        </w:tc>
        <w:tc>
          <w:tcPr>
            <w:tcW w:w="1231" w:type="dxa"/>
            <w:tcBorders>
              <w:top w:val="nil"/>
              <w:left w:val="nil"/>
              <w:bottom w:val="single" w:color="000000" w:sz="4" w:space="0"/>
              <w:right w:val="single" w:color="000000" w:sz="4" w:space="0"/>
            </w:tcBorders>
            <w:shd w:val="clear" w:color="000000" w:fill="FFFFFF"/>
            <w:noWrap/>
            <w:vAlign w:val="center"/>
          </w:tcPr>
          <w:p w14:paraId="033E4AB4">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421.53</w:t>
            </w:r>
          </w:p>
        </w:tc>
        <w:tc>
          <w:tcPr>
            <w:tcW w:w="1232" w:type="dxa"/>
            <w:tcBorders>
              <w:top w:val="nil"/>
              <w:left w:val="nil"/>
              <w:bottom w:val="single" w:color="000000" w:sz="4" w:space="0"/>
              <w:right w:val="single" w:color="000000" w:sz="4" w:space="0"/>
            </w:tcBorders>
            <w:shd w:val="clear" w:color="000000" w:fill="FFFFFF"/>
            <w:noWrap/>
            <w:vAlign w:val="center"/>
          </w:tcPr>
          <w:p w14:paraId="0545452C">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437.43</w:t>
            </w:r>
          </w:p>
          <w:p w14:paraId="28507339">
            <w:pPr>
              <w:pStyle w:val="2"/>
              <w:rPr>
                <w:rFonts w:hint="default"/>
                <w:lang w:val="en-US" w:eastAsia="zh-CN"/>
              </w:rPr>
            </w:pPr>
            <w:r>
              <w:rPr>
                <w:rFonts w:hint="eastAsia" w:ascii="Times New Roman" w:hAnsi="Times New Roman" w:cs="Times New Roman"/>
                <w:color w:val="000000"/>
                <w:kern w:val="0"/>
                <w:sz w:val="18"/>
                <w:szCs w:val="18"/>
                <w:lang w:val="en-US" w:eastAsia="zh-CN"/>
              </w:rPr>
              <w:t>7.43</w:t>
            </w:r>
          </w:p>
        </w:tc>
        <w:tc>
          <w:tcPr>
            <w:tcW w:w="851" w:type="dxa"/>
            <w:tcBorders>
              <w:top w:val="nil"/>
              <w:left w:val="nil"/>
              <w:bottom w:val="single" w:color="000000" w:sz="4" w:space="0"/>
              <w:right w:val="single" w:color="000000" w:sz="8" w:space="0"/>
            </w:tcBorders>
            <w:shd w:val="clear" w:color="000000" w:fill="FFFFFF"/>
            <w:noWrap/>
            <w:vAlign w:val="center"/>
          </w:tcPr>
          <w:p w14:paraId="076D5EB1">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437.43</w:t>
            </w:r>
          </w:p>
          <w:p w14:paraId="0D0A2485">
            <w:pPr>
              <w:pStyle w:val="2"/>
              <w:rPr>
                <w:rFonts w:hint="default" w:ascii="Times New Roman" w:hAnsi="Times New Roman" w:eastAsia="宋体" w:cs="Times New Roman"/>
                <w:color w:val="000000"/>
                <w:kern w:val="0"/>
                <w:sz w:val="18"/>
                <w:szCs w:val="18"/>
                <w:lang w:val="en-US" w:eastAsia="zh-CN"/>
              </w:rPr>
            </w:pPr>
            <w:r>
              <w:rPr>
                <w:rFonts w:hint="eastAsia" w:ascii="Times New Roman" w:hAnsi="Times New Roman" w:cs="Times New Roman"/>
                <w:color w:val="000000"/>
                <w:kern w:val="0"/>
                <w:sz w:val="18"/>
                <w:szCs w:val="18"/>
                <w:lang w:val="en-US" w:eastAsia="zh-CN"/>
              </w:rPr>
              <w:t>7.43</w:t>
            </w:r>
          </w:p>
        </w:tc>
      </w:tr>
      <w:tr w14:paraId="08CA8ACE">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6C77B8E4">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三、上级补助收入</w:t>
            </w:r>
          </w:p>
        </w:tc>
        <w:tc>
          <w:tcPr>
            <w:tcW w:w="639" w:type="dxa"/>
            <w:tcBorders>
              <w:top w:val="nil"/>
              <w:left w:val="nil"/>
              <w:bottom w:val="single" w:color="000000" w:sz="4" w:space="0"/>
              <w:right w:val="single" w:color="000000" w:sz="4" w:space="0"/>
            </w:tcBorders>
            <w:shd w:val="clear" w:color="FFFFFF" w:fill="FFFFFF"/>
            <w:noWrap/>
            <w:vAlign w:val="center"/>
          </w:tcPr>
          <w:p w14:paraId="4E23A70E">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p>
        </w:tc>
        <w:tc>
          <w:tcPr>
            <w:tcW w:w="1231" w:type="dxa"/>
            <w:tcBorders>
              <w:top w:val="nil"/>
              <w:left w:val="nil"/>
              <w:bottom w:val="single" w:color="000000" w:sz="4" w:space="0"/>
              <w:right w:val="single" w:color="000000" w:sz="4" w:space="0"/>
            </w:tcBorders>
            <w:shd w:val="clear" w:color="000000" w:fill="FFFFFF"/>
            <w:noWrap/>
            <w:vAlign w:val="center"/>
          </w:tcPr>
          <w:p w14:paraId="14B5850C">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7860E186">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6E3CCE9D">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7864EEB4">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三、国防支出</w:t>
            </w:r>
          </w:p>
        </w:tc>
        <w:tc>
          <w:tcPr>
            <w:tcW w:w="639" w:type="dxa"/>
            <w:tcBorders>
              <w:top w:val="nil"/>
              <w:left w:val="nil"/>
              <w:bottom w:val="single" w:color="000000" w:sz="4" w:space="0"/>
              <w:right w:val="single" w:color="000000" w:sz="4" w:space="0"/>
            </w:tcBorders>
            <w:shd w:val="clear" w:color="FFFFFF" w:fill="FFFFFF"/>
            <w:noWrap/>
            <w:vAlign w:val="center"/>
          </w:tcPr>
          <w:p w14:paraId="1BF76E24">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33</w:t>
            </w:r>
          </w:p>
        </w:tc>
        <w:tc>
          <w:tcPr>
            <w:tcW w:w="1231" w:type="dxa"/>
            <w:tcBorders>
              <w:top w:val="nil"/>
              <w:left w:val="nil"/>
              <w:bottom w:val="single" w:color="000000" w:sz="4" w:space="0"/>
              <w:right w:val="single" w:color="000000" w:sz="4" w:space="0"/>
            </w:tcBorders>
            <w:shd w:val="clear" w:color="000000" w:fill="FFFFFF"/>
            <w:noWrap/>
            <w:vAlign w:val="center"/>
          </w:tcPr>
          <w:p w14:paraId="01F83EC7">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07080837">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0C67887F">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68695521">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cs="Times New Roman"/>
                <w:color w:val="000000"/>
                <w:kern w:val="0"/>
                <w:sz w:val="18"/>
                <w:szCs w:val="18"/>
              </w:rPr>
              <w:t>日常公用经费</w:t>
            </w:r>
          </w:p>
        </w:tc>
        <w:tc>
          <w:tcPr>
            <w:tcW w:w="639" w:type="dxa"/>
            <w:tcBorders>
              <w:top w:val="nil"/>
              <w:left w:val="nil"/>
              <w:bottom w:val="single" w:color="000000" w:sz="4" w:space="0"/>
              <w:right w:val="single" w:color="000000" w:sz="4" w:space="0"/>
            </w:tcBorders>
            <w:shd w:val="clear" w:color="FFFFFF" w:fill="FFFFFF"/>
            <w:noWrap/>
            <w:vAlign w:val="center"/>
          </w:tcPr>
          <w:p w14:paraId="5727820F">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58</w:t>
            </w:r>
          </w:p>
        </w:tc>
        <w:tc>
          <w:tcPr>
            <w:tcW w:w="1231" w:type="dxa"/>
            <w:tcBorders>
              <w:top w:val="nil"/>
              <w:left w:val="nil"/>
              <w:bottom w:val="single" w:color="000000" w:sz="4" w:space="0"/>
              <w:right w:val="single" w:color="000000" w:sz="4" w:space="0"/>
            </w:tcBorders>
            <w:shd w:val="clear" w:color="000000" w:fill="FFFFFF"/>
            <w:noWrap/>
            <w:vAlign w:val="center"/>
          </w:tcPr>
          <w:p w14:paraId="1A1F218A">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19.43</w:t>
            </w:r>
          </w:p>
        </w:tc>
        <w:tc>
          <w:tcPr>
            <w:tcW w:w="1232" w:type="dxa"/>
            <w:tcBorders>
              <w:top w:val="nil"/>
              <w:left w:val="nil"/>
              <w:bottom w:val="single" w:color="000000" w:sz="4" w:space="0"/>
              <w:right w:val="single" w:color="000000" w:sz="4" w:space="0"/>
            </w:tcBorders>
            <w:shd w:val="clear" w:color="000000" w:fill="FFFFFF"/>
            <w:noWrap/>
            <w:vAlign w:val="center"/>
          </w:tcPr>
          <w:p w14:paraId="22A1A165">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19.35</w:t>
            </w:r>
          </w:p>
        </w:tc>
        <w:tc>
          <w:tcPr>
            <w:tcW w:w="851" w:type="dxa"/>
            <w:tcBorders>
              <w:top w:val="nil"/>
              <w:left w:val="nil"/>
              <w:bottom w:val="single" w:color="000000" w:sz="4" w:space="0"/>
              <w:right w:val="single" w:color="000000" w:sz="8" w:space="0"/>
            </w:tcBorders>
            <w:shd w:val="clear" w:color="000000" w:fill="FFFFFF"/>
            <w:noWrap/>
            <w:vAlign w:val="center"/>
          </w:tcPr>
          <w:p w14:paraId="4CD60A6B">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19.35</w:t>
            </w:r>
          </w:p>
        </w:tc>
      </w:tr>
      <w:tr w14:paraId="589C054D">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69ECA8C5">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四、事业收入</w:t>
            </w:r>
          </w:p>
        </w:tc>
        <w:tc>
          <w:tcPr>
            <w:tcW w:w="639" w:type="dxa"/>
            <w:tcBorders>
              <w:top w:val="nil"/>
              <w:left w:val="nil"/>
              <w:bottom w:val="single" w:color="000000" w:sz="4" w:space="0"/>
              <w:right w:val="single" w:color="000000" w:sz="4" w:space="0"/>
            </w:tcBorders>
            <w:shd w:val="clear" w:color="FFFFFF" w:fill="FFFFFF"/>
            <w:noWrap/>
            <w:vAlign w:val="center"/>
          </w:tcPr>
          <w:p w14:paraId="552997B4">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1231" w:type="dxa"/>
            <w:tcBorders>
              <w:top w:val="nil"/>
              <w:left w:val="nil"/>
              <w:bottom w:val="single" w:color="000000" w:sz="4" w:space="0"/>
              <w:right w:val="single" w:color="000000" w:sz="4" w:space="0"/>
            </w:tcBorders>
            <w:shd w:val="clear" w:color="000000" w:fill="FFFFFF"/>
            <w:noWrap/>
            <w:vAlign w:val="center"/>
          </w:tcPr>
          <w:p w14:paraId="522E03BF">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5E9BC34A">
            <w:pPr>
              <w:widowControl/>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194.15</w:t>
            </w: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7CDADA51">
            <w:pPr>
              <w:widowControl/>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194.15</w:t>
            </w: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08528272">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四、公共安全支出</w:t>
            </w:r>
          </w:p>
        </w:tc>
        <w:tc>
          <w:tcPr>
            <w:tcW w:w="639" w:type="dxa"/>
            <w:tcBorders>
              <w:top w:val="nil"/>
              <w:left w:val="nil"/>
              <w:bottom w:val="single" w:color="000000" w:sz="4" w:space="0"/>
              <w:right w:val="single" w:color="000000" w:sz="4" w:space="0"/>
            </w:tcBorders>
            <w:shd w:val="clear" w:color="FFFFFF" w:fill="FFFFFF"/>
            <w:noWrap/>
            <w:vAlign w:val="center"/>
          </w:tcPr>
          <w:p w14:paraId="76D1EA5E">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34</w:t>
            </w:r>
          </w:p>
        </w:tc>
        <w:tc>
          <w:tcPr>
            <w:tcW w:w="1231" w:type="dxa"/>
            <w:tcBorders>
              <w:top w:val="nil"/>
              <w:left w:val="nil"/>
              <w:bottom w:val="single" w:color="000000" w:sz="4" w:space="0"/>
              <w:right w:val="single" w:color="000000" w:sz="4" w:space="0"/>
            </w:tcBorders>
            <w:shd w:val="clear" w:color="000000" w:fill="FFFFFF"/>
            <w:noWrap/>
            <w:vAlign w:val="center"/>
          </w:tcPr>
          <w:p w14:paraId="63A84FF2">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0AE3801D">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3A2E19FB">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5A05C81C">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二、项目支出</w:t>
            </w:r>
          </w:p>
        </w:tc>
        <w:tc>
          <w:tcPr>
            <w:tcW w:w="639" w:type="dxa"/>
            <w:tcBorders>
              <w:top w:val="nil"/>
              <w:left w:val="nil"/>
              <w:bottom w:val="single" w:color="000000" w:sz="4" w:space="0"/>
              <w:right w:val="single" w:color="000000" w:sz="4" w:space="0"/>
            </w:tcBorders>
            <w:shd w:val="clear" w:color="FFFFFF" w:fill="FFFFFF"/>
            <w:noWrap/>
            <w:vAlign w:val="center"/>
          </w:tcPr>
          <w:p w14:paraId="0F5B23D3">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59</w:t>
            </w:r>
          </w:p>
        </w:tc>
        <w:tc>
          <w:tcPr>
            <w:tcW w:w="1231" w:type="dxa"/>
            <w:tcBorders>
              <w:top w:val="nil"/>
              <w:left w:val="nil"/>
              <w:bottom w:val="single" w:color="000000" w:sz="4" w:space="0"/>
              <w:right w:val="single" w:color="000000" w:sz="4" w:space="0"/>
            </w:tcBorders>
            <w:shd w:val="clear" w:color="000000" w:fill="FFFFFF"/>
            <w:noWrap/>
            <w:vAlign w:val="center"/>
          </w:tcPr>
          <w:p w14:paraId="4B12F46F">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35</w:t>
            </w:r>
          </w:p>
        </w:tc>
        <w:tc>
          <w:tcPr>
            <w:tcW w:w="1232" w:type="dxa"/>
            <w:tcBorders>
              <w:top w:val="nil"/>
              <w:left w:val="nil"/>
              <w:bottom w:val="single" w:color="000000" w:sz="4" w:space="0"/>
              <w:right w:val="single" w:color="000000" w:sz="4" w:space="0"/>
            </w:tcBorders>
            <w:shd w:val="clear" w:color="000000" w:fill="FFFFFF"/>
            <w:noWrap/>
            <w:vAlign w:val="center"/>
          </w:tcPr>
          <w:p w14:paraId="1F7E0C11">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183.45</w:t>
            </w:r>
          </w:p>
        </w:tc>
        <w:tc>
          <w:tcPr>
            <w:tcW w:w="851" w:type="dxa"/>
            <w:tcBorders>
              <w:top w:val="nil"/>
              <w:left w:val="nil"/>
              <w:bottom w:val="single" w:color="000000" w:sz="4" w:space="0"/>
              <w:right w:val="single" w:color="000000" w:sz="8" w:space="0"/>
            </w:tcBorders>
            <w:shd w:val="clear" w:color="000000" w:fill="FFFFFF"/>
            <w:noWrap/>
            <w:vAlign w:val="center"/>
          </w:tcPr>
          <w:p w14:paraId="727D3375">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183.45</w:t>
            </w:r>
          </w:p>
        </w:tc>
      </w:tr>
      <w:tr w14:paraId="7D72C7A7">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5745FB1A">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五、经营收入</w:t>
            </w:r>
          </w:p>
        </w:tc>
        <w:tc>
          <w:tcPr>
            <w:tcW w:w="639" w:type="dxa"/>
            <w:tcBorders>
              <w:top w:val="nil"/>
              <w:left w:val="nil"/>
              <w:bottom w:val="single" w:color="000000" w:sz="4" w:space="0"/>
              <w:right w:val="single" w:color="000000" w:sz="4" w:space="0"/>
            </w:tcBorders>
            <w:shd w:val="clear" w:color="FFFFFF" w:fill="FFFFFF"/>
            <w:noWrap/>
            <w:vAlign w:val="center"/>
          </w:tcPr>
          <w:p w14:paraId="7379FF96">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w:t>
            </w:r>
          </w:p>
        </w:tc>
        <w:tc>
          <w:tcPr>
            <w:tcW w:w="1231" w:type="dxa"/>
            <w:tcBorders>
              <w:top w:val="nil"/>
              <w:left w:val="nil"/>
              <w:bottom w:val="single" w:color="000000" w:sz="4" w:space="0"/>
              <w:right w:val="single" w:color="000000" w:sz="4" w:space="0"/>
            </w:tcBorders>
            <w:shd w:val="clear" w:color="000000" w:fill="FFFFFF"/>
            <w:noWrap/>
            <w:vAlign w:val="center"/>
          </w:tcPr>
          <w:p w14:paraId="3CEB3435">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397F12BE">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47724A27">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5851DE79">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五、教育支出</w:t>
            </w:r>
          </w:p>
        </w:tc>
        <w:tc>
          <w:tcPr>
            <w:tcW w:w="639" w:type="dxa"/>
            <w:tcBorders>
              <w:top w:val="nil"/>
              <w:left w:val="nil"/>
              <w:bottom w:val="single" w:color="000000" w:sz="4" w:space="0"/>
              <w:right w:val="single" w:color="000000" w:sz="4" w:space="0"/>
            </w:tcBorders>
            <w:shd w:val="clear" w:color="FFFFFF" w:fill="FFFFFF"/>
            <w:noWrap/>
            <w:vAlign w:val="center"/>
          </w:tcPr>
          <w:p w14:paraId="19D4EFEC">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35</w:t>
            </w:r>
          </w:p>
        </w:tc>
        <w:tc>
          <w:tcPr>
            <w:tcW w:w="1231" w:type="dxa"/>
            <w:tcBorders>
              <w:top w:val="nil"/>
              <w:left w:val="nil"/>
              <w:bottom w:val="single" w:color="000000" w:sz="4" w:space="0"/>
              <w:right w:val="single" w:color="000000" w:sz="4" w:space="0"/>
            </w:tcBorders>
            <w:shd w:val="clear" w:color="000000" w:fill="FFFFFF"/>
            <w:noWrap/>
            <w:vAlign w:val="center"/>
          </w:tcPr>
          <w:p w14:paraId="29B6E263">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348.71</w:t>
            </w:r>
          </w:p>
        </w:tc>
        <w:tc>
          <w:tcPr>
            <w:tcW w:w="1231" w:type="dxa"/>
            <w:tcBorders>
              <w:top w:val="nil"/>
              <w:left w:val="nil"/>
              <w:bottom w:val="single" w:color="000000" w:sz="4" w:space="0"/>
              <w:right w:val="single" w:color="000000" w:sz="4" w:space="0"/>
            </w:tcBorders>
            <w:shd w:val="clear" w:color="000000" w:fill="FFFFFF"/>
            <w:noWrap/>
            <w:vAlign w:val="center"/>
          </w:tcPr>
          <w:p w14:paraId="55C4823B">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514.27</w:t>
            </w:r>
          </w:p>
        </w:tc>
        <w:tc>
          <w:tcPr>
            <w:tcW w:w="838" w:type="dxa"/>
            <w:tcBorders>
              <w:top w:val="nil"/>
              <w:left w:val="nil"/>
              <w:bottom w:val="single" w:color="000000" w:sz="4" w:space="0"/>
              <w:right w:val="single" w:color="000000" w:sz="4" w:space="0"/>
            </w:tcBorders>
            <w:shd w:val="clear" w:color="000000" w:fill="FFFFFF"/>
            <w:noWrap/>
            <w:vAlign w:val="center"/>
          </w:tcPr>
          <w:p w14:paraId="53ADB7B1">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516.67</w:t>
            </w:r>
          </w:p>
        </w:tc>
        <w:tc>
          <w:tcPr>
            <w:tcW w:w="2847" w:type="dxa"/>
            <w:tcBorders>
              <w:top w:val="nil"/>
              <w:left w:val="nil"/>
              <w:bottom w:val="single" w:color="000000" w:sz="4" w:space="0"/>
              <w:right w:val="single" w:color="000000" w:sz="4" w:space="0"/>
            </w:tcBorders>
            <w:shd w:val="clear" w:color="FFFFFF" w:fill="FFFFFF"/>
            <w:noWrap/>
            <w:vAlign w:val="center"/>
          </w:tcPr>
          <w:p w14:paraId="481EE9F9">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cs="Times New Roman"/>
                <w:color w:val="000000"/>
                <w:kern w:val="0"/>
                <w:sz w:val="18"/>
                <w:szCs w:val="18"/>
              </w:rPr>
              <w:t>其中：基本建设类项目</w:t>
            </w:r>
          </w:p>
        </w:tc>
        <w:tc>
          <w:tcPr>
            <w:tcW w:w="639" w:type="dxa"/>
            <w:tcBorders>
              <w:top w:val="nil"/>
              <w:left w:val="nil"/>
              <w:bottom w:val="single" w:color="000000" w:sz="4" w:space="0"/>
              <w:right w:val="single" w:color="000000" w:sz="4" w:space="0"/>
            </w:tcBorders>
            <w:shd w:val="clear" w:color="FFFFFF" w:fill="FFFFFF"/>
            <w:noWrap/>
            <w:vAlign w:val="center"/>
          </w:tcPr>
          <w:p w14:paraId="4FF04E2D">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60</w:t>
            </w:r>
          </w:p>
        </w:tc>
        <w:tc>
          <w:tcPr>
            <w:tcW w:w="1231" w:type="dxa"/>
            <w:tcBorders>
              <w:top w:val="nil"/>
              <w:left w:val="nil"/>
              <w:bottom w:val="single" w:color="000000" w:sz="4" w:space="0"/>
              <w:right w:val="single" w:color="000000" w:sz="4" w:space="0"/>
            </w:tcBorders>
            <w:shd w:val="clear" w:color="000000" w:fill="FFFFFF"/>
            <w:noWrap/>
            <w:vAlign w:val="center"/>
          </w:tcPr>
          <w:p w14:paraId="7C8A5C8F">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2" w:type="dxa"/>
            <w:tcBorders>
              <w:top w:val="nil"/>
              <w:left w:val="nil"/>
              <w:bottom w:val="single" w:color="000000" w:sz="4" w:space="0"/>
              <w:right w:val="single" w:color="000000" w:sz="4" w:space="0"/>
            </w:tcBorders>
            <w:shd w:val="clear" w:color="000000" w:fill="FFFFFF"/>
            <w:noWrap/>
            <w:vAlign w:val="center"/>
          </w:tcPr>
          <w:p w14:paraId="1CFF5A7D">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1" w:type="dxa"/>
            <w:tcBorders>
              <w:top w:val="nil"/>
              <w:left w:val="nil"/>
              <w:bottom w:val="single" w:color="000000" w:sz="4" w:space="0"/>
              <w:right w:val="single" w:color="000000" w:sz="8" w:space="0"/>
            </w:tcBorders>
            <w:shd w:val="clear" w:color="000000" w:fill="FFFFFF"/>
            <w:noWrap/>
            <w:vAlign w:val="center"/>
          </w:tcPr>
          <w:p w14:paraId="47CB7AEE">
            <w:pPr>
              <w:widowControl/>
              <w:jc w:val="right"/>
              <w:rPr>
                <w:rFonts w:hint="default" w:ascii="Times New Roman" w:hAnsi="Times New Roman" w:eastAsia="宋体" w:cs="Times New Roman"/>
                <w:color w:val="000000"/>
                <w:kern w:val="0"/>
                <w:sz w:val="18"/>
                <w:szCs w:val="18"/>
                <w:lang w:val="en-US"/>
              </w:rPr>
            </w:pPr>
          </w:p>
        </w:tc>
      </w:tr>
      <w:tr w14:paraId="2C96BF6E">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19C0C030">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六、附属单位上缴收入</w:t>
            </w:r>
          </w:p>
        </w:tc>
        <w:tc>
          <w:tcPr>
            <w:tcW w:w="639" w:type="dxa"/>
            <w:tcBorders>
              <w:top w:val="nil"/>
              <w:left w:val="nil"/>
              <w:bottom w:val="single" w:color="000000" w:sz="4" w:space="0"/>
              <w:right w:val="single" w:color="000000" w:sz="4" w:space="0"/>
            </w:tcBorders>
            <w:shd w:val="clear" w:color="FFFFFF" w:fill="FFFFFF"/>
            <w:noWrap/>
            <w:vAlign w:val="center"/>
          </w:tcPr>
          <w:p w14:paraId="5029493C">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w:t>
            </w:r>
          </w:p>
        </w:tc>
        <w:tc>
          <w:tcPr>
            <w:tcW w:w="1231" w:type="dxa"/>
            <w:tcBorders>
              <w:top w:val="nil"/>
              <w:left w:val="nil"/>
              <w:bottom w:val="single" w:color="000000" w:sz="4" w:space="0"/>
              <w:right w:val="single" w:color="000000" w:sz="4" w:space="0"/>
            </w:tcBorders>
            <w:shd w:val="clear" w:color="000000" w:fill="FFFFFF"/>
            <w:noWrap/>
            <w:vAlign w:val="center"/>
          </w:tcPr>
          <w:p w14:paraId="79E64C70">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6FE0C59D">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4CDC89A2">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029019BA">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六、科学技术支出</w:t>
            </w:r>
          </w:p>
        </w:tc>
        <w:tc>
          <w:tcPr>
            <w:tcW w:w="639" w:type="dxa"/>
            <w:tcBorders>
              <w:top w:val="nil"/>
              <w:left w:val="nil"/>
              <w:bottom w:val="single" w:color="000000" w:sz="4" w:space="0"/>
              <w:right w:val="single" w:color="000000" w:sz="4" w:space="0"/>
            </w:tcBorders>
            <w:shd w:val="clear" w:color="FFFFFF" w:fill="FFFFFF"/>
            <w:noWrap/>
            <w:vAlign w:val="center"/>
          </w:tcPr>
          <w:p w14:paraId="3571AEE1">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36</w:t>
            </w:r>
          </w:p>
        </w:tc>
        <w:tc>
          <w:tcPr>
            <w:tcW w:w="1231" w:type="dxa"/>
            <w:tcBorders>
              <w:top w:val="nil"/>
              <w:left w:val="nil"/>
              <w:bottom w:val="single" w:color="000000" w:sz="4" w:space="0"/>
              <w:right w:val="single" w:color="000000" w:sz="4" w:space="0"/>
            </w:tcBorders>
            <w:shd w:val="clear" w:color="000000" w:fill="FFFFFF"/>
            <w:noWrap/>
            <w:vAlign w:val="center"/>
          </w:tcPr>
          <w:p w14:paraId="1E9D3895">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07D123DC">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468C2FF2">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71399AA6">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三、上缴上级支出</w:t>
            </w:r>
          </w:p>
        </w:tc>
        <w:tc>
          <w:tcPr>
            <w:tcW w:w="639" w:type="dxa"/>
            <w:tcBorders>
              <w:top w:val="nil"/>
              <w:left w:val="nil"/>
              <w:bottom w:val="single" w:color="000000" w:sz="4" w:space="0"/>
              <w:right w:val="single" w:color="000000" w:sz="4" w:space="0"/>
            </w:tcBorders>
            <w:shd w:val="clear" w:color="FFFFFF" w:fill="FFFFFF"/>
            <w:noWrap/>
            <w:vAlign w:val="center"/>
          </w:tcPr>
          <w:p w14:paraId="40EDFEAA">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61</w:t>
            </w:r>
          </w:p>
        </w:tc>
        <w:tc>
          <w:tcPr>
            <w:tcW w:w="1231" w:type="dxa"/>
            <w:tcBorders>
              <w:top w:val="nil"/>
              <w:left w:val="nil"/>
              <w:bottom w:val="single" w:color="000000" w:sz="4" w:space="0"/>
              <w:right w:val="single" w:color="000000" w:sz="4" w:space="0"/>
            </w:tcBorders>
            <w:shd w:val="clear" w:color="000000" w:fill="FFFFFF"/>
            <w:noWrap/>
            <w:vAlign w:val="center"/>
          </w:tcPr>
          <w:p w14:paraId="1F1FCE07">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2" w:type="dxa"/>
            <w:tcBorders>
              <w:top w:val="nil"/>
              <w:left w:val="nil"/>
              <w:bottom w:val="single" w:color="000000" w:sz="4" w:space="0"/>
              <w:right w:val="single" w:color="000000" w:sz="4" w:space="0"/>
            </w:tcBorders>
            <w:shd w:val="clear" w:color="000000" w:fill="FFFFFF"/>
            <w:noWrap/>
            <w:vAlign w:val="center"/>
          </w:tcPr>
          <w:p w14:paraId="0DDE789B">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1" w:type="dxa"/>
            <w:tcBorders>
              <w:top w:val="nil"/>
              <w:left w:val="nil"/>
              <w:bottom w:val="single" w:color="000000" w:sz="4" w:space="0"/>
              <w:right w:val="single" w:color="000000" w:sz="8" w:space="0"/>
            </w:tcBorders>
            <w:shd w:val="clear" w:color="000000" w:fill="FFFFFF"/>
            <w:noWrap/>
            <w:vAlign w:val="center"/>
          </w:tcPr>
          <w:p w14:paraId="05E76B91">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14:paraId="7B663373">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624ACF82">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七、其他收入</w:t>
            </w:r>
          </w:p>
        </w:tc>
        <w:tc>
          <w:tcPr>
            <w:tcW w:w="639" w:type="dxa"/>
            <w:tcBorders>
              <w:top w:val="nil"/>
              <w:left w:val="nil"/>
              <w:bottom w:val="single" w:color="000000" w:sz="4" w:space="0"/>
              <w:right w:val="single" w:color="000000" w:sz="4" w:space="0"/>
            </w:tcBorders>
            <w:shd w:val="clear" w:color="FFFFFF" w:fill="FFFFFF"/>
            <w:noWrap/>
            <w:vAlign w:val="center"/>
          </w:tcPr>
          <w:p w14:paraId="66A21E26">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w:t>
            </w:r>
          </w:p>
        </w:tc>
        <w:tc>
          <w:tcPr>
            <w:tcW w:w="1231" w:type="dxa"/>
            <w:tcBorders>
              <w:top w:val="nil"/>
              <w:left w:val="nil"/>
              <w:bottom w:val="single" w:color="000000" w:sz="4" w:space="0"/>
              <w:right w:val="single" w:color="000000" w:sz="4" w:space="0"/>
            </w:tcBorders>
            <w:shd w:val="clear" w:color="000000" w:fill="FFFFFF"/>
            <w:noWrap/>
            <w:vAlign w:val="center"/>
          </w:tcPr>
          <w:p w14:paraId="37BF755D">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3F91292F">
            <w:pPr>
              <w:widowControl/>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0.08</w:t>
            </w: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07A1BC5E">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2.48</w:t>
            </w:r>
          </w:p>
        </w:tc>
        <w:tc>
          <w:tcPr>
            <w:tcW w:w="3232" w:type="dxa"/>
            <w:tcBorders>
              <w:top w:val="nil"/>
              <w:left w:val="nil"/>
              <w:bottom w:val="single" w:color="000000" w:sz="4" w:space="0"/>
              <w:right w:val="single" w:color="000000" w:sz="4" w:space="0"/>
            </w:tcBorders>
            <w:shd w:val="clear" w:color="FFFFFF" w:fill="FFFFFF"/>
            <w:noWrap/>
            <w:vAlign w:val="center"/>
          </w:tcPr>
          <w:p w14:paraId="09A43967">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七、文化旅游体育与传媒支出</w:t>
            </w:r>
          </w:p>
        </w:tc>
        <w:tc>
          <w:tcPr>
            <w:tcW w:w="639" w:type="dxa"/>
            <w:tcBorders>
              <w:top w:val="nil"/>
              <w:left w:val="nil"/>
              <w:bottom w:val="single" w:color="000000" w:sz="4" w:space="0"/>
              <w:right w:val="single" w:color="000000" w:sz="4" w:space="0"/>
            </w:tcBorders>
            <w:shd w:val="clear" w:color="FFFFFF" w:fill="FFFFFF"/>
            <w:noWrap/>
            <w:vAlign w:val="center"/>
          </w:tcPr>
          <w:p w14:paraId="0CC91201">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37</w:t>
            </w:r>
          </w:p>
        </w:tc>
        <w:tc>
          <w:tcPr>
            <w:tcW w:w="1231" w:type="dxa"/>
            <w:tcBorders>
              <w:top w:val="nil"/>
              <w:left w:val="nil"/>
              <w:bottom w:val="single" w:color="000000" w:sz="4" w:space="0"/>
              <w:right w:val="single" w:color="000000" w:sz="4" w:space="0"/>
            </w:tcBorders>
            <w:shd w:val="clear" w:color="000000" w:fill="FFFFFF"/>
            <w:noWrap/>
            <w:vAlign w:val="center"/>
          </w:tcPr>
          <w:p w14:paraId="5CCFE7F7">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16BDE109">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14EBEAB6">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6A4F025A">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四、经营支出</w:t>
            </w:r>
          </w:p>
        </w:tc>
        <w:tc>
          <w:tcPr>
            <w:tcW w:w="639" w:type="dxa"/>
            <w:tcBorders>
              <w:top w:val="nil"/>
              <w:left w:val="nil"/>
              <w:bottom w:val="single" w:color="000000" w:sz="4" w:space="0"/>
              <w:right w:val="single" w:color="000000" w:sz="4" w:space="0"/>
            </w:tcBorders>
            <w:shd w:val="clear" w:color="FFFFFF" w:fill="FFFFFF"/>
            <w:noWrap/>
            <w:vAlign w:val="center"/>
          </w:tcPr>
          <w:p w14:paraId="633D0669">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62</w:t>
            </w:r>
          </w:p>
        </w:tc>
        <w:tc>
          <w:tcPr>
            <w:tcW w:w="1231" w:type="dxa"/>
            <w:tcBorders>
              <w:top w:val="nil"/>
              <w:left w:val="nil"/>
              <w:bottom w:val="single" w:color="000000" w:sz="4" w:space="0"/>
              <w:right w:val="single" w:color="000000" w:sz="4" w:space="0"/>
            </w:tcBorders>
            <w:shd w:val="clear" w:color="000000" w:fill="FFFFFF"/>
            <w:noWrap/>
            <w:vAlign w:val="center"/>
          </w:tcPr>
          <w:p w14:paraId="1BB1B4B9">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2" w:type="dxa"/>
            <w:tcBorders>
              <w:top w:val="nil"/>
              <w:left w:val="nil"/>
              <w:bottom w:val="single" w:color="000000" w:sz="4" w:space="0"/>
              <w:right w:val="single" w:color="000000" w:sz="4" w:space="0"/>
            </w:tcBorders>
            <w:shd w:val="clear" w:color="000000" w:fill="FFFFFF"/>
            <w:noWrap/>
            <w:vAlign w:val="center"/>
          </w:tcPr>
          <w:p w14:paraId="52BB5592">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1" w:type="dxa"/>
            <w:tcBorders>
              <w:top w:val="nil"/>
              <w:left w:val="nil"/>
              <w:bottom w:val="single" w:color="000000" w:sz="4" w:space="0"/>
              <w:right w:val="single" w:color="000000" w:sz="8" w:space="0"/>
            </w:tcBorders>
            <w:shd w:val="clear" w:color="000000" w:fill="FFFFFF"/>
            <w:noWrap/>
            <w:vAlign w:val="center"/>
          </w:tcPr>
          <w:p w14:paraId="7D403512">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14:paraId="763A68F6">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3E6435DA">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3924A689">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w:t>
            </w:r>
          </w:p>
        </w:tc>
        <w:tc>
          <w:tcPr>
            <w:tcW w:w="1231" w:type="dxa"/>
            <w:tcBorders>
              <w:top w:val="nil"/>
              <w:left w:val="nil"/>
              <w:bottom w:val="single" w:color="000000" w:sz="4" w:space="0"/>
              <w:right w:val="single" w:color="000000" w:sz="4" w:space="0"/>
            </w:tcBorders>
            <w:shd w:val="clear" w:color="000000" w:fill="FFFFFF"/>
            <w:noWrap/>
            <w:vAlign w:val="center"/>
          </w:tcPr>
          <w:p w14:paraId="415DF045">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05197E85">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2B8688C0">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500C5D34">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八、社会保障和就业支出</w:t>
            </w:r>
          </w:p>
        </w:tc>
        <w:tc>
          <w:tcPr>
            <w:tcW w:w="639" w:type="dxa"/>
            <w:tcBorders>
              <w:top w:val="nil"/>
              <w:left w:val="nil"/>
              <w:bottom w:val="single" w:color="000000" w:sz="4" w:space="0"/>
              <w:right w:val="single" w:color="000000" w:sz="4" w:space="0"/>
            </w:tcBorders>
            <w:shd w:val="clear" w:color="FFFFFF" w:fill="FFFFFF"/>
            <w:noWrap/>
            <w:vAlign w:val="center"/>
          </w:tcPr>
          <w:p w14:paraId="2A35B537">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38</w:t>
            </w:r>
          </w:p>
        </w:tc>
        <w:tc>
          <w:tcPr>
            <w:tcW w:w="1231" w:type="dxa"/>
            <w:tcBorders>
              <w:top w:val="nil"/>
              <w:left w:val="nil"/>
              <w:bottom w:val="single" w:color="000000" w:sz="4" w:space="0"/>
              <w:right w:val="single" w:color="000000" w:sz="4" w:space="0"/>
            </w:tcBorders>
            <w:shd w:val="clear" w:color="000000" w:fill="FFFFFF"/>
            <w:noWrap/>
            <w:vAlign w:val="center"/>
          </w:tcPr>
          <w:p w14:paraId="3538F8FA">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48.45</w:t>
            </w:r>
          </w:p>
        </w:tc>
        <w:tc>
          <w:tcPr>
            <w:tcW w:w="1231" w:type="dxa"/>
            <w:tcBorders>
              <w:top w:val="nil"/>
              <w:left w:val="nil"/>
              <w:bottom w:val="single" w:color="000000" w:sz="4" w:space="0"/>
              <w:right w:val="single" w:color="000000" w:sz="4" w:space="0"/>
            </w:tcBorders>
            <w:shd w:val="clear" w:color="000000" w:fill="FFFFFF"/>
            <w:noWrap/>
            <w:vAlign w:val="center"/>
          </w:tcPr>
          <w:p w14:paraId="7DEB5E3C">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50.37</w:t>
            </w:r>
          </w:p>
        </w:tc>
        <w:tc>
          <w:tcPr>
            <w:tcW w:w="838" w:type="dxa"/>
            <w:tcBorders>
              <w:top w:val="nil"/>
              <w:left w:val="nil"/>
              <w:bottom w:val="single" w:color="000000" w:sz="4" w:space="0"/>
              <w:right w:val="single" w:color="000000" w:sz="4" w:space="0"/>
            </w:tcBorders>
            <w:shd w:val="clear" w:color="000000" w:fill="FFFFFF"/>
            <w:noWrap/>
            <w:vAlign w:val="center"/>
          </w:tcPr>
          <w:p w14:paraId="293B4706">
            <w:pPr>
              <w:pStyle w:val="8"/>
              <w:jc w:val="right"/>
              <w:rPr>
                <w:rFonts w:hint="default"/>
                <w:lang w:val="en-US" w:eastAsia="zh-CN"/>
              </w:rPr>
            </w:pPr>
            <w:r>
              <w:rPr>
                <w:rFonts w:hint="eastAsia" w:ascii="Times New Roman" w:hAnsi="Times New Roman" w:eastAsia="宋体" w:cs="Times New Roman"/>
                <w:color w:val="000000"/>
                <w:kern w:val="0"/>
                <w:sz w:val="18"/>
                <w:szCs w:val="18"/>
                <w:lang w:val="en-US" w:eastAsia="zh-CN" w:bidi="ar-SA"/>
              </w:rPr>
              <w:t>50.37</w:t>
            </w:r>
          </w:p>
        </w:tc>
        <w:tc>
          <w:tcPr>
            <w:tcW w:w="2847" w:type="dxa"/>
            <w:tcBorders>
              <w:top w:val="nil"/>
              <w:left w:val="nil"/>
              <w:bottom w:val="single" w:color="000000" w:sz="4" w:space="0"/>
              <w:right w:val="single" w:color="000000" w:sz="4" w:space="0"/>
            </w:tcBorders>
            <w:shd w:val="clear" w:color="FFFFFF" w:fill="FFFFFF"/>
            <w:noWrap/>
            <w:vAlign w:val="center"/>
          </w:tcPr>
          <w:p w14:paraId="05DAB519">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五、对附属单位补助支出</w:t>
            </w:r>
          </w:p>
        </w:tc>
        <w:tc>
          <w:tcPr>
            <w:tcW w:w="639" w:type="dxa"/>
            <w:tcBorders>
              <w:top w:val="nil"/>
              <w:left w:val="nil"/>
              <w:bottom w:val="single" w:color="000000" w:sz="4" w:space="0"/>
              <w:right w:val="single" w:color="000000" w:sz="4" w:space="0"/>
            </w:tcBorders>
            <w:shd w:val="clear" w:color="FFFFFF" w:fill="FFFFFF"/>
            <w:noWrap/>
            <w:vAlign w:val="center"/>
          </w:tcPr>
          <w:p w14:paraId="419B8E92">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63</w:t>
            </w:r>
          </w:p>
        </w:tc>
        <w:tc>
          <w:tcPr>
            <w:tcW w:w="1231" w:type="dxa"/>
            <w:tcBorders>
              <w:top w:val="nil"/>
              <w:left w:val="nil"/>
              <w:bottom w:val="single" w:color="000000" w:sz="4" w:space="0"/>
              <w:right w:val="single" w:color="000000" w:sz="4" w:space="0"/>
            </w:tcBorders>
            <w:shd w:val="clear" w:color="000000" w:fill="FFFFFF"/>
            <w:noWrap/>
            <w:vAlign w:val="center"/>
          </w:tcPr>
          <w:p w14:paraId="6F8CDA69">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2" w:type="dxa"/>
            <w:tcBorders>
              <w:top w:val="nil"/>
              <w:left w:val="nil"/>
              <w:bottom w:val="single" w:color="000000" w:sz="4" w:space="0"/>
              <w:right w:val="single" w:color="000000" w:sz="4" w:space="0"/>
            </w:tcBorders>
            <w:shd w:val="clear" w:color="000000" w:fill="FFFFFF"/>
            <w:noWrap/>
            <w:vAlign w:val="center"/>
          </w:tcPr>
          <w:p w14:paraId="250F1630">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1" w:type="dxa"/>
            <w:tcBorders>
              <w:top w:val="nil"/>
              <w:left w:val="nil"/>
              <w:bottom w:val="single" w:color="000000" w:sz="4" w:space="0"/>
              <w:right w:val="single" w:color="000000" w:sz="8" w:space="0"/>
            </w:tcBorders>
            <w:shd w:val="clear" w:color="000000" w:fill="FFFFFF"/>
            <w:noWrap/>
            <w:vAlign w:val="center"/>
          </w:tcPr>
          <w:p w14:paraId="06DA11DF">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14:paraId="061F1255">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5A6AA21D">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1B92133B">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w:t>
            </w:r>
          </w:p>
        </w:tc>
        <w:tc>
          <w:tcPr>
            <w:tcW w:w="1231" w:type="dxa"/>
            <w:tcBorders>
              <w:top w:val="nil"/>
              <w:left w:val="nil"/>
              <w:bottom w:val="single" w:color="000000" w:sz="4" w:space="0"/>
              <w:right w:val="single" w:color="000000" w:sz="4" w:space="0"/>
            </w:tcBorders>
            <w:shd w:val="clear" w:color="000000" w:fill="FFFFFF"/>
            <w:noWrap/>
            <w:vAlign w:val="center"/>
          </w:tcPr>
          <w:p w14:paraId="33542BD4">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0C253B86">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717079A2">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3EBC4E06">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九、卫生健康支出</w:t>
            </w:r>
          </w:p>
        </w:tc>
        <w:tc>
          <w:tcPr>
            <w:tcW w:w="639" w:type="dxa"/>
            <w:tcBorders>
              <w:top w:val="nil"/>
              <w:left w:val="nil"/>
              <w:bottom w:val="single" w:color="000000" w:sz="4" w:space="0"/>
              <w:right w:val="single" w:color="000000" w:sz="4" w:space="0"/>
            </w:tcBorders>
            <w:shd w:val="clear" w:color="FFFFFF" w:fill="FFFFFF"/>
            <w:noWrap/>
            <w:vAlign w:val="center"/>
          </w:tcPr>
          <w:p w14:paraId="5B603A58">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w:t>
            </w:r>
          </w:p>
        </w:tc>
        <w:tc>
          <w:tcPr>
            <w:tcW w:w="1231" w:type="dxa"/>
            <w:tcBorders>
              <w:top w:val="nil"/>
              <w:left w:val="nil"/>
              <w:bottom w:val="single" w:color="000000" w:sz="4" w:space="0"/>
              <w:right w:val="single" w:color="000000" w:sz="4" w:space="0"/>
            </w:tcBorders>
            <w:shd w:val="clear" w:color="000000" w:fill="FFFFFF"/>
            <w:noWrap/>
            <w:vAlign w:val="center"/>
          </w:tcPr>
          <w:p w14:paraId="2FF22D9F">
            <w:pPr>
              <w:widowControl/>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45.06</w:t>
            </w: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226AA3D5">
            <w:pPr>
              <w:widowControl/>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40.79</w:t>
            </w: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48B244ED">
            <w:pPr>
              <w:widowControl/>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40.79</w:t>
            </w: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78A9C3C5">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4E7FE834">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64</w:t>
            </w:r>
          </w:p>
        </w:tc>
        <w:tc>
          <w:tcPr>
            <w:tcW w:w="1231" w:type="dxa"/>
            <w:tcBorders>
              <w:top w:val="nil"/>
              <w:left w:val="nil"/>
              <w:bottom w:val="single" w:color="000000" w:sz="4" w:space="0"/>
              <w:right w:val="single" w:color="000000" w:sz="4" w:space="0"/>
            </w:tcBorders>
            <w:shd w:val="clear" w:color="000000" w:fill="FFFFFF"/>
            <w:noWrap/>
            <w:vAlign w:val="center"/>
          </w:tcPr>
          <w:p w14:paraId="7AE1D8D5">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2" w:type="dxa"/>
            <w:tcBorders>
              <w:top w:val="nil"/>
              <w:left w:val="nil"/>
              <w:bottom w:val="single" w:color="000000" w:sz="4" w:space="0"/>
              <w:right w:val="single" w:color="000000" w:sz="4" w:space="0"/>
            </w:tcBorders>
            <w:shd w:val="clear" w:color="000000" w:fill="FFFFFF"/>
            <w:noWrap/>
            <w:vAlign w:val="center"/>
          </w:tcPr>
          <w:p w14:paraId="5F050818">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1" w:type="dxa"/>
            <w:tcBorders>
              <w:top w:val="nil"/>
              <w:left w:val="nil"/>
              <w:bottom w:val="single" w:color="000000" w:sz="4" w:space="0"/>
              <w:right w:val="single" w:color="000000" w:sz="8" w:space="0"/>
            </w:tcBorders>
            <w:shd w:val="clear" w:color="000000" w:fill="FFFFFF"/>
            <w:noWrap/>
            <w:vAlign w:val="center"/>
          </w:tcPr>
          <w:p w14:paraId="2854F8E0">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14:paraId="735E4414">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24127C2F">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2BAA02CF">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1231" w:type="dxa"/>
            <w:tcBorders>
              <w:top w:val="nil"/>
              <w:left w:val="nil"/>
              <w:bottom w:val="single" w:color="000000" w:sz="4" w:space="0"/>
              <w:right w:val="single" w:color="000000" w:sz="4" w:space="0"/>
            </w:tcBorders>
            <w:shd w:val="clear" w:color="000000" w:fill="FFFFFF"/>
            <w:noWrap/>
            <w:vAlign w:val="center"/>
          </w:tcPr>
          <w:p w14:paraId="1991ADB8">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03CADCAA">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2D7C2C65">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4DCE3D81">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十、节能环保支出</w:t>
            </w:r>
          </w:p>
        </w:tc>
        <w:tc>
          <w:tcPr>
            <w:tcW w:w="639" w:type="dxa"/>
            <w:tcBorders>
              <w:top w:val="nil"/>
              <w:left w:val="nil"/>
              <w:bottom w:val="single" w:color="000000" w:sz="4" w:space="0"/>
              <w:right w:val="single" w:color="000000" w:sz="4" w:space="0"/>
            </w:tcBorders>
            <w:shd w:val="clear" w:color="FFFFFF" w:fill="FFFFFF"/>
            <w:noWrap/>
            <w:vAlign w:val="center"/>
          </w:tcPr>
          <w:p w14:paraId="08F61266">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40</w:t>
            </w:r>
          </w:p>
        </w:tc>
        <w:tc>
          <w:tcPr>
            <w:tcW w:w="1231" w:type="dxa"/>
            <w:tcBorders>
              <w:top w:val="nil"/>
              <w:left w:val="nil"/>
              <w:bottom w:val="single" w:color="000000" w:sz="4" w:space="0"/>
              <w:right w:val="single" w:color="000000" w:sz="4" w:space="0"/>
            </w:tcBorders>
            <w:shd w:val="clear" w:color="000000" w:fill="FFFFFF"/>
            <w:noWrap/>
            <w:vAlign w:val="center"/>
          </w:tcPr>
          <w:p w14:paraId="5190CF5E">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3873A859">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785BA1EF">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4326BD5A">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5BC2E9CA">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65</w:t>
            </w:r>
          </w:p>
        </w:tc>
        <w:tc>
          <w:tcPr>
            <w:tcW w:w="1231" w:type="dxa"/>
            <w:tcBorders>
              <w:top w:val="nil"/>
              <w:left w:val="nil"/>
              <w:bottom w:val="single" w:color="000000" w:sz="4" w:space="0"/>
              <w:right w:val="single" w:color="000000" w:sz="4" w:space="0"/>
            </w:tcBorders>
            <w:shd w:val="clear" w:color="000000" w:fill="FFFFFF"/>
            <w:noWrap/>
            <w:vAlign w:val="center"/>
          </w:tcPr>
          <w:p w14:paraId="09768460">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2" w:type="dxa"/>
            <w:tcBorders>
              <w:top w:val="nil"/>
              <w:left w:val="nil"/>
              <w:bottom w:val="single" w:color="000000" w:sz="4" w:space="0"/>
              <w:right w:val="single" w:color="000000" w:sz="4" w:space="0"/>
            </w:tcBorders>
            <w:shd w:val="clear" w:color="000000" w:fill="FFFFFF"/>
            <w:noWrap/>
            <w:vAlign w:val="center"/>
          </w:tcPr>
          <w:p w14:paraId="161DE777">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1" w:type="dxa"/>
            <w:tcBorders>
              <w:top w:val="nil"/>
              <w:left w:val="nil"/>
              <w:bottom w:val="single" w:color="000000" w:sz="4" w:space="0"/>
              <w:right w:val="single" w:color="000000" w:sz="8" w:space="0"/>
            </w:tcBorders>
            <w:shd w:val="clear" w:color="000000" w:fill="FFFFFF"/>
            <w:noWrap/>
            <w:vAlign w:val="center"/>
          </w:tcPr>
          <w:p w14:paraId="15F061C6">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14:paraId="40782547">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458170DC">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0FF7A740">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11</w:t>
            </w:r>
          </w:p>
        </w:tc>
        <w:tc>
          <w:tcPr>
            <w:tcW w:w="1231" w:type="dxa"/>
            <w:tcBorders>
              <w:top w:val="nil"/>
              <w:left w:val="nil"/>
              <w:bottom w:val="single" w:color="000000" w:sz="4" w:space="0"/>
              <w:right w:val="single" w:color="000000" w:sz="4" w:space="0"/>
            </w:tcBorders>
            <w:shd w:val="clear" w:color="000000" w:fill="FFFFFF"/>
            <w:noWrap/>
            <w:vAlign w:val="center"/>
          </w:tcPr>
          <w:p w14:paraId="738010D9">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2529C892">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5889E887">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60CBA780">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十一、城乡社区支出</w:t>
            </w:r>
          </w:p>
        </w:tc>
        <w:tc>
          <w:tcPr>
            <w:tcW w:w="639" w:type="dxa"/>
            <w:tcBorders>
              <w:top w:val="nil"/>
              <w:left w:val="nil"/>
              <w:bottom w:val="single" w:color="000000" w:sz="4" w:space="0"/>
              <w:right w:val="single" w:color="000000" w:sz="4" w:space="0"/>
            </w:tcBorders>
            <w:shd w:val="clear" w:color="FFFFFF" w:fill="FFFFFF"/>
            <w:noWrap/>
            <w:vAlign w:val="center"/>
          </w:tcPr>
          <w:p w14:paraId="0EE4F2AC">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41</w:t>
            </w:r>
          </w:p>
        </w:tc>
        <w:tc>
          <w:tcPr>
            <w:tcW w:w="1231" w:type="dxa"/>
            <w:tcBorders>
              <w:top w:val="nil"/>
              <w:left w:val="nil"/>
              <w:bottom w:val="single" w:color="000000" w:sz="4" w:space="0"/>
              <w:right w:val="single" w:color="000000" w:sz="4" w:space="0"/>
            </w:tcBorders>
            <w:shd w:val="clear" w:color="000000" w:fill="FFFFFF"/>
            <w:noWrap/>
            <w:vAlign w:val="center"/>
          </w:tcPr>
          <w:p w14:paraId="53A553E2">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35030A26">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0E55BD0E">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7BA7AA7E">
            <w:pPr>
              <w:widowControl/>
              <w:jc w:val="center"/>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经济分类支出合计</w:t>
            </w:r>
          </w:p>
        </w:tc>
        <w:tc>
          <w:tcPr>
            <w:tcW w:w="639" w:type="dxa"/>
            <w:tcBorders>
              <w:top w:val="nil"/>
              <w:left w:val="nil"/>
              <w:bottom w:val="single" w:color="000000" w:sz="4" w:space="0"/>
              <w:right w:val="single" w:color="000000" w:sz="4" w:space="0"/>
            </w:tcBorders>
            <w:shd w:val="clear" w:color="FFFFFF" w:fill="FFFFFF"/>
            <w:noWrap/>
            <w:vAlign w:val="center"/>
          </w:tcPr>
          <w:p w14:paraId="5CF52917">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66</w:t>
            </w:r>
          </w:p>
        </w:tc>
        <w:tc>
          <w:tcPr>
            <w:tcW w:w="1231" w:type="dxa"/>
            <w:tcBorders>
              <w:top w:val="nil"/>
              <w:left w:val="nil"/>
              <w:bottom w:val="single" w:color="000000" w:sz="4" w:space="0"/>
              <w:right w:val="single" w:color="000000" w:sz="4" w:space="0"/>
            </w:tcBorders>
            <w:shd w:val="clear" w:color="000000" w:fill="FFFFFF"/>
            <w:noWrap/>
            <w:vAlign w:val="center"/>
          </w:tcPr>
          <w:p w14:paraId="2D349310">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1232" w:type="dxa"/>
            <w:tcBorders>
              <w:top w:val="nil"/>
              <w:left w:val="nil"/>
              <w:bottom w:val="single" w:color="000000" w:sz="4" w:space="0"/>
              <w:right w:val="single" w:color="000000" w:sz="4" w:space="0"/>
            </w:tcBorders>
            <w:shd w:val="clear" w:color="000000" w:fill="FFFFFF"/>
            <w:noWrap/>
            <w:vAlign w:val="center"/>
          </w:tcPr>
          <w:p w14:paraId="5463C0A8">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851" w:type="dxa"/>
            <w:tcBorders>
              <w:top w:val="nil"/>
              <w:left w:val="nil"/>
              <w:bottom w:val="single" w:color="000000" w:sz="4" w:space="0"/>
              <w:right w:val="single" w:color="000000" w:sz="8" w:space="0"/>
            </w:tcBorders>
            <w:shd w:val="clear" w:color="000000" w:fill="FFFFFF"/>
            <w:noWrap/>
            <w:vAlign w:val="center"/>
          </w:tcPr>
          <w:p w14:paraId="799A1108">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642.64</w:t>
            </w:r>
          </w:p>
        </w:tc>
      </w:tr>
      <w:tr w14:paraId="0EEDC820">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0FCC66FD">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4313B2B4">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w:t>
            </w:r>
          </w:p>
        </w:tc>
        <w:tc>
          <w:tcPr>
            <w:tcW w:w="1231" w:type="dxa"/>
            <w:tcBorders>
              <w:top w:val="nil"/>
              <w:left w:val="nil"/>
              <w:bottom w:val="single" w:color="000000" w:sz="4" w:space="0"/>
              <w:right w:val="single" w:color="000000" w:sz="4" w:space="0"/>
            </w:tcBorders>
            <w:shd w:val="clear" w:color="000000" w:fill="FFFFFF"/>
            <w:noWrap/>
            <w:vAlign w:val="center"/>
          </w:tcPr>
          <w:p w14:paraId="75EC8DAF">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6AD98FA7">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00D710D4">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671B9381">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十二、农林水支出</w:t>
            </w:r>
          </w:p>
        </w:tc>
        <w:tc>
          <w:tcPr>
            <w:tcW w:w="639" w:type="dxa"/>
            <w:tcBorders>
              <w:top w:val="nil"/>
              <w:left w:val="nil"/>
              <w:bottom w:val="single" w:color="000000" w:sz="4" w:space="0"/>
              <w:right w:val="single" w:color="000000" w:sz="4" w:space="0"/>
            </w:tcBorders>
            <w:shd w:val="clear" w:color="FFFFFF" w:fill="FFFFFF"/>
            <w:noWrap/>
            <w:vAlign w:val="center"/>
          </w:tcPr>
          <w:p w14:paraId="1F349EA3">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42</w:t>
            </w:r>
          </w:p>
        </w:tc>
        <w:tc>
          <w:tcPr>
            <w:tcW w:w="1231" w:type="dxa"/>
            <w:tcBorders>
              <w:top w:val="nil"/>
              <w:left w:val="nil"/>
              <w:bottom w:val="single" w:color="000000" w:sz="4" w:space="0"/>
              <w:right w:val="single" w:color="000000" w:sz="4" w:space="0"/>
            </w:tcBorders>
            <w:shd w:val="clear" w:color="000000" w:fill="FFFFFF"/>
            <w:noWrap/>
            <w:vAlign w:val="center"/>
          </w:tcPr>
          <w:p w14:paraId="74F08FF4">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566E2C61">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6066DEF9">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592971D8">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一、工资福利支出</w:t>
            </w:r>
          </w:p>
        </w:tc>
        <w:tc>
          <w:tcPr>
            <w:tcW w:w="639" w:type="dxa"/>
            <w:tcBorders>
              <w:top w:val="nil"/>
              <w:left w:val="nil"/>
              <w:bottom w:val="single" w:color="000000" w:sz="4" w:space="0"/>
              <w:right w:val="single" w:color="000000" w:sz="4" w:space="0"/>
            </w:tcBorders>
            <w:shd w:val="clear" w:color="FFFFFF" w:fill="FFFFFF"/>
            <w:noWrap/>
            <w:vAlign w:val="center"/>
          </w:tcPr>
          <w:p w14:paraId="0739258C">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67</w:t>
            </w:r>
          </w:p>
        </w:tc>
        <w:tc>
          <w:tcPr>
            <w:tcW w:w="1231" w:type="dxa"/>
            <w:tcBorders>
              <w:top w:val="nil"/>
              <w:left w:val="nil"/>
              <w:bottom w:val="single" w:color="000000" w:sz="4" w:space="0"/>
              <w:right w:val="single" w:color="000000" w:sz="4" w:space="0"/>
            </w:tcBorders>
            <w:shd w:val="clear" w:color="000000" w:fill="FFFFFF"/>
            <w:noWrap/>
            <w:vAlign w:val="center"/>
          </w:tcPr>
          <w:p w14:paraId="5D5171C7">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1232" w:type="dxa"/>
            <w:tcBorders>
              <w:top w:val="nil"/>
              <w:left w:val="nil"/>
              <w:bottom w:val="single" w:color="000000" w:sz="4" w:space="0"/>
              <w:right w:val="single" w:color="000000" w:sz="4" w:space="0"/>
            </w:tcBorders>
            <w:shd w:val="clear" w:color="000000" w:fill="FFFFFF"/>
            <w:noWrap/>
            <w:vAlign w:val="center"/>
          </w:tcPr>
          <w:p w14:paraId="0048D468">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851" w:type="dxa"/>
            <w:tcBorders>
              <w:top w:val="nil"/>
              <w:left w:val="nil"/>
              <w:bottom w:val="single" w:color="000000" w:sz="4" w:space="0"/>
              <w:right w:val="single" w:color="000000" w:sz="8" w:space="0"/>
            </w:tcBorders>
            <w:shd w:val="clear" w:color="000000" w:fill="FFFFFF"/>
            <w:noWrap/>
            <w:vAlign w:val="center"/>
          </w:tcPr>
          <w:p w14:paraId="59E53CDA">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434.79</w:t>
            </w:r>
          </w:p>
        </w:tc>
      </w:tr>
      <w:tr w14:paraId="3639B954">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72EAD600">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4DAC9ACF">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w:t>
            </w:r>
          </w:p>
        </w:tc>
        <w:tc>
          <w:tcPr>
            <w:tcW w:w="1231" w:type="dxa"/>
            <w:tcBorders>
              <w:top w:val="nil"/>
              <w:left w:val="nil"/>
              <w:bottom w:val="single" w:color="000000" w:sz="4" w:space="0"/>
              <w:right w:val="single" w:color="000000" w:sz="4" w:space="0"/>
            </w:tcBorders>
            <w:shd w:val="clear" w:color="000000" w:fill="FFFFFF"/>
            <w:noWrap/>
            <w:vAlign w:val="center"/>
          </w:tcPr>
          <w:p w14:paraId="3D7ED674">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3AE12609">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21D773F4">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2A2E5F67">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十三、交通运输支出</w:t>
            </w:r>
          </w:p>
        </w:tc>
        <w:tc>
          <w:tcPr>
            <w:tcW w:w="639" w:type="dxa"/>
            <w:tcBorders>
              <w:top w:val="nil"/>
              <w:left w:val="nil"/>
              <w:bottom w:val="single" w:color="000000" w:sz="4" w:space="0"/>
              <w:right w:val="single" w:color="000000" w:sz="4" w:space="0"/>
            </w:tcBorders>
            <w:shd w:val="clear" w:color="FFFFFF" w:fill="FFFFFF"/>
            <w:noWrap/>
            <w:vAlign w:val="center"/>
          </w:tcPr>
          <w:p w14:paraId="1F0AF0A4">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43</w:t>
            </w:r>
          </w:p>
        </w:tc>
        <w:tc>
          <w:tcPr>
            <w:tcW w:w="1231" w:type="dxa"/>
            <w:tcBorders>
              <w:top w:val="nil"/>
              <w:left w:val="nil"/>
              <w:bottom w:val="single" w:color="000000" w:sz="4" w:space="0"/>
              <w:right w:val="single" w:color="000000" w:sz="4" w:space="0"/>
            </w:tcBorders>
            <w:shd w:val="clear" w:color="000000" w:fill="FFFFFF"/>
            <w:noWrap/>
            <w:vAlign w:val="center"/>
          </w:tcPr>
          <w:p w14:paraId="033FDBE6">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4BA380DE">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2A3EBBE3">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0481667A">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二、商品和服务支出</w:t>
            </w:r>
          </w:p>
        </w:tc>
        <w:tc>
          <w:tcPr>
            <w:tcW w:w="639" w:type="dxa"/>
            <w:tcBorders>
              <w:top w:val="nil"/>
              <w:left w:val="nil"/>
              <w:bottom w:val="single" w:color="000000" w:sz="4" w:space="0"/>
              <w:right w:val="single" w:color="000000" w:sz="4" w:space="0"/>
            </w:tcBorders>
            <w:shd w:val="clear" w:color="FFFFFF" w:fill="FFFFFF"/>
            <w:noWrap/>
            <w:vAlign w:val="center"/>
          </w:tcPr>
          <w:p w14:paraId="2C354C10">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68</w:t>
            </w:r>
          </w:p>
        </w:tc>
        <w:tc>
          <w:tcPr>
            <w:tcW w:w="1231" w:type="dxa"/>
            <w:tcBorders>
              <w:top w:val="nil"/>
              <w:left w:val="nil"/>
              <w:bottom w:val="single" w:color="000000" w:sz="4" w:space="0"/>
              <w:right w:val="single" w:color="000000" w:sz="4" w:space="0"/>
            </w:tcBorders>
            <w:shd w:val="clear" w:color="000000" w:fill="FFFFFF"/>
            <w:noWrap/>
            <w:vAlign w:val="center"/>
          </w:tcPr>
          <w:p w14:paraId="4F93C45D">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1232" w:type="dxa"/>
            <w:tcBorders>
              <w:top w:val="nil"/>
              <w:left w:val="nil"/>
              <w:bottom w:val="single" w:color="000000" w:sz="4" w:space="0"/>
              <w:right w:val="single" w:color="000000" w:sz="4" w:space="0"/>
            </w:tcBorders>
            <w:shd w:val="clear" w:color="000000" w:fill="FFFFFF"/>
            <w:noWrap/>
            <w:vAlign w:val="center"/>
          </w:tcPr>
          <w:p w14:paraId="5CE9436E">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851" w:type="dxa"/>
            <w:tcBorders>
              <w:top w:val="nil"/>
              <w:left w:val="nil"/>
              <w:bottom w:val="single" w:color="000000" w:sz="4" w:space="0"/>
              <w:right w:val="single" w:color="000000" w:sz="8" w:space="0"/>
            </w:tcBorders>
            <w:shd w:val="clear" w:color="000000" w:fill="FFFFFF"/>
            <w:noWrap/>
            <w:vAlign w:val="center"/>
          </w:tcPr>
          <w:p w14:paraId="7810FA7F">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205.21</w:t>
            </w:r>
          </w:p>
        </w:tc>
      </w:tr>
      <w:tr w14:paraId="245FA479">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3F31E313">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5B13270D">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w:t>
            </w:r>
          </w:p>
        </w:tc>
        <w:tc>
          <w:tcPr>
            <w:tcW w:w="1231" w:type="dxa"/>
            <w:tcBorders>
              <w:top w:val="nil"/>
              <w:left w:val="nil"/>
              <w:bottom w:val="single" w:color="000000" w:sz="4" w:space="0"/>
              <w:right w:val="single" w:color="000000" w:sz="4" w:space="0"/>
            </w:tcBorders>
            <w:shd w:val="clear" w:color="000000" w:fill="FFFFFF"/>
            <w:noWrap/>
            <w:vAlign w:val="center"/>
          </w:tcPr>
          <w:p w14:paraId="43567B54">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4D25C721">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03A7CD81">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1957DCC4">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十四、资源勘探信息等支出</w:t>
            </w:r>
          </w:p>
        </w:tc>
        <w:tc>
          <w:tcPr>
            <w:tcW w:w="639" w:type="dxa"/>
            <w:tcBorders>
              <w:top w:val="nil"/>
              <w:left w:val="nil"/>
              <w:bottom w:val="single" w:color="000000" w:sz="4" w:space="0"/>
              <w:right w:val="single" w:color="000000" w:sz="4" w:space="0"/>
            </w:tcBorders>
            <w:shd w:val="clear" w:color="FFFFFF" w:fill="FFFFFF"/>
            <w:noWrap/>
            <w:vAlign w:val="center"/>
          </w:tcPr>
          <w:p w14:paraId="71B924EE">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44</w:t>
            </w:r>
          </w:p>
        </w:tc>
        <w:tc>
          <w:tcPr>
            <w:tcW w:w="1231" w:type="dxa"/>
            <w:tcBorders>
              <w:top w:val="nil"/>
              <w:left w:val="nil"/>
              <w:bottom w:val="single" w:color="000000" w:sz="4" w:space="0"/>
              <w:right w:val="single" w:color="000000" w:sz="4" w:space="0"/>
            </w:tcBorders>
            <w:shd w:val="clear" w:color="000000" w:fill="FFFFFF"/>
            <w:noWrap/>
            <w:vAlign w:val="center"/>
          </w:tcPr>
          <w:p w14:paraId="222BC90B">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46A9F423">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209EBBB1">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75336586">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三、对个人和家庭的补助</w:t>
            </w:r>
          </w:p>
        </w:tc>
        <w:tc>
          <w:tcPr>
            <w:tcW w:w="639" w:type="dxa"/>
            <w:tcBorders>
              <w:top w:val="nil"/>
              <w:left w:val="nil"/>
              <w:bottom w:val="single" w:color="000000" w:sz="4" w:space="0"/>
              <w:right w:val="single" w:color="000000" w:sz="4" w:space="0"/>
            </w:tcBorders>
            <w:shd w:val="clear" w:color="FFFFFF" w:fill="FFFFFF"/>
            <w:noWrap/>
            <w:vAlign w:val="center"/>
          </w:tcPr>
          <w:p w14:paraId="3C6D9FDB">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69</w:t>
            </w:r>
          </w:p>
        </w:tc>
        <w:tc>
          <w:tcPr>
            <w:tcW w:w="1231" w:type="dxa"/>
            <w:tcBorders>
              <w:top w:val="nil"/>
              <w:left w:val="nil"/>
              <w:bottom w:val="single" w:color="000000" w:sz="4" w:space="0"/>
              <w:right w:val="single" w:color="000000" w:sz="4" w:space="0"/>
            </w:tcBorders>
            <w:shd w:val="clear" w:color="000000" w:fill="FFFFFF"/>
            <w:noWrap/>
            <w:vAlign w:val="center"/>
          </w:tcPr>
          <w:p w14:paraId="2A49D765">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1232" w:type="dxa"/>
            <w:tcBorders>
              <w:top w:val="nil"/>
              <w:left w:val="nil"/>
              <w:bottom w:val="single" w:color="000000" w:sz="4" w:space="0"/>
              <w:right w:val="single" w:color="000000" w:sz="4" w:space="0"/>
            </w:tcBorders>
            <w:shd w:val="clear" w:color="000000" w:fill="FFFFFF"/>
            <w:noWrap/>
            <w:vAlign w:val="center"/>
          </w:tcPr>
          <w:p w14:paraId="3B67DF5E">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851" w:type="dxa"/>
            <w:tcBorders>
              <w:top w:val="nil"/>
              <w:left w:val="nil"/>
              <w:bottom w:val="single" w:color="000000" w:sz="4" w:space="0"/>
              <w:right w:val="single" w:color="000000" w:sz="8" w:space="0"/>
            </w:tcBorders>
            <w:shd w:val="clear" w:color="000000" w:fill="FFFFFF"/>
            <w:noWrap/>
            <w:vAlign w:val="center"/>
          </w:tcPr>
          <w:p w14:paraId="10B5B3B5">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2.64</w:t>
            </w:r>
          </w:p>
        </w:tc>
      </w:tr>
      <w:tr w14:paraId="434FAEDC">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652BA425">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0C4C5545">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w:t>
            </w:r>
          </w:p>
        </w:tc>
        <w:tc>
          <w:tcPr>
            <w:tcW w:w="1231" w:type="dxa"/>
            <w:tcBorders>
              <w:top w:val="nil"/>
              <w:left w:val="nil"/>
              <w:bottom w:val="single" w:color="000000" w:sz="4" w:space="0"/>
              <w:right w:val="single" w:color="000000" w:sz="4" w:space="0"/>
            </w:tcBorders>
            <w:shd w:val="clear" w:color="000000" w:fill="FFFFFF"/>
            <w:noWrap/>
            <w:vAlign w:val="center"/>
          </w:tcPr>
          <w:p w14:paraId="1B54651C">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4CD54F45">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0F89D3AC">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40770C29">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十五、商业服务业等支出</w:t>
            </w:r>
          </w:p>
        </w:tc>
        <w:tc>
          <w:tcPr>
            <w:tcW w:w="639" w:type="dxa"/>
            <w:tcBorders>
              <w:top w:val="nil"/>
              <w:left w:val="nil"/>
              <w:bottom w:val="single" w:color="000000" w:sz="4" w:space="0"/>
              <w:right w:val="single" w:color="000000" w:sz="4" w:space="0"/>
            </w:tcBorders>
            <w:shd w:val="clear" w:color="FFFFFF" w:fill="FFFFFF"/>
            <w:noWrap/>
            <w:vAlign w:val="center"/>
          </w:tcPr>
          <w:p w14:paraId="2C840DE8">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45</w:t>
            </w:r>
          </w:p>
        </w:tc>
        <w:tc>
          <w:tcPr>
            <w:tcW w:w="1231" w:type="dxa"/>
            <w:tcBorders>
              <w:top w:val="nil"/>
              <w:left w:val="nil"/>
              <w:bottom w:val="single" w:color="000000" w:sz="4" w:space="0"/>
              <w:right w:val="single" w:color="000000" w:sz="4" w:space="0"/>
            </w:tcBorders>
            <w:shd w:val="clear" w:color="000000" w:fill="FFFFFF"/>
            <w:noWrap/>
            <w:vAlign w:val="center"/>
          </w:tcPr>
          <w:p w14:paraId="3CDFA7AD">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5312F45E">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63D2994B">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74D8A463">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四、债务利息及费用支出</w:t>
            </w:r>
          </w:p>
        </w:tc>
        <w:tc>
          <w:tcPr>
            <w:tcW w:w="639" w:type="dxa"/>
            <w:tcBorders>
              <w:top w:val="nil"/>
              <w:left w:val="nil"/>
              <w:bottom w:val="single" w:color="000000" w:sz="4" w:space="0"/>
              <w:right w:val="single" w:color="000000" w:sz="4" w:space="0"/>
            </w:tcBorders>
            <w:shd w:val="clear" w:color="FFFFFF" w:fill="FFFFFF"/>
            <w:noWrap/>
            <w:vAlign w:val="center"/>
          </w:tcPr>
          <w:p w14:paraId="20B0DDC6">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70</w:t>
            </w:r>
          </w:p>
        </w:tc>
        <w:tc>
          <w:tcPr>
            <w:tcW w:w="1231" w:type="dxa"/>
            <w:tcBorders>
              <w:top w:val="nil"/>
              <w:left w:val="nil"/>
              <w:bottom w:val="single" w:color="000000" w:sz="4" w:space="0"/>
              <w:right w:val="single" w:color="000000" w:sz="4" w:space="0"/>
            </w:tcBorders>
            <w:shd w:val="clear" w:color="000000" w:fill="FFFFFF"/>
            <w:noWrap/>
            <w:vAlign w:val="center"/>
          </w:tcPr>
          <w:p w14:paraId="18965EEB">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1232" w:type="dxa"/>
            <w:tcBorders>
              <w:top w:val="nil"/>
              <w:left w:val="nil"/>
              <w:bottom w:val="single" w:color="000000" w:sz="4" w:space="0"/>
              <w:right w:val="single" w:color="000000" w:sz="4" w:space="0"/>
            </w:tcBorders>
            <w:shd w:val="clear" w:color="000000" w:fill="FFFFFF"/>
            <w:noWrap/>
            <w:vAlign w:val="center"/>
          </w:tcPr>
          <w:p w14:paraId="3A86AF49">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851" w:type="dxa"/>
            <w:tcBorders>
              <w:top w:val="nil"/>
              <w:left w:val="nil"/>
              <w:bottom w:val="single" w:color="000000" w:sz="4" w:space="0"/>
              <w:right w:val="single" w:color="000000" w:sz="8" w:space="0"/>
            </w:tcBorders>
            <w:shd w:val="clear" w:color="000000" w:fill="FFFFFF"/>
            <w:noWrap/>
            <w:vAlign w:val="center"/>
          </w:tcPr>
          <w:p w14:paraId="6383CE22">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14:paraId="53EB2A2A">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28591A71">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661C21B7">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w:t>
            </w:r>
          </w:p>
        </w:tc>
        <w:tc>
          <w:tcPr>
            <w:tcW w:w="1231" w:type="dxa"/>
            <w:tcBorders>
              <w:top w:val="nil"/>
              <w:left w:val="nil"/>
              <w:bottom w:val="single" w:color="000000" w:sz="4" w:space="0"/>
              <w:right w:val="single" w:color="000000" w:sz="4" w:space="0"/>
            </w:tcBorders>
            <w:shd w:val="clear" w:color="000000" w:fill="FFFFFF"/>
            <w:noWrap/>
            <w:vAlign w:val="center"/>
          </w:tcPr>
          <w:p w14:paraId="0B49FDAF">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5BD88F18">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076CDF40">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045A5935">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十六、金融支出</w:t>
            </w:r>
          </w:p>
        </w:tc>
        <w:tc>
          <w:tcPr>
            <w:tcW w:w="639" w:type="dxa"/>
            <w:tcBorders>
              <w:top w:val="nil"/>
              <w:left w:val="nil"/>
              <w:bottom w:val="single" w:color="000000" w:sz="4" w:space="0"/>
              <w:right w:val="single" w:color="000000" w:sz="4" w:space="0"/>
            </w:tcBorders>
            <w:shd w:val="clear" w:color="FFFFFF" w:fill="FFFFFF"/>
            <w:noWrap/>
            <w:vAlign w:val="center"/>
          </w:tcPr>
          <w:p w14:paraId="4E65AC51">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46</w:t>
            </w:r>
          </w:p>
        </w:tc>
        <w:tc>
          <w:tcPr>
            <w:tcW w:w="1231" w:type="dxa"/>
            <w:tcBorders>
              <w:top w:val="nil"/>
              <w:left w:val="nil"/>
              <w:bottom w:val="single" w:color="000000" w:sz="4" w:space="0"/>
              <w:right w:val="single" w:color="000000" w:sz="4" w:space="0"/>
            </w:tcBorders>
            <w:shd w:val="clear" w:color="000000" w:fill="FFFFFF"/>
            <w:noWrap/>
            <w:vAlign w:val="center"/>
          </w:tcPr>
          <w:p w14:paraId="2E2448CB">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1B8BBF50">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7DD11E19">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6239AC63">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五、资本性支出（基本建设）</w:t>
            </w:r>
          </w:p>
        </w:tc>
        <w:tc>
          <w:tcPr>
            <w:tcW w:w="639" w:type="dxa"/>
            <w:tcBorders>
              <w:top w:val="nil"/>
              <w:left w:val="nil"/>
              <w:bottom w:val="single" w:color="000000" w:sz="4" w:space="0"/>
              <w:right w:val="single" w:color="000000" w:sz="4" w:space="0"/>
            </w:tcBorders>
            <w:shd w:val="clear" w:color="FFFFFF" w:fill="FFFFFF"/>
            <w:noWrap/>
            <w:vAlign w:val="center"/>
          </w:tcPr>
          <w:p w14:paraId="74F8A201">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71</w:t>
            </w:r>
          </w:p>
        </w:tc>
        <w:tc>
          <w:tcPr>
            <w:tcW w:w="1231" w:type="dxa"/>
            <w:tcBorders>
              <w:top w:val="nil"/>
              <w:left w:val="nil"/>
              <w:bottom w:val="single" w:color="000000" w:sz="4" w:space="0"/>
              <w:right w:val="single" w:color="000000" w:sz="4" w:space="0"/>
            </w:tcBorders>
            <w:shd w:val="clear" w:color="000000" w:fill="FFFFFF"/>
            <w:noWrap/>
            <w:vAlign w:val="center"/>
          </w:tcPr>
          <w:p w14:paraId="6BCB320B">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1232" w:type="dxa"/>
            <w:tcBorders>
              <w:top w:val="nil"/>
              <w:left w:val="nil"/>
              <w:bottom w:val="single" w:color="000000" w:sz="4" w:space="0"/>
              <w:right w:val="single" w:color="000000" w:sz="4" w:space="0"/>
            </w:tcBorders>
            <w:shd w:val="clear" w:color="000000" w:fill="FFFFFF"/>
            <w:noWrap/>
            <w:vAlign w:val="center"/>
          </w:tcPr>
          <w:p w14:paraId="5AC3A0CC">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851" w:type="dxa"/>
            <w:tcBorders>
              <w:top w:val="nil"/>
              <w:left w:val="nil"/>
              <w:bottom w:val="single" w:color="000000" w:sz="4" w:space="0"/>
              <w:right w:val="single" w:color="000000" w:sz="8" w:space="0"/>
            </w:tcBorders>
            <w:shd w:val="clear" w:color="000000" w:fill="FFFFFF"/>
            <w:noWrap/>
            <w:vAlign w:val="center"/>
          </w:tcPr>
          <w:p w14:paraId="40C30CC4">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14:paraId="5F736962">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10CFC810">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618C7E7F">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w:t>
            </w:r>
          </w:p>
        </w:tc>
        <w:tc>
          <w:tcPr>
            <w:tcW w:w="1231" w:type="dxa"/>
            <w:tcBorders>
              <w:top w:val="nil"/>
              <w:left w:val="nil"/>
              <w:bottom w:val="single" w:color="000000" w:sz="4" w:space="0"/>
              <w:right w:val="single" w:color="000000" w:sz="4" w:space="0"/>
            </w:tcBorders>
            <w:shd w:val="clear" w:color="000000" w:fill="FFFFFF"/>
            <w:noWrap/>
            <w:vAlign w:val="center"/>
          </w:tcPr>
          <w:p w14:paraId="6D2C81CD">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492F2540">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384B5768">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7080C882">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十七、援助其他地区支出</w:t>
            </w:r>
          </w:p>
        </w:tc>
        <w:tc>
          <w:tcPr>
            <w:tcW w:w="639" w:type="dxa"/>
            <w:tcBorders>
              <w:top w:val="nil"/>
              <w:left w:val="nil"/>
              <w:bottom w:val="single" w:color="000000" w:sz="4" w:space="0"/>
              <w:right w:val="single" w:color="000000" w:sz="4" w:space="0"/>
            </w:tcBorders>
            <w:shd w:val="clear" w:color="FFFFFF" w:fill="FFFFFF"/>
            <w:noWrap/>
            <w:vAlign w:val="center"/>
          </w:tcPr>
          <w:p w14:paraId="0DD1FB21">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47</w:t>
            </w:r>
          </w:p>
        </w:tc>
        <w:tc>
          <w:tcPr>
            <w:tcW w:w="1231" w:type="dxa"/>
            <w:tcBorders>
              <w:top w:val="nil"/>
              <w:left w:val="nil"/>
              <w:bottom w:val="single" w:color="000000" w:sz="4" w:space="0"/>
              <w:right w:val="single" w:color="000000" w:sz="4" w:space="0"/>
            </w:tcBorders>
            <w:shd w:val="clear" w:color="000000" w:fill="FFFFFF"/>
            <w:noWrap/>
            <w:vAlign w:val="center"/>
          </w:tcPr>
          <w:p w14:paraId="3E2529F2">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2FEBB04D">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33C81F61">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71763726">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六、资本性支出</w:t>
            </w:r>
          </w:p>
        </w:tc>
        <w:tc>
          <w:tcPr>
            <w:tcW w:w="639" w:type="dxa"/>
            <w:tcBorders>
              <w:top w:val="nil"/>
              <w:left w:val="nil"/>
              <w:bottom w:val="single" w:color="000000" w:sz="4" w:space="0"/>
              <w:right w:val="single" w:color="000000" w:sz="4" w:space="0"/>
            </w:tcBorders>
            <w:shd w:val="clear" w:color="FFFFFF" w:fill="FFFFFF"/>
            <w:noWrap/>
            <w:vAlign w:val="center"/>
          </w:tcPr>
          <w:p w14:paraId="7D5086DB">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72</w:t>
            </w:r>
          </w:p>
        </w:tc>
        <w:tc>
          <w:tcPr>
            <w:tcW w:w="1231" w:type="dxa"/>
            <w:tcBorders>
              <w:top w:val="nil"/>
              <w:left w:val="nil"/>
              <w:bottom w:val="single" w:color="000000" w:sz="4" w:space="0"/>
              <w:right w:val="single" w:color="000000" w:sz="4" w:space="0"/>
            </w:tcBorders>
            <w:shd w:val="clear" w:color="000000" w:fill="FFFFFF"/>
            <w:noWrap/>
            <w:vAlign w:val="center"/>
          </w:tcPr>
          <w:p w14:paraId="21FE8B90">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1232" w:type="dxa"/>
            <w:tcBorders>
              <w:top w:val="nil"/>
              <w:left w:val="nil"/>
              <w:bottom w:val="single" w:color="000000" w:sz="4" w:space="0"/>
              <w:right w:val="single" w:color="000000" w:sz="4" w:space="0"/>
            </w:tcBorders>
            <w:shd w:val="clear" w:color="000000" w:fill="FFFFFF"/>
            <w:noWrap/>
            <w:vAlign w:val="center"/>
          </w:tcPr>
          <w:p w14:paraId="3D874FD0">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851" w:type="dxa"/>
            <w:tcBorders>
              <w:top w:val="nil"/>
              <w:left w:val="nil"/>
              <w:bottom w:val="single" w:color="000000" w:sz="4" w:space="0"/>
              <w:right w:val="single" w:color="000000" w:sz="8" w:space="0"/>
            </w:tcBorders>
            <w:shd w:val="clear" w:color="000000" w:fill="FFFFFF"/>
            <w:noWrap/>
            <w:vAlign w:val="center"/>
          </w:tcPr>
          <w:p w14:paraId="12523541">
            <w:pPr>
              <w:widowControl/>
              <w:jc w:val="right"/>
              <w:rPr>
                <w:rFonts w:ascii="Times New Roman" w:hAnsi="Times New Roman" w:eastAsia="宋体" w:cs="Times New Roman"/>
                <w:color w:val="000000"/>
                <w:kern w:val="0"/>
                <w:sz w:val="18"/>
                <w:szCs w:val="18"/>
              </w:rPr>
            </w:pPr>
          </w:p>
        </w:tc>
      </w:tr>
      <w:tr w14:paraId="21B34289">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47B20A97">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500A564D">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w:t>
            </w:r>
          </w:p>
        </w:tc>
        <w:tc>
          <w:tcPr>
            <w:tcW w:w="1231" w:type="dxa"/>
            <w:tcBorders>
              <w:top w:val="nil"/>
              <w:left w:val="nil"/>
              <w:bottom w:val="single" w:color="000000" w:sz="4" w:space="0"/>
              <w:right w:val="single" w:color="000000" w:sz="4" w:space="0"/>
            </w:tcBorders>
            <w:shd w:val="clear" w:color="000000" w:fill="FFFFFF"/>
            <w:noWrap/>
            <w:vAlign w:val="center"/>
          </w:tcPr>
          <w:p w14:paraId="0D9DEA6F">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317C981C">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6C19C398">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2D06FB38">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十八、自然资源海洋气象等支出</w:t>
            </w:r>
          </w:p>
        </w:tc>
        <w:tc>
          <w:tcPr>
            <w:tcW w:w="639" w:type="dxa"/>
            <w:tcBorders>
              <w:top w:val="nil"/>
              <w:left w:val="nil"/>
              <w:bottom w:val="single" w:color="000000" w:sz="4" w:space="0"/>
              <w:right w:val="single" w:color="000000" w:sz="4" w:space="0"/>
            </w:tcBorders>
            <w:shd w:val="clear" w:color="FFFFFF" w:fill="FFFFFF"/>
            <w:noWrap/>
            <w:vAlign w:val="center"/>
          </w:tcPr>
          <w:p w14:paraId="01A3BBF3">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48</w:t>
            </w:r>
          </w:p>
        </w:tc>
        <w:tc>
          <w:tcPr>
            <w:tcW w:w="1231" w:type="dxa"/>
            <w:tcBorders>
              <w:top w:val="nil"/>
              <w:left w:val="nil"/>
              <w:bottom w:val="single" w:color="000000" w:sz="4" w:space="0"/>
              <w:right w:val="single" w:color="000000" w:sz="4" w:space="0"/>
            </w:tcBorders>
            <w:shd w:val="clear" w:color="000000" w:fill="FFFFFF"/>
            <w:noWrap/>
            <w:vAlign w:val="center"/>
          </w:tcPr>
          <w:p w14:paraId="3365D31D">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2E94D458">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3FAD64B0">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69D6E8A3">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七、对企业补助（基本建设）</w:t>
            </w:r>
          </w:p>
        </w:tc>
        <w:tc>
          <w:tcPr>
            <w:tcW w:w="639" w:type="dxa"/>
            <w:tcBorders>
              <w:top w:val="nil"/>
              <w:left w:val="nil"/>
              <w:bottom w:val="single" w:color="000000" w:sz="4" w:space="0"/>
              <w:right w:val="single" w:color="000000" w:sz="4" w:space="0"/>
            </w:tcBorders>
            <w:shd w:val="clear" w:color="FFFFFF" w:fill="FFFFFF"/>
            <w:noWrap/>
            <w:vAlign w:val="center"/>
          </w:tcPr>
          <w:p w14:paraId="3DA52B2C">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73</w:t>
            </w:r>
          </w:p>
        </w:tc>
        <w:tc>
          <w:tcPr>
            <w:tcW w:w="1231" w:type="dxa"/>
            <w:tcBorders>
              <w:top w:val="nil"/>
              <w:left w:val="nil"/>
              <w:bottom w:val="single" w:color="000000" w:sz="4" w:space="0"/>
              <w:right w:val="single" w:color="000000" w:sz="4" w:space="0"/>
            </w:tcBorders>
            <w:shd w:val="clear" w:color="000000" w:fill="FFFFFF"/>
            <w:noWrap/>
            <w:vAlign w:val="center"/>
          </w:tcPr>
          <w:p w14:paraId="0857BD4C">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1232" w:type="dxa"/>
            <w:tcBorders>
              <w:top w:val="nil"/>
              <w:left w:val="nil"/>
              <w:bottom w:val="single" w:color="000000" w:sz="4" w:space="0"/>
              <w:right w:val="single" w:color="000000" w:sz="4" w:space="0"/>
            </w:tcBorders>
            <w:shd w:val="clear" w:color="000000" w:fill="FFFFFF"/>
            <w:noWrap/>
            <w:vAlign w:val="center"/>
          </w:tcPr>
          <w:p w14:paraId="3B0FF7B7">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851" w:type="dxa"/>
            <w:tcBorders>
              <w:top w:val="nil"/>
              <w:left w:val="nil"/>
              <w:bottom w:val="single" w:color="000000" w:sz="4" w:space="0"/>
              <w:right w:val="single" w:color="000000" w:sz="8" w:space="0"/>
            </w:tcBorders>
            <w:shd w:val="clear" w:color="000000" w:fill="FFFFFF"/>
            <w:noWrap/>
            <w:vAlign w:val="center"/>
          </w:tcPr>
          <w:p w14:paraId="09918E5A">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14:paraId="736A2850">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78154A69">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7DC4C3BE">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w:t>
            </w:r>
          </w:p>
        </w:tc>
        <w:tc>
          <w:tcPr>
            <w:tcW w:w="1231" w:type="dxa"/>
            <w:tcBorders>
              <w:top w:val="nil"/>
              <w:left w:val="nil"/>
              <w:bottom w:val="single" w:color="000000" w:sz="4" w:space="0"/>
              <w:right w:val="single" w:color="000000" w:sz="4" w:space="0"/>
            </w:tcBorders>
            <w:shd w:val="clear" w:color="000000" w:fill="FFFFFF"/>
            <w:noWrap/>
            <w:vAlign w:val="center"/>
          </w:tcPr>
          <w:p w14:paraId="786BD99F">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50129119">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4C6E5A50">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3B650B2E">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十九、住房保障支出</w:t>
            </w:r>
          </w:p>
        </w:tc>
        <w:tc>
          <w:tcPr>
            <w:tcW w:w="639" w:type="dxa"/>
            <w:tcBorders>
              <w:top w:val="nil"/>
              <w:left w:val="nil"/>
              <w:bottom w:val="single" w:color="000000" w:sz="4" w:space="0"/>
              <w:right w:val="single" w:color="000000" w:sz="4" w:space="0"/>
            </w:tcBorders>
            <w:shd w:val="clear" w:color="FFFFFF" w:fill="FFFFFF"/>
            <w:noWrap/>
            <w:vAlign w:val="center"/>
          </w:tcPr>
          <w:p w14:paraId="4D7950FB">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49</w:t>
            </w:r>
          </w:p>
        </w:tc>
        <w:tc>
          <w:tcPr>
            <w:tcW w:w="1231" w:type="dxa"/>
            <w:tcBorders>
              <w:top w:val="nil"/>
              <w:left w:val="nil"/>
              <w:bottom w:val="single" w:color="000000" w:sz="4" w:space="0"/>
              <w:right w:val="single" w:color="000000" w:sz="4" w:space="0"/>
            </w:tcBorders>
            <w:shd w:val="clear" w:color="000000" w:fill="FFFFFF"/>
            <w:noWrap/>
            <w:vAlign w:val="center"/>
          </w:tcPr>
          <w:p w14:paraId="32C0529D">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 xml:space="preserve">     33.73</w:t>
            </w:r>
          </w:p>
        </w:tc>
        <w:tc>
          <w:tcPr>
            <w:tcW w:w="1231" w:type="dxa"/>
            <w:tcBorders>
              <w:top w:val="nil"/>
              <w:left w:val="nil"/>
              <w:bottom w:val="single" w:color="000000" w:sz="4" w:space="0"/>
              <w:right w:val="single" w:color="000000" w:sz="4" w:space="0"/>
            </w:tcBorders>
            <w:shd w:val="clear" w:color="000000" w:fill="FFFFFF"/>
            <w:noWrap/>
            <w:vAlign w:val="center"/>
          </w:tcPr>
          <w:p w14:paraId="21C0E307">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34.81</w:t>
            </w:r>
          </w:p>
        </w:tc>
        <w:tc>
          <w:tcPr>
            <w:tcW w:w="838" w:type="dxa"/>
            <w:tcBorders>
              <w:top w:val="nil"/>
              <w:left w:val="nil"/>
              <w:bottom w:val="single" w:color="000000" w:sz="4" w:space="0"/>
              <w:right w:val="single" w:color="000000" w:sz="4" w:space="0"/>
            </w:tcBorders>
            <w:shd w:val="clear" w:color="000000" w:fill="FFFFFF"/>
            <w:noWrap/>
            <w:vAlign w:val="center"/>
          </w:tcPr>
          <w:p w14:paraId="398D8789">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34.81</w:t>
            </w:r>
          </w:p>
        </w:tc>
        <w:tc>
          <w:tcPr>
            <w:tcW w:w="2847" w:type="dxa"/>
            <w:tcBorders>
              <w:top w:val="nil"/>
              <w:left w:val="nil"/>
              <w:bottom w:val="single" w:color="000000" w:sz="4" w:space="0"/>
              <w:right w:val="single" w:color="000000" w:sz="4" w:space="0"/>
            </w:tcBorders>
            <w:shd w:val="clear" w:color="FFFFFF" w:fill="FFFFFF"/>
            <w:noWrap/>
            <w:vAlign w:val="center"/>
          </w:tcPr>
          <w:p w14:paraId="11CBB75A">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八、对企业补助</w:t>
            </w:r>
          </w:p>
        </w:tc>
        <w:tc>
          <w:tcPr>
            <w:tcW w:w="639" w:type="dxa"/>
            <w:tcBorders>
              <w:top w:val="nil"/>
              <w:left w:val="nil"/>
              <w:bottom w:val="single" w:color="000000" w:sz="4" w:space="0"/>
              <w:right w:val="single" w:color="000000" w:sz="4" w:space="0"/>
            </w:tcBorders>
            <w:shd w:val="clear" w:color="FFFFFF" w:fill="FFFFFF"/>
            <w:noWrap/>
            <w:vAlign w:val="center"/>
          </w:tcPr>
          <w:p w14:paraId="601A7CE9">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74</w:t>
            </w:r>
          </w:p>
        </w:tc>
        <w:tc>
          <w:tcPr>
            <w:tcW w:w="1231" w:type="dxa"/>
            <w:tcBorders>
              <w:top w:val="nil"/>
              <w:left w:val="nil"/>
              <w:bottom w:val="single" w:color="000000" w:sz="4" w:space="0"/>
              <w:right w:val="single" w:color="000000" w:sz="4" w:space="0"/>
            </w:tcBorders>
            <w:shd w:val="clear" w:color="000000" w:fill="FFFFFF"/>
            <w:noWrap/>
            <w:vAlign w:val="center"/>
          </w:tcPr>
          <w:p w14:paraId="4BBA67FD">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1232" w:type="dxa"/>
            <w:tcBorders>
              <w:top w:val="nil"/>
              <w:left w:val="nil"/>
              <w:bottom w:val="single" w:color="000000" w:sz="4" w:space="0"/>
              <w:right w:val="single" w:color="000000" w:sz="4" w:space="0"/>
            </w:tcBorders>
            <w:shd w:val="clear" w:color="000000" w:fill="FFFFFF"/>
            <w:noWrap/>
            <w:vAlign w:val="center"/>
          </w:tcPr>
          <w:p w14:paraId="69235291">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851" w:type="dxa"/>
            <w:tcBorders>
              <w:top w:val="nil"/>
              <w:left w:val="nil"/>
              <w:bottom w:val="single" w:color="000000" w:sz="4" w:space="0"/>
              <w:right w:val="single" w:color="000000" w:sz="8" w:space="0"/>
            </w:tcBorders>
            <w:shd w:val="clear" w:color="000000" w:fill="FFFFFF"/>
            <w:noWrap/>
            <w:vAlign w:val="center"/>
          </w:tcPr>
          <w:p w14:paraId="5E920C5A">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14:paraId="13600F8A">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297B12B1">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27AC14DF">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w:t>
            </w:r>
          </w:p>
        </w:tc>
        <w:tc>
          <w:tcPr>
            <w:tcW w:w="1231" w:type="dxa"/>
            <w:tcBorders>
              <w:top w:val="nil"/>
              <w:left w:val="nil"/>
              <w:bottom w:val="single" w:color="000000" w:sz="4" w:space="0"/>
              <w:right w:val="single" w:color="000000" w:sz="4" w:space="0"/>
            </w:tcBorders>
            <w:shd w:val="clear" w:color="000000" w:fill="FFFFFF"/>
            <w:noWrap/>
            <w:vAlign w:val="center"/>
          </w:tcPr>
          <w:p w14:paraId="19F6092C">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15196B27">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0868D6EF">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5A9210B1">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二十、粮油物资储备支出</w:t>
            </w:r>
          </w:p>
        </w:tc>
        <w:tc>
          <w:tcPr>
            <w:tcW w:w="639" w:type="dxa"/>
            <w:tcBorders>
              <w:top w:val="nil"/>
              <w:left w:val="nil"/>
              <w:bottom w:val="single" w:color="000000" w:sz="4" w:space="0"/>
              <w:right w:val="single" w:color="000000" w:sz="4" w:space="0"/>
            </w:tcBorders>
            <w:shd w:val="clear" w:color="FFFFFF" w:fill="FFFFFF"/>
            <w:noWrap/>
            <w:vAlign w:val="center"/>
          </w:tcPr>
          <w:p w14:paraId="1AD44EB9">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50</w:t>
            </w:r>
          </w:p>
        </w:tc>
        <w:tc>
          <w:tcPr>
            <w:tcW w:w="1231" w:type="dxa"/>
            <w:tcBorders>
              <w:top w:val="nil"/>
              <w:left w:val="nil"/>
              <w:bottom w:val="single" w:color="000000" w:sz="4" w:space="0"/>
              <w:right w:val="single" w:color="000000" w:sz="4" w:space="0"/>
            </w:tcBorders>
            <w:shd w:val="clear" w:color="000000" w:fill="FFFFFF"/>
            <w:noWrap/>
            <w:vAlign w:val="center"/>
          </w:tcPr>
          <w:p w14:paraId="39EB25D0">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220CC938">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1FB4CF46">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6022086E">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九、对社会保障基金补助</w:t>
            </w:r>
          </w:p>
        </w:tc>
        <w:tc>
          <w:tcPr>
            <w:tcW w:w="639" w:type="dxa"/>
            <w:tcBorders>
              <w:top w:val="nil"/>
              <w:left w:val="nil"/>
              <w:bottom w:val="single" w:color="000000" w:sz="4" w:space="0"/>
              <w:right w:val="single" w:color="000000" w:sz="4" w:space="0"/>
            </w:tcBorders>
            <w:shd w:val="clear" w:color="FFFFFF" w:fill="FFFFFF"/>
            <w:noWrap/>
            <w:vAlign w:val="center"/>
          </w:tcPr>
          <w:p w14:paraId="399C79FB">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75</w:t>
            </w:r>
          </w:p>
        </w:tc>
        <w:tc>
          <w:tcPr>
            <w:tcW w:w="1231" w:type="dxa"/>
            <w:tcBorders>
              <w:top w:val="nil"/>
              <w:left w:val="nil"/>
              <w:bottom w:val="single" w:color="000000" w:sz="4" w:space="0"/>
              <w:right w:val="single" w:color="000000" w:sz="4" w:space="0"/>
            </w:tcBorders>
            <w:shd w:val="clear" w:color="000000" w:fill="FFFFFF"/>
            <w:noWrap/>
            <w:vAlign w:val="center"/>
          </w:tcPr>
          <w:p w14:paraId="2BFABCB4">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1232" w:type="dxa"/>
            <w:tcBorders>
              <w:top w:val="nil"/>
              <w:left w:val="nil"/>
              <w:bottom w:val="single" w:color="000000" w:sz="4" w:space="0"/>
              <w:right w:val="single" w:color="000000" w:sz="4" w:space="0"/>
            </w:tcBorders>
            <w:shd w:val="clear" w:color="000000" w:fill="FFFFFF"/>
            <w:noWrap/>
            <w:vAlign w:val="center"/>
          </w:tcPr>
          <w:p w14:paraId="3A096CF7">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851" w:type="dxa"/>
            <w:tcBorders>
              <w:top w:val="nil"/>
              <w:left w:val="nil"/>
              <w:bottom w:val="single" w:color="000000" w:sz="4" w:space="0"/>
              <w:right w:val="single" w:color="000000" w:sz="8" w:space="0"/>
            </w:tcBorders>
            <w:shd w:val="clear" w:color="000000" w:fill="FFFFFF"/>
            <w:noWrap/>
            <w:vAlign w:val="center"/>
          </w:tcPr>
          <w:p w14:paraId="3A1CE2D0">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14:paraId="227035D2">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112E052C">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1DA72370">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w:t>
            </w:r>
          </w:p>
        </w:tc>
        <w:tc>
          <w:tcPr>
            <w:tcW w:w="1231" w:type="dxa"/>
            <w:tcBorders>
              <w:top w:val="nil"/>
              <w:left w:val="nil"/>
              <w:bottom w:val="single" w:color="000000" w:sz="4" w:space="0"/>
              <w:right w:val="single" w:color="000000" w:sz="4" w:space="0"/>
            </w:tcBorders>
            <w:shd w:val="clear" w:color="000000" w:fill="FFFFFF"/>
            <w:noWrap/>
            <w:vAlign w:val="center"/>
          </w:tcPr>
          <w:p w14:paraId="13B9F46A">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40EAB110">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3800825C">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4B948C7A">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二十一、灾害防治及应急管理支出</w:t>
            </w:r>
          </w:p>
        </w:tc>
        <w:tc>
          <w:tcPr>
            <w:tcW w:w="639" w:type="dxa"/>
            <w:tcBorders>
              <w:top w:val="nil"/>
              <w:left w:val="nil"/>
              <w:bottom w:val="single" w:color="000000" w:sz="4" w:space="0"/>
              <w:right w:val="single" w:color="000000" w:sz="4" w:space="0"/>
            </w:tcBorders>
            <w:shd w:val="clear" w:color="FFFFFF" w:fill="FFFFFF"/>
            <w:noWrap/>
            <w:vAlign w:val="center"/>
          </w:tcPr>
          <w:p w14:paraId="2560032F">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51</w:t>
            </w:r>
          </w:p>
        </w:tc>
        <w:tc>
          <w:tcPr>
            <w:tcW w:w="1231" w:type="dxa"/>
            <w:tcBorders>
              <w:top w:val="nil"/>
              <w:left w:val="nil"/>
              <w:bottom w:val="single" w:color="000000" w:sz="4" w:space="0"/>
              <w:right w:val="single" w:color="000000" w:sz="4" w:space="0"/>
            </w:tcBorders>
            <w:shd w:val="clear" w:color="000000" w:fill="FFFFFF"/>
            <w:noWrap/>
            <w:vAlign w:val="center"/>
          </w:tcPr>
          <w:p w14:paraId="375F118A">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02768F89">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31CA5E34">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47AD121F">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十、其他支出</w:t>
            </w:r>
          </w:p>
        </w:tc>
        <w:tc>
          <w:tcPr>
            <w:tcW w:w="639" w:type="dxa"/>
            <w:tcBorders>
              <w:top w:val="nil"/>
              <w:left w:val="nil"/>
              <w:bottom w:val="single" w:color="000000" w:sz="4" w:space="0"/>
              <w:right w:val="single" w:color="000000" w:sz="4" w:space="0"/>
            </w:tcBorders>
            <w:shd w:val="clear" w:color="FFFFFF" w:fill="FFFFFF"/>
            <w:noWrap/>
            <w:vAlign w:val="center"/>
          </w:tcPr>
          <w:p w14:paraId="4C657A22">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76</w:t>
            </w:r>
          </w:p>
        </w:tc>
        <w:tc>
          <w:tcPr>
            <w:tcW w:w="1231" w:type="dxa"/>
            <w:tcBorders>
              <w:top w:val="nil"/>
              <w:left w:val="nil"/>
              <w:bottom w:val="single" w:color="000000" w:sz="4" w:space="0"/>
              <w:right w:val="single" w:color="000000" w:sz="4" w:space="0"/>
            </w:tcBorders>
            <w:shd w:val="clear" w:color="000000" w:fill="FFFFFF"/>
            <w:noWrap/>
            <w:vAlign w:val="center"/>
          </w:tcPr>
          <w:p w14:paraId="2C738D67">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1232" w:type="dxa"/>
            <w:tcBorders>
              <w:top w:val="nil"/>
              <w:left w:val="nil"/>
              <w:bottom w:val="single" w:color="000000" w:sz="4" w:space="0"/>
              <w:right w:val="single" w:color="000000" w:sz="4" w:space="0"/>
            </w:tcBorders>
            <w:shd w:val="clear" w:color="000000" w:fill="FFFFFF"/>
            <w:noWrap/>
            <w:vAlign w:val="center"/>
          </w:tcPr>
          <w:p w14:paraId="5664E114">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851" w:type="dxa"/>
            <w:tcBorders>
              <w:top w:val="nil"/>
              <w:left w:val="nil"/>
              <w:bottom w:val="single" w:color="000000" w:sz="4" w:space="0"/>
              <w:right w:val="single" w:color="000000" w:sz="8" w:space="0"/>
            </w:tcBorders>
            <w:shd w:val="clear" w:color="000000" w:fill="FFFFFF"/>
            <w:noWrap/>
            <w:vAlign w:val="center"/>
          </w:tcPr>
          <w:p w14:paraId="6D6C5D4D">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14:paraId="41E32D45">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34EC929E">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67818B01">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22</w:t>
            </w:r>
          </w:p>
        </w:tc>
        <w:tc>
          <w:tcPr>
            <w:tcW w:w="1231" w:type="dxa"/>
            <w:tcBorders>
              <w:top w:val="nil"/>
              <w:left w:val="nil"/>
              <w:bottom w:val="single" w:color="000000" w:sz="4" w:space="0"/>
              <w:right w:val="single" w:color="000000" w:sz="4" w:space="0"/>
            </w:tcBorders>
            <w:shd w:val="clear" w:color="000000" w:fill="FFFFFF"/>
            <w:noWrap/>
            <w:vAlign w:val="center"/>
          </w:tcPr>
          <w:p w14:paraId="64FF7087">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0737CC12">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3A7FDB15">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1BF3C7CA">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二十二、其他支出</w:t>
            </w:r>
          </w:p>
        </w:tc>
        <w:tc>
          <w:tcPr>
            <w:tcW w:w="639" w:type="dxa"/>
            <w:tcBorders>
              <w:top w:val="nil"/>
              <w:left w:val="nil"/>
              <w:bottom w:val="single" w:color="000000" w:sz="4" w:space="0"/>
              <w:right w:val="single" w:color="000000" w:sz="4" w:space="0"/>
            </w:tcBorders>
            <w:shd w:val="clear" w:color="FFFFFF" w:fill="FFFFFF"/>
            <w:noWrap/>
            <w:vAlign w:val="center"/>
          </w:tcPr>
          <w:p w14:paraId="6465F466">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52</w:t>
            </w:r>
          </w:p>
        </w:tc>
        <w:tc>
          <w:tcPr>
            <w:tcW w:w="1231" w:type="dxa"/>
            <w:tcBorders>
              <w:top w:val="nil"/>
              <w:left w:val="nil"/>
              <w:bottom w:val="single" w:color="000000" w:sz="4" w:space="0"/>
              <w:right w:val="single" w:color="000000" w:sz="4" w:space="0"/>
            </w:tcBorders>
            <w:shd w:val="clear" w:color="000000" w:fill="FFFFFF"/>
            <w:noWrap/>
            <w:vAlign w:val="center"/>
          </w:tcPr>
          <w:p w14:paraId="7662D53E">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6F3D79A6">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60473428">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4E49CFE8">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5FD507B9">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77</w:t>
            </w:r>
          </w:p>
        </w:tc>
        <w:tc>
          <w:tcPr>
            <w:tcW w:w="1231" w:type="dxa"/>
            <w:tcBorders>
              <w:top w:val="nil"/>
              <w:left w:val="nil"/>
              <w:bottom w:val="single" w:color="000000" w:sz="4" w:space="0"/>
              <w:right w:val="single" w:color="000000" w:sz="4" w:space="0"/>
            </w:tcBorders>
            <w:shd w:val="clear" w:color="000000" w:fill="FFFFFF"/>
            <w:noWrap/>
            <w:vAlign w:val="center"/>
          </w:tcPr>
          <w:p w14:paraId="3097AEEB">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2" w:type="dxa"/>
            <w:tcBorders>
              <w:top w:val="nil"/>
              <w:left w:val="nil"/>
              <w:bottom w:val="single" w:color="000000" w:sz="4" w:space="0"/>
              <w:right w:val="single" w:color="000000" w:sz="4" w:space="0"/>
            </w:tcBorders>
            <w:shd w:val="clear" w:color="000000" w:fill="FFFFFF"/>
            <w:noWrap/>
            <w:vAlign w:val="center"/>
          </w:tcPr>
          <w:p w14:paraId="1400C363">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1" w:type="dxa"/>
            <w:tcBorders>
              <w:top w:val="nil"/>
              <w:left w:val="nil"/>
              <w:bottom w:val="single" w:color="000000" w:sz="4" w:space="0"/>
              <w:right w:val="single" w:color="000000" w:sz="8" w:space="0"/>
            </w:tcBorders>
            <w:shd w:val="clear" w:color="000000" w:fill="FFFFFF"/>
            <w:noWrap/>
            <w:vAlign w:val="center"/>
          </w:tcPr>
          <w:p w14:paraId="244723CA">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14:paraId="3184EBFC">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02452790">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514F0B48">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23</w:t>
            </w:r>
          </w:p>
        </w:tc>
        <w:tc>
          <w:tcPr>
            <w:tcW w:w="1231" w:type="dxa"/>
            <w:tcBorders>
              <w:top w:val="nil"/>
              <w:left w:val="nil"/>
              <w:bottom w:val="single" w:color="000000" w:sz="4" w:space="0"/>
              <w:right w:val="single" w:color="000000" w:sz="4" w:space="0"/>
            </w:tcBorders>
            <w:shd w:val="clear" w:color="000000" w:fill="FFFFFF"/>
            <w:noWrap/>
            <w:vAlign w:val="center"/>
          </w:tcPr>
          <w:p w14:paraId="08EEC336">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6D087586">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7976EBFF">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40EA72CE">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二十三、债务还本支出</w:t>
            </w:r>
          </w:p>
        </w:tc>
        <w:tc>
          <w:tcPr>
            <w:tcW w:w="639" w:type="dxa"/>
            <w:tcBorders>
              <w:top w:val="nil"/>
              <w:left w:val="nil"/>
              <w:bottom w:val="single" w:color="000000" w:sz="4" w:space="0"/>
              <w:right w:val="single" w:color="000000" w:sz="4" w:space="0"/>
            </w:tcBorders>
            <w:shd w:val="clear" w:color="FFFFFF" w:fill="FFFFFF"/>
            <w:noWrap/>
            <w:vAlign w:val="center"/>
          </w:tcPr>
          <w:p w14:paraId="07E9791E">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53</w:t>
            </w:r>
          </w:p>
        </w:tc>
        <w:tc>
          <w:tcPr>
            <w:tcW w:w="1231" w:type="dxa"/>
            <w:tcBorders>
              <w:top w:val="nil"/>
              <w:left w:val="nil"/>
              <w:bottom w:val="single" w:color="000000" w:sz="4" w:space="0"/>
              <w:right w:val="single" w:color="000000" w:sz="4" w:space="0"/>
            </w:tcBorders>
            <w:shd w:val="clear" w:color="000000" w:fill="FFFFFF"/>
            <w:noWrap/>
            <w:vAlign w:val="center"/>
          </w:tcPr>
          <w:p w14:paraId="0622F441">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09E78204">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6D151AA9">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5A821828">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1322E1B6">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78</w:t>
            </w:r>
          </w:p>
        </w:tc>
        <w:tc>
          <w:tcPr>
            <w:tcW w:w="1231" w:type="dxa"/>
            <w:tcBorders>
              <w:top w:val="nil"/>
              <w:left w:val="nil"/>
              <w:bottom w:val="single" w:color="000000" w:sz="4" w:space="0"/>
              <w:right w:val="single" w:color="000000" w:sz="4" w:space="0"/>
            </w:tcBorders>
            <w:shd w:val="clear" w:color="000000" w:fill="FFFFFF"/>
            <w:noWrap/>
            <w:vAlign w:val="center"/>
          </w:tcPr>
          <w:p w14:paraId="3AD2B2DB">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2" w:type="dxa"/>
            <w:tcBorders>
              <w:top w:val="nil"/>
              <w:left w:val="nil"/>
              <w:bottom w:val="single" w:color="000000" w:sz="4" w:space="0"/>
              <w:right w:val="single" w:color="000000" w:sz="4" w:space="0"/>
            </w:tcBorders>
            <w:shd w:val="clear" w:color="000000" w:fill="FFFFFF"/>
            <w:noWrap/>
            <w:vAlign w:val="center"/>
          </w:tcPr>
          <w:p w14:paraId="05900AD1">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1" w:type="dxa"/>
            <w:tcBorders>
              <w:top w:val="nil"/>
              <w:left w:val="nil"/>
              <w:bottom w:val="single" w:color="000000" w:sz="4" w:space="0"/>
              <w:right w:val="single" w:color="000000" w:sz="8" w:space="0"/>
            </w:tcBorders>
            <w:shd w:val="clear" w:color="000000" w:fill="FFFFFF"/>
            <w:noWrap/>
            <w:vAlign w:val="center"/>
          </w:tcPr>
          <w:p w14:paraId="5ADB2025">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14:paraId="30CFEF36">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1AE20F76">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100B4952">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24</w:t>
            </w:r>
          </w:p>
        </w:tc>
        <w:tc>
          <w:tcPr>
            <w:tcW w:w="1231" w:type="dxa"/>
            <w:tcBorders>
              <w:top w:val="nil"/>
              <w:left w:val="nil"/>
              <w:bottom w:val="single" w:color="000000" w:sz="4" w:space="0"/>
              <w:right w:val="single" w:color="000000" w:sz="4" w:space="0"/>
            </w:tcBorders>
            <w:shd w:val="clear" w:color="000000" w:fill="FFFFFF"/>
            <w:noWrap/>
            <w:vAlign w:val="center"/>
          </w:tcPr>
          <w:p w14:paraId="260EEE2A">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3327F135">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3C45D6E8">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2F69F434">
            <w:pPr>
              <w:widowControl/>
              <w:jc w:val="left"/>
              <w:rPr>
                <w:rFonts w:ascii="Times New Roman" w:hAnsi="Times New Roman" w:eastAsia="宋体" w:cs="Times New Roman"/>
                <w:color w:val="000000"/>
                <w:kern w:val="0"/>
                <w:sz w:val="18"/>
                <w:szCs w:val="18"/>
              </w:rPr>
            </w:pPr>
            <w:r>
              <w:rPr>
                <w:rFonts w:hint="eastAsia" w:ascii="仿宋_GB2312" w:hAnsi="Times New Roman" w:cs="Times New Roman"/>
                <w:color w:val="000000"/>
                <w:kern w:val="0"/>
                <w:sz w:val="18"/>
                <w:szCs w:val="18"/>
              </w:rPr>
              <w:t>二十四、债务付息支出</w:t>
            </w:r>
          </w:p>
        </w:tc>
        <w:tc>
          <w:tcPr>
            <w:tcW w:w="639" w:type="dxa"/>
            <w:tcBorders>
              <w:top w:val="nil"/>
              <w:left w:val="nil"/>
              <w:bottom w:val="single" w:color="000000" w:sz="4" w:space="0"/>
              <w:right w:val="single" w:color="000000" w:sz="4" w:space="0"/>
            </w:tcBorders>
            <w:shd w:val="clear" w:color="FFFFFF" w:fill="FFFFFF"/>
            <w:noWrap/>
            <w:vAlign w:val="center"/>
          </w:tcPr>
          <w:p w14:paraId="6A26F458">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54</w:t>
            </w:r>
          </w:p>
        </w:tc>
        <w:tc>
          <w:tcPr>
            <w:tcW w:w="1231" w:type="dxa"/>
            <w:tcBorders>
              <w:top w:val="nil"/>
              <w:left w:val="nil"/>
              <w:bottom w:val="single" w:color="000000" w:sz="4" w:space="0"/>
              <w:right w:val="single" w:color="000000" w:sz="4" w:space="0"/>
            </w:tcBorders>
            <w:shd w:val="clear" w:color="000000" w:fill="FFFFFF"/>
            <w:noWrap/>
            <w:vAlign w:val="center"/>
          </w:tcPr>
          <w:p w14:paraId="6DF0AF0F">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7740D5AC">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229C14AA">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58A1A7EA">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31B967B1">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79</w:t>
            </w:r>
          </w:p>
        </w:tc>
        <w:tc>
          <w:tcPr>
            <w:tcW w:w="1231" w:type="dxa"/>
            <w:tcBorders>
              <w:top w:val="nil"/>
              <w:left w:val="nil"/>
              <w:bottom w:val="single" w:color="000000" w:sz="4" w:space="0"/>
              <w:right w:val="single" w:color="000000" w:sz="4" w:space="0"/>
            </w:tcBorders>
            <w:shd w:val="clear" w:color="000000" w:fill="FFFFFF"/>
            <w:noWrap/>
            <w:vAlign w:val="center"/>
          </w:tcPr>
          <w:p w14:paraId="4D8E42ED">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2" w:type="dxa"/>
            <w:tcBorders>
              <w:top w:val="nil"/>
              <w:left w:val="nil"/>
              <w:bottom w:val="single" w:color="000000" w:sz="4" w:space="0"/>
              <w:right w:val="single" w:color="000000" w:sz="4" w:space="0"/>
            </w:tcBorders>
            <w:shd w:val="clear" w:color="000000" w:fill="FFFFFF"/>
            <w:noWrap/>
            <w:vAlign w:val="center"/>
          </w:tcPr>
          <w:p w14:paraId="474078C7">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1" w:type="dxa"/>
            <w:tcBorders>
              <w:top w:val="nil"/>
              <w:left w:val="nil"/>
              <w:bottom w:val="single" w:color="000000" w:sz="4" w:space="0"/>
              <w:right w:val="single" w:color="000000" w:sz="8" w:space="0"/>
            </w:tcBorders>
            <w:shd w:val="clear" w:color="000000" w:fill="FFFFFF"/>
            <w:noWrap/>
            <w:vAlign w:val="center"/>
          </w:tcPr>
          <w:p w14:paraId="0ADE715F">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14:paraId="40CE795E">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3A2C4C6D">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76A8C972">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w:t>
            </w:r>
          </w:p>
        </w:tc>
        <w:tc>
          <w:tcPr>
            <w:tcW w:w="1231" w:type="dxa"/>
            <w:tcBorders>
              <w:top w:val="nil"/>
              <w:left w:val="nil"/>
              <w:bottom w:val="single" w:color="000000" w:sz="4" w:space="0"/>
              <w:right w:val="single" w:color="000000" w:sz="4" w:space="0"/>
            </w:tcBorders>
            <w:shd w:val="clear" w:color="000000" w:fill="FFFFFF"/>
            <w:noWrap/>
            <w:vAlign w:val="center"/>
          </w:tcPr>
          <w:p w14:paraId="22701296">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35E43398">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350BF5CF">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232" w:type="dxa"/>
            <w:tcBorders>
              <w:top w:val="nil"/>
              <w:left w:val="nil"/>
              <w:bottom w:val="single" w:color="000000" w:sz="4" w:space="0"/>
              <w:right w:val="single" w:color="000000" w:sz="4" w:space="0"/>
            </w:tcBorders>
            <w:shd w:val="clear" w:color="FFFFFF" w:fill="FFFFFF"/>
            <w:noWrap/>
            <w:vAlign w:val="center"/>
          </w:tcPr>
          <w:p w14:paraId="67C11BC8">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2F86DEFC">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55</w:t>
            </w:r>
          </w:p>
        </w:tc>
        <w:tc>
          <w:tcPr>
            <w:tcW w:w="1231" w:type="dxa"/>
            <w:tcBorders>
              <w:top w:val="nil"/>
              <w:left w:val="nil"/>
              <w:bottom w:val="single" w:color="000000" w:sz="4" w:space="0"/>
              <w:right w:val="single" w:color="000000" w:sz="4" w:space="0"/>
            </w:tcBorders>
            <w:shd w:val="clear" w:color="000000" w:fill="FFFFFF"/>
            <w:noWrap/>
            <w:vAlign w:val="center"/>
          </w:tcPr>
          <w:p w14:paraId="6348BB9F">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4DB6F8C8">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38" w:type="dxa"/>
            <w:tcBorders>
              <w:top w:val="nil"/>
              <w:left w:val="nil"/>
              <w:bottom w:val="single" w:color="000000" w:sz="4" w:space="0"/>
              <w:right w:val="single" w:color="000000" w:sz="4" w:space="0"/>
            </w:tcBorders>
            <w:shd w:val="clear" w:color="000000" w:fill="FFFFFF"/>
            <w:noWrap/>
            <w:vAlign w:val="center"/>
          </w:tcPr>
          <w:p w14:paraId="3F78E5F3">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2847" w:type="dxa"/>
            <w:tcBorders>
              <w:top w:val="nil"/>
              <w:left w:val="nil"/>
              <w:bottom w:val="single" w:color="000000" w:sz="4" w:space="0"/>
              <w:right w:val="single" w:color="000000" w:sz="4" w:space="0"/>
            </w:tcBorders>
            <w:shd w:val="clear" w:color="FFFFFF" w:fill="FFFFFF"/>
            <w:noWrap/>
            <w:vAlign w:val="center"/>
          </w:tcPr>
          <w:p w14:paraId="4832F3A5">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06C7DA85">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80</w:t>
            </w:r>
          </w:p>
        </w:tc>
        <w:tc>
          <w:tcPr>
            <w:tcW w:w="1231" w:type="dxa"/>
            <w:tcBorders>
              <w:top w:val="nil"/>
              <w:left w:val="nil"/>
              <w:bottom w:val="single" w:color="000000" w:sz="4" w:space="0"/>
              <w:right w:val="single" w:color="000000" w:sz="4" w:space="0"/>
            </w:tcBorders>
            <w:shd w:val="clear" w:color="000000" w:fill="FFFFFF"/>
            <w:noWrap/>
            <w:vAlign w:val="center"/>
          </w:tcPr>
          <w:p w14:paraId="1E25F7F6">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2" w:type="dxa"/>
            <w:tcBorders>
              <w:top w:val="nil"/>
              <w:left w:val="nil"/>
              <w:bottom w:val="single" w:color="000000" w:sz="4" w:space="0"/>
              <w:right w:val="single" w:color="000000" w:sz="4" w:space="0"/>
            </w:tcBorders>
            <w:shd w:val="clear" w:color="000000" w:fill="FFFFFF"/>
            <w:noWrap/>
            <w:vAlign w:val="center"/>
          </w:tcPr>
          <w:p w14:paraId="397C2CA1">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1" w:type="dxa"/>
            <w:tcBorders>
              <w:top w:val="nil"/>
              <w:left w:val="nil"/>
              <w:bottom w:val="single" w:color="000000" w:sz="4" w:space="0"/>
              <w:right w:val="single" w:color="000000" w:sz="8" w:space="0"/>
            </w:tcBorders>
            <w:shd w:val="clear" w:color="000000" w:fill="FFFFFF"/>
            <w:noWrap/>
            <w:vAlign w:val="center"/>
          </w:tcPr>
          <w:p w14:paraId="137B051F">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14:paraId="581B96D8">
        <w:tblPrEx>
          <w:tblCellMar>
            <w:top w:w="0" w:type="dxa"/>
            <w:left w:w="108" w:type="dxa"/>
            <w:bottom w:w="0" w:type="dxa"/>
            <w:right w:w="108" w:type="dxa"/>
          </w:tblCellMar>
        </w:tblPrEx>
        <w:trPr>
          <w:cantSplit/>
          <w:trHeight w:val="331"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26ABDF38">
            <w:pPr>
              <w:widowControl/>
              <w:jc w:val="center"/>
              <w:rPr>
                <w:rFonts w:ascii="Times New Roman" w:hAnsi="Times New Roman" w:eastAsia="宋体" w:cs="Times New Roman"/>
                <w:b/>
                <w:bCs/>
                <w:color w:val="000000"/>
                <w:kern w:val="0"/>
                <w:sz w:val="18"/>
                <w:szCs w:val="18"/>
              </w:rPr>
            </w:pPr>
            <w:r>
              <w:rPr>
                <w:rFonts w:hint="eastAsia" w:ascii="仿宋_GB2312" w:hAnsi="Times New Roman" w:cs="Times New Roman"/>
                <w:b/>
                <w:bCs/>
                <w:color w:val="000000"/>
                <w:kern w:val="0"/>
                <w:sz w:val="18"/>
                <w:szCs w:val="18"/>
              </w:rPr>
              <w:t>本年收入合计</w:t>
            </w:r>
          </w:p>
        </w:tc>
        <w:tc>
          <w:tcPr>
            <w:tcW w:w="639" w:type="dxa"/>
            <w:tcBorders>
              <w:top w:val="nil"/>
              <w:left w:val="nil"/>
              <w:bottom w:val="single" w:color="000000" w:sz="4" w:space="0"/>
              <w:right w:val="single" w:color="000000" w:sz="4" w:space="0"/>
            </w:tcBorders>
            <w:shd w:val="clear" w:color="FFFFFF" w:fill="FFFFFF"/>
            <w:noWrap/>
            <w:vAlign w:val="center"/>
          </w:tcPr>
          <w:p w14:paraId="56099BAA">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26</w:t>
            </w:r>
          </w:p>
        </w:tc>
        <w:tc>
          <w:tcPr>
            <w:tcW w:w="1231" w:type="dxa"/>
            <w:tcBorders>
              <w:top w:val="nil"/>
              <w:left w:val="nil"/>
              <w:bottom w:val="single" w:color="000000" w:sz="4" w:space="0"/>
              <w:right w:val="single" w:color="000000" w:sz="4" w:space="0"/>
            </w:tcBorders>
            <w:shd w:val="clear" w:color="000000" w:fill="FFFFFF"/>
            <w:noWrap/>
            <w:vAlign w:val="center"/>
          </w:tcPr>
          <w:p w14:paraId="70F65529">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475.96</w:t>
            </w:r>
          </w:p>
        </w:tc>
        <w:tc>
          <w:tcPr>
            <w:tcW w:w="1231" w:type="dxa"/>
            <w:tcBorders>
              <w:top w:val="nil"/>
              <w:left w:val="nil"/>
              <w:bottom w:val="single" w:color="000000" w:sz="4" w:space="0"/>
              <w:right w:val="single" w:color="000000" w:sz="4" w:space="0"/>
            </w:tcBorders>
            <w:shd w:val="clear" w:color="000000" w:fill="FFFFFF"/>
            <w:noWrap/>
            <w:vAlign w:val="center"/>
          </w:tcPr>
          <w:p w14:paraId="395334A7">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754.39</w:t>
            </w:r>
          </w:p>
        </w:tc>
        <w:tc>
          <w:tcPr>
            <w:tcW w:w="850" w:type="dxa"/>
            <w:tcBorders>
              <w:top w:val="nil"/>
              <w:left w:val="nil"/>
              <w:bottom w:val="single" w:color="000000" w:sz="4" w:space="0"/>
              <w:right w:val="single" w:color="000000" w:sz="4" w:space="0"/>
            </w:tcBorders>
            <w:shd w:val="clear" w:color="000000" w:fill="FFFFFF"/>
            <w:noWrap/>
            <w:vAlign w:val="center"/>
          </w:tcPr>
          <w:p w14:paraId="025FC895">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756.79</w:t>
            </w:r>
          </w:p>
        </w:tc>
        <w:tc>
          <w:tcPr>
            <w:tcW w:w="10018" w:type="dxa"/>
            <w:gridSpan w:val="6"/>
            <w:tcBorders>
              <w:top w:val="nil"/>
              <w:left w:val="nil"/>
              <w:bottom w:val="single" w:color="000000" w:sz="4" w:space="0"/>
              <w:right w:val="single" w:color="000000" w:sz="4" w:space="0"/>
            </w:tcBorders>
            <w:shd w:val="clear" w:color="FFFFFF" w:fill="FFFFFF"/>
            <w:noWrap/>
            <w:vAlign w:val="center"/>
          </w:tcPr>
          <w:p w14:paraId="0ACF4A8E">
            <w:pPr>
              <w:widowControl/>
              <w:jc w:val="center"/>
              <w:rPr>
                <w:rFonts w:ascii="Times New Roman" w:hAnsi="Times New Roman" w:eastAsia="宋体" w:cs="Times New Roman"/>
                <w:b/>
                <w:bCs/>
                <w:color w:val="000000"/>
                <w:kern w:val="0"/>
                <w:sz w:val="18"/>
                <w:szCs w:val="18"/>
              </w:rPr>
            </w:pPr>
            <w:r>
              <w:rPr>
                <w:rFonts w:hint="eastAsia" w:ascii="仿宋_GB2312" w:hAnsi="Times New Roman" w:cs="Times New Roman"/>
                <w:b/>
                <w:bCs/>
                <w:color w:val="000000"/>
                <w:kern w:val="0"/>
                <w:sz w:val="18"/>
                <w:szCs w:val="18"/>
              </w:rPr>
              <w:t>本年支出合计</w:t>
            </w:r>
          </w:p>
        </w:tc>
        <w:tc>
          <w:tcPr>
            <w:tcW w:w="639" w:type="dxa"/>
            <w:tcBorders>
              <w:top w:val="nil"/>
              <w:left w:val="nil"/>
              <w:bottom w:val="single" w:color="000000" w:sz="4" w:space="0"/>
              <w:right w:val="single" w:color="000000" w:sz="4" w:space="0"/>
            </w:tcBorders>
            <w:shd w:val="clear" w:color="FFFFFF" w:fill="FFFFFF"/>
            <w:noWrap/>
            <w:vAlign w:val="center"/>
          </w:tcPr>
          <w:p w14:paraId="5243637A">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81</w:t>
            </w:r>
          </w:p>
        </w:tc>
        <w:tc>
          <w:tcPr>
            <w:tcW w:w="1231" w:type="dxa"/>
            <w:tcBorders>
              <w:top w:val="nil"/>
              <w:left w:val="nil"/>
              <w:bottom w:val="single" w:color="000000" w:sz="4" w:space="0"/>
              <w:right w:val="single" w:color="000000" w:sz="4" w:space="0"/>
            </w:tcBorders>
            <w:shd w:val="clear" w:color="000000" w:fill="FFFFFF"/>
            <w:noWrap/>
            <w:vAlign w:val="center"/>
          </w:tcPr>
          <w:p w14:paraId="50E9CDA4">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475.968</w:t>
            </w:r>
          </w:p>
        </w:tc>
        <w:tc>
          <w:tcPr>
            <w:tcW w:w="1232" w:type="dxa"/>
            <w:tcBorders>
              <w:top w:val="nil"/>
              <w:left w:val="nil"/>
              <w:bottom w:val="single" w:color="000000" w:sz="4" w:space="0"/>
              <w:right w:val="single" w:color="000000" w:sz="4" w:space="0"/>
            </w:tcBorders>
            <w:shd w:val="clear" w:color="000000" w:fill="FFFFFF"/>
            <w:noWrap/>
            <w:vAlign w:val="center"/>
          </w:tcPr>
          <w:p w14:paraId="7B64862E">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640.24</w:t>
            </w:r>
          </w:p>
        </w:tc>
        <w:tc>
          <w:tcPr>
            <w:tcW w:w="851" w:type="dxa"/>
            <w:tcBorders>
              <w:top w:val="nil"/>
              <w:left w:val="nil"/>
              <w:bottom w:val="single" w:color="000000" w:sz="4" w:space="0"/>
              <w:right w:val="single" w:color="000000" w:sz="8" w:space="0"/>
            </w:tcBorders>
            <w:shd w:val="clear" w:color="000000" w:fill="FFFFFF"/>
            <w:noWrap/>
            <w:vAlign w:val="center"/>
          </w:tcPr>
          <w:p w14:paraId="6013FE45">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642.64</w:t>
            </w:r>
          </w:p>
        </w:tc>
      </w:tr>
      <w:tr w14:paraId="6624DEA8">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2E915691">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cs="Times New Roman"/>
                <w:color w:val="000000"/>
                <w:kern w:val="0"/>
                <w:sz w:val="18"/>
                <w:szCs w:val="18"/>
              </w:rPr>
              <w:t>用事业基金弥补收支差额</w:t>
            </w:r>
          </w:p>
        </w:tc>
        <w:tc>
          <w:tcPr>
            <w:tcW w:w="639" w:type="dxa"/>
            <w:tcBorders>
              <w:top w:val="nil"/>
              <w:left w:val="nil"/>
              <w:bottom w:val="single" w:color="000000" w:sz="4" w:space="0"/>
              <w:right w:val="single" w:color="000000" w:sz="4" w:space="0"/>
            </w:tcBorders>
            <w:shd w:val="clear" w:color="FFFFFF" w:fill="FFFFFF"/>
            <w:noWrap/>
            <w:vAlign w:val="center"/>
          </w:tcPr>
          <w:p w14:paraId="132E81F1">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27</w:t>
            </w:r>
          </w:p>
        </w:tc>
        <w:tc>
          <w:tcPr>
            <w:tcW w:w="1231" w:type="dxa"/>
            <w:tcBorders>
              <w:top w:val="nil"/>
              <w:left w:val="nil"/>
              <w:bottom w:val="single" w:color="000000" w:sz="4" w:space="0"/>
              <w:right w:val="single" w:color="000000" w:sz="4" w:space="0"/>
            </w:tcBorders>
            <w:shd w:val="clear" w:color="000000" w:fill="FFFFFF"/>
            <w:noWrap/>
            <w:vAlign w:val="center"/>
          </w:tcPr>
          <w:p w14:paraId="5B6047DD">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78F78A83">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4EED9801">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018" w:type="dxa"/>
            <w:gridSpan w:val="6"/>
            <w:tcBorders>
              <w:top w:val="nil"/>
              <w:left w:val="nil"/>
              <w:bottom w:val="single" w:color="000000" w:sz="4" w:space="0"/>
              <w:right w:val="single" w:color="000000" w:sz="4" w:space="0"/>
            </w:tcBorders>
            <w:shd w:val="clear" w:color="FFFFFF" w:fill="FFFFFF"/>
            <w:noWrap/>
            <w:vAlign w:val="center"/>
          </w:tcPr>
          <w:p w14:paraId="3F5F3A2B">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cs="Times New Roman"/>
                <w:color w:val="000000"/>
                <w:kern w:val="0"/>
                <w:sz w:val="18"/>
                <w:szCs w:val="18"/>
              </w:rPr>
              <w:t>结余分配</w:t>
            </w:r>
          </w:p>
        </w:tc>
        <w:tc>
          <w:tcPr>
            <w:tcW w:w="639" w:type="dxa"/>
            <w:tcBorders>
              <w:top w:val="nil"/>
              <w:left w:val="nil"/>
              <w:bottom w:val="single" w:color="000000" w:sz="4" w:space="0"/>
              <w:right w:val="single" w:color="000000" w:sz="4" w:space="0"/>
            </w:tcBorders>
            <w:shd w:val="clear" w:color="FFFFFF" w:fill="FFFFFF"/>
            <w:noWrap/>
            <w:vAlign w:val="center"/>
          </w:tcPr>
          <w:p w14:paraId="6C927F14">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82</w:t>
            </w:r>
          </w:p>
        </w:tc>
        <w:tc>
          <w:tcPr>
            <w:tcW w:w="1231" w:type="dxa"/>
            <w:tcBorders>
              <w:top w:val="nil"/>
              <w:left w:val="nil"/>
              <w:bottom w:val="single" w:color="000000" w:sz="4" w:space="0"/>
              <w:right w:val="single" w:color="000000" w:sz="4" w:space="0"/>
            </w:tcBorders>
            <w:shd w:val="clear" w:color="000000" w:fill="FFFFFF"/>
            <w:noWrap/>
            <w:vAlign w:val="center"/>
          </w:tcPr>
          <w:p w14:paraId="5C00243D">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1232" w:type="dxa"/>
            <w:tcBorders>
              <w:top w:val="nil"/>
              <w:left w:val="nil"/>
              <w:bottom w:val="single" w:color="000000" w:sz="4" w:space="0"/>
              <w:right w:val="single" w:color="000000" w:sz="4" w:space="0"/>
            </w:tcBorders>
            <w:shd w:val="clear" w:color="000000" w:fill="FFFFFF"/>
            <w:noWrap/>
            <w:vAlign w:val="center"/>
          </w:tcPr>
          <w:p w14:paraId="6149E953">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w:t>
            </w:r>
          </w:p>
        </w:tc>
        <w:tc>
          <w:tcPr>
            <w:tcW w:w="851" w:type="dxa"/>
            <w:tcBorders>
              <w:top w:val="nil"/>
              <w:left w:val="nil"/>
              <w:bottom w:val="single" w:color="000000" w:sz="4" w:space="0"/>
              <w:right w:val="single" w:color="000000" w:sz="8" w:space="0"/>
            </w:tcBorders>
            <w:shd w:val="clear" w:color="000000" w:fill="FFFFFF"/>
            <w:noWrap/>
            <w:vAlign w:val="center"/>
          </w:tcPr>
          <w:p w14:paraId="65EBB552">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14:paraId="256C9860">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1BF37813">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cs="Times New Roman"/>
                <w:color w:val="000000"/>
                <w:kern w:val="0"/>
                <w:sz w:val="18"/>
                <w:szCs w:val="18"/>
              </w:rPr>
              <w:t>年初结转和结余</w:t>
            </w:r>
          </w:p>
        </w:tc>
        <w:tc>
          <w:tcPr>
            <w:tcW w:w="639" w:type="dxa"/>
            <w:tcBorders>
              <w:top w:val="nil"/>
              <w:left w:val="nil"/>
              <w:bottom w:val="single" w:color="000000" w:sz="4" w:space="0"/>
              <w:right w:val="single" w:color="000000" w:sz="4" w:space="0"/>
            </w:tcBorders>
            <w:shd w:val="clear" w:color="FFFFFF" w:fill="FFFFFF"/>
            <w:noWrap/>
            <w:vAlign w:val="center"/>
          </w:tcPr>
          <w:p w14:paraId="3431A4F8">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28</w:t>
            </w:r>
          </w:p>
        </w:tc>
        <w:tc>
          <w:tcPr>
            <w:tcW w:w="1231" w:type="dxa"/>
            <w:tcBorders>
              <w:top w:val="nil"/>
              <w:left w:val="nil"/>
              <w:bottom w:val="single" w:color="000000" w:sz="4" w:space="0"/>
              <w:right w:val="single" w:color="000000" w:sz="4" w:space="0"/>
            </w:tcBorders>
            <w:shd w:val="clear" w:color="000000" w:fill="FFFFFF"/>
            <w:noWrap/>
            <w:vAlign w:val="center"/>
          </w:tcPr>
          <w:p w14:paraId="0228E623">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55C7E120">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5.27</w:t>
            </w:r>
          </w:p>
        </w:tc>
        <w:tc>
          <w:tcPr>
            <w:tcW w:w="850" w:type="dxa"/>
            <w:tcBorders>
              <w:top w:val="nil"/>
              <w:left w:val="nil"/>
              <w:bottom w:val="single" w:color="000000" w:sz="4" w:space="0"/>
              <w:right w:val="single" w:color="000000" w:sz="4" w:space="0"/>
            </w:tcBorders>
            <w:shd w:val="clear" w:color="000000" w:fill="FFFFFF"/>
            <w:noWrap/>
            <w:vAlign w:val="center"/>
          </w:tcPr>
          <w:p w14:paraId="5046EC8E">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5.27</w:t>
            </w:r>
          </w:p>
        </w:tc>
        <w:tc>
          <w:tcPr>
            <w:tcW w:w="10018" w:type="dxa"/>
            <w:gridSpan w:val="6"/>
            <w:tcBorders>
              <w:top w:val="nil"/>
              <w:left w:val="nil"/>
              <w:bottom w:val="single" w:color="000000" w:sz="4" w:space="0"/>
              <w:right w:val="single" w:color="000000" w:sz="4" w:space="0"/>
            </w:tcBorders>
            <w:shd w:val="clear" w:color="FFFFFF" w:fill="FFFFFF"/>
            <w:noWrap/>
            <w:vAlign w:val="center"/>
          </w:tcPr>
          <w:p w14:paraId="1A95D5E0">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cs="Times New Roman"/>
                <w:color w:val="000000"/>
                <w:kern w:val="0"/>
                <w:sz w:val="18"/>
                <w:szCs w:val="18"/>
              </w:rPr>
              <w:t>年末结转和结余</w:t>
            </w:r>
          </w:p>
        </w:tc>
        <w:tc>
          <w:tcPr>
            <w:tcW w:w="639" w:type="dxa"/>
            <w:tcBorders>
              <w:top w:val="nil"/>
              <w:left w:val="nil"/>
              <w:bottom w:val="single" w:color="000000" w:sz="4" w:space="0"/>
              <w:right w:val="single" w:color="000000" w:sz="4" w:space="0"/>
            </w:tcBorders>
            <w:shd w:val="clear" w:color="FFFFFF" w:fill="FFFFFF"/>
            <w:noWrap/>
            <w:vAlign w:val="center"/>
          </w:tcPr>
          <w:p w14:paraId="661C321B">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83</w:t>
            </w:r>
          </w:p>
        </w:tc>
        <w:tc>
          <w:tcPr>
            <w:tcW w:w="1231" w:type="dxa"/>
            <w:tcBorders>
              <w:top w:val="nil"/>
              <w:left w:val="nil"/>
              <w:bottom w:val="single" w:color="000000" w:sz="4" w:space="0"/>
              <w:right w:val="single" w:color="000000" w:sz="4" w:space="0"/>
            </w:tcBorders>
            <w:shd w:val="clear" w:color="000000" w:fill="FFFFFF"/>
            <w:noWrap/>
            <w:vAlign w:val="center"/>
          </w:tcPr>
          <w:p w14:paraId="40AFBF4D">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2" w:type="dxa"/>
            <w:tcBorders>
              <w:top w:val="nil"/>
              <w:left w:val="nil"/>
              <w:bottom w:val="single" w:color="000000" w:sz="4" w:space="0"/>
              <w:right w:val="single" w:color="000000" w:sz="4" w:space="0"/>
            </w:tcBorders>
            <w:shd w:val="clear" w:color="000000" w:fill="FFFFFF"/>
            <w:noWrap/>
            <w:vAlign w:val="center"/>
          </w:tcPr>
          <w:p w14:paraId="0A6AD422">
            <w:pPr>
              <w:widowControl/>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119.42</w:t>
            </w:r>
            <w:r>
              <w:rPr>
                <w:rFonts w:ascii="Times New Roman" w:hAnsi="Times New Roman" w:eastAsia="宋体" w:cs="Times New Roman"/>
                <w:color w:val="000000"/>
                <w:kern w:val="0"/>
                <w:sz w:val="18"/>
                <w:szCs w:val="18"/>
              </w:rPr>
              <w:t>　</w:t>
            </w:r>
          </w:p>
        </w:tc>
        <w:tc>
          <w:tcPr>
            <w:tcW w:w="851" w:type="dxa"/>
            <w:tcBorders>
              <w:top w:val="nil"/>
              <w:left w:val="nil"/>
              <w:bottom w:val="single" w:color="000000" w:sz="4" w:space="0"/>
              <w:right w:val="single" w:color="000000" w:sz="8" w:space="0"/>
            </w:tcBorders>
            <w:shd w:val="clear" w:color="000000" w:fill="FFFFFF"/>
            <w:noWrap/>
            <w:vAlign w:val="center"/>
          </w:tcPr>
          <w:p w14:paraId="10C09D51">
            <w:pPr>
              <w:widowControl/>
              <w:jc w:val="both"/>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 xml:space="preserve"> 119.42</w:t>
            </w:r>
          </w:p>
        </w:tc>
      </w:tr>
      <w:tr w14:paraId="335E7438">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4" w:space="0"/>
              <w:right w:val="single" w:color="000000" w:sz="4" w:space="0"/>
            </w:tcBorders>
            <w:shd w:val="clear" w:color="FFFFFF" w:fill="FFFFFF"/>
            <w:noWrap/>
            <w:vAlign w:val="center"/>
          </w:tcPr>
          <w:p w14:paraId="4F9AF18F">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6747A0E3">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29</w:t>
            </w:r>
          </w:p>
        </w:tc>
        <w:tc>
          <w:tcPr>
            <w:tcW w:w="1231" w:type="dxa"/>
            <w:tcBorders>
              <w:top w:val="nil"/>
              <w:left w:val="nil"/>
              <w:bottom w:val="single" w:color="000000" w:sz="4" w:space="0"/>
              <w:right w:val="single" w:color="000000" w:sz="4" w:space="0"/>
            </w:tcBorders>
            <w:shd w:val="clear" w:color="000000" w:fill="FFFFFF"/>
            <w:noWrap/>
            <w:vAlign w:val="center"/>
          </w:tcPr>
          <w:p w14:paraId="0478CBE6">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1" w:type="dxa"/>
            <w:tcBorders>
              <w:top w:val="nil"/>
              <w:left w:val="nil"/>
              <w:bottom w:val="single" w:color="000000" w:sz="4" w:space="0"/>
              <w:right w:val="single" w:color="000000" w:sz="4" w:space="0"/>
            </w:tcBorders>
            <w:shd w:val="clear" w:color="000000" w:fill="FFFFFF"/>
            <w:noWrap/>
            <w:vAlign w:val="center"/>
          </w:tcPr>
          <w:p w14:paraId="3F1CB98D">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0" w:type="dxa"/>
            <w:tcBorders>
              <w:top w:val="nil"/>
              <w:left w:val="nil"/>
              <w:bottom w:val="single" w:color="000000" w:sz="4" w:space="0"/>
              <w:right w:val="single" w:color="000000" w:sz="4" w:space="0"/>
            </w:tcBorders>
            <w:shd w:val="clear" w:color="000000" w:fill="FFFFFF"/>
            <w:noWrap/>
            <w:vAlign w:val="center"/>
          </w:tcPr>
          <w:p w14:paraId="02E46F3B">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018" w:type="dxa"/>
            <w:gridSpan w:val="6"/>
            <w:tcBorders>
              <w:top w:val="nil"/>
              <w:left w:val="nil"/>
              <w:bottom w:val="single" w:color="000000" w:sz="4" w:space="0"/>
              <w:right w:val="single" w:color="000000" w:sz="4" w:space="0"/>
            </w:tcBorders>
            <w:shd w:val="clear" w:color="FFFFFF" w:fill="FFFFFF"/>
            <w:noWrap/>
            <w:vAlign w:val="center"/>
          </w:tcPr>
          <w:p w14:paraId="5B7121F9">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639" w:type="dxa"/>
            <w:tcBorders>
              <w:top w:val="nil"/>
              <w:left w:val="nil"/>
              <w:bottom w:val="single" w:color="000000" w:sz="4" w:space="0"/>
              <w:right w:val="single" w:color="000000" w:sz="4" w:space="0"/>
            </w:tcBorders>
            <w:shd w:val="clear" w:color="FFFFFF" w:fill="FFFFFF"/>
            <w:noWrap/>
            <w:vAlign w:val="center"/>
          </w:tcPr>
          <w:p w14:paraId="5A7452A8">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84</w:t>
            </w:r>
          </w:p>
        </w:tc>
        <w:tc>
          <w:tcPr>
            <w:tcW w:w="1231" w:type="dxa"/>
            <w:tcBorders>
              <w:top w:val="nil"/>
              <w:left w:val="nil"/>
              <w:bottom w:val="single" w:color="000000" w:sz="4" w:space="0"/>
              <w:right w:val="single" w:color="000000" w:sz="4" w:space="0"/>
            </w:tcBorders>
            <w:shd w:val="clear" w:color="000000" w:fill="FFFFFF"/>
            <w:noWrap/>
            <w:vAlign w:val="center"/>
          </w:tcPr>
          <w:p w14:paraId="660BCC4B">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32" w:type="dxa"/>
            <w:tcBorders>
              <w:top w:val="nil"/>
              <w:left w:val="nil"/>
              <w:bottom w:val="single" w:color="000000" w:sz="4" w:space="0"/>
              <w:right w:val="single" w:color="000000" w:sz="4" w:space="0"/>
            </w:tcBorders>
            <w:shd w:val="clear" w:color="000000" w:fill="FFFFFF"/>
            <w:noWrap/>
            <w:vAlign w:val="center"/>
          </w:tcPr>
          <w:p w14:paraId="35652A1B">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1" w:type="dxa"/>
            <w:tcBorders>
              <w:top w:val="nil"/>
              <w:left w:val="nil"/>
              <w:bottom w:val="single" w:color="000000" w:sz="4" w:space="0"/>
              <w:right w:val="single" w:color="000000" w:sz="8" w:space="0"/>
            </w:tcBorders>
            <w:shd w:val="clear" w:color="000000" w:fill="FFFFFF"/>
            <w:noWrap/>
            <w:vAlign w:val="center"/>
          </w:tcPr>
          <w:p w14:paraId="1B935D7B">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14:paraId="1268175A">
        <w:tblPrEx>
          <w:tblCellMar>
            <w:top w:w="0" w:type="dxa"/>
            <w:left w:w="108" w:type="dxa"/>
            <w:bottom w:w="0" w:type="dxa"/>
            <w:right w:w="108" w:type="dxa"/>
          </w:tblCellMar>
        </w:tblPrEx>
        <w:trPr>
          <w:cantSplit/>
          <w:trHeight w:val="340" w:hRule="exact"/>
        </w:trPr>
        <w:tc>
          <w:tcPr>
            <w:tcW w:w="3228" w:type="dxa"/>
            <w:tcBorders>
              <w:top w:val="nil"/>
              <w:left w:val="single" w:color="000000" w:sz="4" w:space="0"/>
              <w:bottom w:val="single" w:color="000000" w:sz="8" w:space="0"/>
              <w:right w:val="single" w:color="000000" w:sz="4" w:space="0"/>
            </w:tcBorders>
            <w:shd w:val="clear" w:color="FFFFFF" w:fill="FFFFFF"/>
            <w:noWrap/>
            <w:vAlign w:val="center"/>
          </w:tcPr>
          <w:p w14:paraId="68D9AE10">
            <w:pPr>
              <w:widowControl/>
              <w:jc w:val="center"/>
              <w:rPr>
                <w:rFonts w:ascii="Times New Roman" w:hAnsi="Times New Roman" w:eastAsia="宋体" w:cs="Times New Roman"/>
                <w:b/>
                <w:bCs/>
                <w:color w:val="000000"/>
                <w:kern w:val="0"/>
                <w:sz w:val="18"/>
                <w:szCs w:val="18"/>
              </w:rPr>
            </w:pPr>
            <w:r>
              <w:rPr>
                <w:rFonts w:hint="eastAsia" w:ascii="仿宋_GB2312" w:hAnsi="Times New Roman" w:cs="Times New Roman"/>
                <w:b/>
                <w:bCs/>
                <w:color w:val="000000"/>
                <w:kern w:val="0"/>
                <w:sz w:val="18"/>
                <w:szCs w:val="18"/>
              </w:rPr>
              <w:t>总计</w:t>
            </w:r>
          </w:p>
        </w:tc>
        <w:tc>
          <w:tcPr>
            <w:tcW w:w="639" w:type="dxa"/>
            <w:tcBorders>
              <w:top w:val="nil"/>
              <w:left w:val="nil"/>
              <w:bottom w:val="single" w:color="000000" w:sz="8" w:space="0"/>
              <w:right w:val="single" w:color="000000" w:sz="4" w:space="0"/>
            </w:tcBorders>
            <w:shd w:val="clear" w:color="FFFFFF" w:fill="FFFFFF"/>
            <w:noWrap/>
            <w:vAlign w:val="center"/>
          </w:tcPr>
          <w:p w14:paraId="311F643D">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w:t>
            </w:r>
          </w:p>
        </w:tc>
        <w:tc>
          <w:tcPr>
            <w:tcW w:w="1231" w:type="dxa"/>
            <w:tcBorders>
              <w:top w:val="nil"/>
              <w:left w:val="nil"/>
              <w:bottom w:val="single" w:color="000000" w:sz="8" w:space="0"/>
              <w:right w:val="single" w:color="000000" w:sz="4" w:space="0"/>
            </w:tcBorders>
            <w:shd w:val="clear" w:color="000000" w:fill="FFFFFF"/>
            <w:noWrap/>
            <w:vAlign w:val="center"/>
          </w:tcPr>
          <w:p w14:paraId="4999DDD7">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475.96</w:t>
            </w:r>
          </w:p>
        </w:tc>
        <w:tc>
          <w:tcPr>
            <w:tcW w:w="1231" w:type="dxa"/>
            <w:tcBorders>
              <w:top w:val="nil"/>
              <w:left w:val="nil"/>
              <w:bottom w:val="single" w:color="000000" w:sz="8" w:space="0"/>
              <w:right w:val="single" w:color="000000" w:sz="4" w:space="0"/>
            </w:tcBorders>
            <w:shd w:val="clear" w:color="000000" w:fill="FFFFFF"/>
            <w:noWrap/>
            <w:vAlign w:val="center"/>
          </w:tcPr>
          <w:p w14:paraId="6D451D7D">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759.66</w:t>
            </w:r>
          </w:p>
        </w:tc>
        <w:tc>
          <w:tcPr>
            <w:tcW w:w="850" w:type="dxa"/>
            <w:tcBorders>
              <w:top w:val="nil"/>
              <w:left w:val="nil"/>
              <w:bottom w:val="single" w:color="000000" w:sz="8" w:space="0"/>
              <w:right w:val="single" w:color="000000" w:sz="4" w:space="0"/>
            </w:tcBorders>
            <w:shd w:val="clear" w:color="000000" w:fill="FFFFFF"/>
            <w:noWrap/>
            <w:vAlign w:val="center"/>
          </w:tcPr>
          <w:p w14:paraId="21A7DA21">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762.06</w:t>
            </w:r>
          </w:p>
        </w:tc>
        <w:tc>
          <w:tcPr>
            <w:tcW w:w="10018" w:type="dxa"/>
            <w:gridSpan w:val="6"/>
            <w:tcBorders>
              <w:top w:val="nil"/>
              <w:left w:val="nil"/>
              <w:bottom w:val="single" w:color="000000" w:sz="8" w:space="0"/>
              <w:right w:val="single" w:color="000000" w:sz="4" w:space="0"/>
            </w:tcBorders>
            <w:shd w:val="clear" w:color="FFFFFF" w:fill="FFFFFF"/>
            <w:noWrap/>
            <w:vAlign w:val="center"/>
          </w:tcPr>
          <w:p w14:paraId="6AA7492A">
            <w:pPr>
              <w:widowControl/>
              <w:jc w:val="center"/>
              <w:rPr>
                <w:rFonts w:ascii="Times New Roman" w:hAnsi="Times New Roman" w:eastAsia="宋体" w:cs="Times New Roman"/>
                <w:b/>
                <w:bCs/>
                <w:color w:val="000000"/>
                <w:kern w:val="0"/>
                <w:sz w:val="18"/>
                <w:szCs w:val="18"/>
              </w:rPr>
            </w:pPr>
            <w:r>
              <w:rPr>
                <w:rFonts w:hint="eastAsia" w:ascii="仿宋_GB2312" w:hAnsi="Times New Roman" w:cs="Times New Roman"/>
                <w:b/>
                <w:bCs/>
                <w:color w:val="000000"/>
                <w:kern w:val="0"/>
                <w:sz w:val="18"/>
                <w:szCs w:val="18"/>
              </w:rPr>
              <w:t>总计</w:t>
            </w:r>
          </w:p>
        </w:tc>
        <w:tc>
          <w:tcPr>
            <w:tcW w:w="639" w:type="dxa"/>
            <w:tcBorders>
              <w:top w:val="nil"/>
              <w:left w:val="nil"/>
              <w:bottom w:val="single" w:color="000000" w:sz="8" w:space="0"/>
              <w:right w:val="single" w:color="000000" w:sz="4" w:space="0"/>
            </w:tcBorders>
            <w:shd w:val="clear" w:color="FFFFFF" w:fill="FFFFFF"/>
            <w:noWrap/>
            <w:vAlign w:val="center"/>
          </w:tcPr>
          <w:p w14:paraId="5D7D307A">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85</w:t>
            </w:r>
          </w:p>
        </w:tc>
        <w:tc>
          <w:tcPr>
            <w:tcW w:w="1231" w:type="dxa"/>
            <w:tcBorders>
              <w:top w:val="nil"/>
              <w:left w:val="nil"/>
              <w:bottom w:val="single" w:color="000000" w:sz="8" w:space="0"/>
              <w:right w:val="single" w:color="000000" w:sz="4" w:space="0"/>
            </w:tcBorders>
            <w:shd w:val="clear" w:color="000000" w:fill="FFFFFF"/>
            <w:noWrap/>
            <w:vAlign w:val="center"/>
          </w:tcPr>
          <w:p w14:paraId="78CFDA92">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475.96</w:t>
            </w:r>
          </w:p>
        </w:tc>
        <w:tc>
          <w:tcPr>
            <w:tcW w:w="1232" w:type="dxa"/>
            <w:tcBorders>
              <w:top w:val="nil"/>
              <w:left w:val="nil"/>
              <w:bottom w:val="single" w:color="000000" w:sz="8" w:space="0"/>
              <w:right w:val="single" w:color="000000" w:sz="4" w:space="0"/>
            </w:tcBorders>
            <w:shd w:val="clear" w:color="000000" w:fill="FFFFFF"/>
            <w:noWrap/>
            <w:vAlign w:val="center"/>
          </w:tcPr>
          <w:p w14:paraId="755D3D8C">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759.66</w:t>
            </w:r>
          </w:p>
        </w:tc>
        <w:tc>
          <w:tcPr>
            <w:tcW w:w="851" w:type="dxa"/>
            <w:tcBorders>
              <w:top w:val="nil"/>
              <w:left w:val="nil"/>
              <w:bottom w:val="single" w:color="000000" w:sz="8" w:space="0"/>
              <w:right w:val="single" w:color="000000" w:sz="8" w:space="0"/>
            </w:tcBorders>
            <w:shd w:val="clear" w:color="000000" w:fill="FFFFFF"/>
            <w:noWrap/>
            <w:vAlign w:val="center"/>
          </w:tcPr>
          <w:p w14:paraId="289C6179">
            <w:pPr>
              <w:widowControl/>
              <w:jc w:val="right"/>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762.06</w:t>
            </w:r>
          </w:p>
        </w:tc>
      </w:tr>
    </w:tbl>
    <w:p w14:paraId="27FACABF">
      <w:pPr>
        <w:rPr>
          <w:rFonts w:hint="eastAsia" w:ascii="仿宋_GB2312"/>
          <w:sz w:val="10"/>
          <w:szCs w:val="10"/>
        </w:rPr>
      </w:pPr>
    </w:p>
    <w:sectPr>
      <w:pgSz w:w="23814" w:h="16839"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351"/>
    </w:sdtPr>
    <w:sdtEndPr>
      <w:rPr>
        <w:rFonts w:asciiTheme="minorEastAsia" w:hAnsiTheme="minorEastAsia" w:eastAsiaTheme="minorEastAsia"/>
        <w:sz w:val="28"/>
        <w:szCs w:val="28"/>
      </w:rPr>
    </w:sdtEndPr>
    <w:sdtContent>
      <w:p w14:paraId="412EF25F">
        <w:pPr>
          <w:pStyle w:val="8"/>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357"/>
    </w:sdtPr>
    <w:sdtContent>
      <w:p w14:paraId="0D1E70A1">
        <w:pPr>
          <w:pStyle w:val="8"/>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BC7B"/>
    <w:multiLevelType w:val="singleLevel"/>
    <w:tmpl w:val="18FABC7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MTMzMjlhNmIyOGFjODU0NDgzNTFlMDlhNTI3MjkifQ=="/>
  </w:docVars>
  <w:rsids>
    <w:rsidRoot w:val="00ED0CD0"/>
    <w:rsid w:val="00087F49"/>
    <w:rsid w:val="001B0913"/>
    <w:rsid w:val="001E5772"/>
    <w:rsid w:val="00236FF0"/>
    <w:rsid w:val="002450C7"/>
    <w:rsid w:val="00320817"/>
    <w:rsid w:val="00376D6F"/>
    <w:rsid w:val="003D6D01"/>
    <w:rsid w:val="003E0BB0"/>
    <w:rsid w:val="004727BD"/>
    <w:rsid w:val="005C4C3E"/>
    <w:rsid w:val="005C6551"/>
    <w:rsid w:val="00873769"/>
    <w:rsid w:val="00874EE9"/>
    <w:rsid w:val="00A13D4C"/>
    <w:rsid w:val="00AC0CB6"/>
    <w:rsid w:val="00AD39C6"/>
    <w:rsid w:val="00B7217E"/>
    <w:rsid w:val="00BE740E"/>
    <w:rsid w:val="00CD3ACA"/>
    <w:rsid w:val="00E104C2"/>
    <w:rsid w:val="00E206A0"/>
    <w:rsid w:val="00E40E20"/>
    <w:rsid w:val="00EB3B01"/>
    <w:rsid w:val="00ED0CD0"/>
    <w:rsid w:val="00F56A52"/>
    <w:rsid w:val="00FD098C"/>
    <w:rsid w:val="0410030A"/>
    <w:rsid w:val="054C444A"/>
    <w:rsid w:val="05EC325B"/>
    <w:rsid w:val="05F443ED"/>
    <w:rsid w:val="060A508F"/>
    <w:rsid w:val="069F46F5"/>
    <w:rsid w:val="07867BBB"/>
    <w:rsid w:val="07CB18B3"/>
    <w:rsid w:val="098A3766"/>
    <w:rsid w:val="0A955578"/>
    <w:rsid w:val="0ABF720F"/>
    <w:rsid w:val="0B4C63CA"/>
    <w:rsid w:val="0C5122DE"/>
    <w:rsid w:val="0CA53807"/>
    <w:rsid w:val="0F0A7C13"/>
    <w:rsid w:val="0F377E4E"/>
    <w:rsid w:val="0F7F75BC"/>
    <w:rsid w:val="0FB14086"/>
    <w:rsid w:val="10722439"/>
    <w:rsid w:val="12D37B3E"/>
    <w:rsid w:val="147F4B23"/>
    <w:rsid w:val="15694144"/>
    <w:rsid w:val="15740790"/>
    <w:rsid w:val="162414D8"/>
    <w:rsid w:val="163257F3"/>
    <w:rsid w:val="17671F41"/>
    <w:rsid w:val="17D06BE7"/>
    <w:rsid w:val="185238A5"/>
    <w:rsid w:val="19D01213"/>
    <w:rsid w:val="1A18777A"/>
    <w:rsid w:val="1A367695"/>
    <w:rsid w:val="1AC148E7"/>
    <w:rsid w:val="1B587DEF"/>
    <w:rsid w:val="1BC616CD"/>
    <w:rsid w:val="1D6A6B12"/>
    <w:rsid w:val="1E062346"/>
    <w:rsid w:val="1E341A24"/>
    <w:rsid w:val="1EC11B21"/>
    <w:rsid w:val="203A72A5"/>
    <w:rsid w:val="20E856CD"/>
    <w:rsid w:val="223D049E"/>
    <w:rsid w:val="25321719"/>
    <w:rsid w:val="254402E0"/>
    <w:rsid w:val="25A01B64"/>
    <w:rsid w:val="260E5C0A"/>
    <w:rsid w:val="262B5366"/>
    <w:rsid w:val="276202EC"/>
    <w:rsid w:val="278900AB"/>
    <w:rsid w:val="280C05F0"/>
    <w:rsid w:val="28672AAB"/>
    <w:rsid w:val="29FB03B2"/>
    <w:rsid w:val="2BE00F10"/>
    <w:rsid w:val="2CDC3C17"/>
    <w:rsid w:val="2D00468F"/>
    <w:rsid w:val="2E1F5AE6"/>
    <w:rsid w:val="2EFD45B3"/>
    <w:rsid w:val="2FFA5F04"/>
    <w:rsid w:val="2FFFFFF4"/>
    <w:rsid w:val="32166087"/>
    <w:rsid w:val="32F622FE"/>
    <w:rsid w:val="330F5375"/>
    <w:rsid w:val="33113A6A"/>
    <w:rsid w:val="348253C6"/>
    <w:rsid w:val="348B01EE"/>
    <w:rsid w:val="35066A3B"/>
    <w:rsid w:val="35E93CD8"/>
    <w:rsid w:val="36156CB8"/>
    <w:rsid w:val="364A4FE7"/>
    <w:rsid w:val="391E5F9D"/>
    <w:rsid w:val="394C0B73"/>
    <w:rsid w:val="39A85C9C"/>
    <w:rsid w:val="3A305CCE"/>
    <w:rsid w:val="3AFD64CC"/>
    <w:rsid w:val="3B1774D9"/>
    <w:rsid w:val="3B2F0A73"/>
    <w:rsid w:val="3CC840D5"/>
    <w:rsid w:val="3D4B3E1F"/>
    <w:rsid w:val="43111AC2"/>
    <w:rsid w:val="43DD02EE"/>
    <w:rsid w:val="44F373FD"/>
    <w:rsid w:val="451B2DDC"/>
    <w:rsid w:val="45324937"/>
    <w:rsid w:val="45973353"/>
    <w:rsid w:val="45A627FD"/>
    <w:rsid w:val="45BC104D"/>
    <w:rsid w:val="45CA7D80"/>
    <w:rsid w:val="46284338"/>
    <w:rsid w:val="462D68B0"/>
    <w:rsid w:val="472372F6"/>
    <w:rsid w:val="47BD4B73"/>
    <w:rsid w:val="47D2285B"/>
    <w:rsid w:val="483D44B1"/>
    <w:rsid w:val="497F0D8C"/>
    <w:rsid w:val="4A8D4B6F"/>
    <w:rsid w:val="4BE24643"/>
    <w:rsid w:val="4C532946"/>
    <w:rsid w:val="4DB93B23"/>
    <w:rsid w:val="4E940753"/>
    <w:rsid w:val="4F5F7515"/>
    <w:rsid w:val="4FBA292F"/>
    <w:rsid w:val="4FDA2B47"/>
    <w:rsid w:val="52392F10"/>
    <w:rsid w:val="53641FFB"/>
    <w:rsid w:val="53BA2CFE"/>
    <w:rsid w:val="5424206E"/>
    <w:rsid w:val="543539FC"/>
    <w:rsid w:val="548A4B9F"/>
    <w:rsid w:val="55722C1C"/>
    <w:rsid w:val="55B61192"/>
    <w:rsid w:val="56BF0C1E"/>
    <w:rsid w:val="599C5ED4"/>
    <w:rsid w:val="5A8E4356"/>
    <w:rsid w:val="5AA22197"/>
    <w:rsid w:val="5B8057F9"/>
    <w:rsid w:val="5C001DAC"/>
    <w:rsid w:val="5D340EF8"/>
    <w:rsid w:val="5E512630"/>
    <w:rsid w:val="607668CE"/>
    <w:rsid w:val="60EA0963"/>
    <w:rsid w:val="63D66F95"/>
    <w:rsid w:val="643D6B02"/>
    <w:rsid w:val="6A1E28C3"/>
    <w:rsid w:val="6A2F6994"/>
    <w:rsid w:val="6A340541"/>
    <w:rsid w:val="6A6C0789"/>
    <w:rsid w:val="6A954DBC"/>
    <w:rsid w:val="6B040620"/>
    <w:rsid w:val="6B0A76E2"/>
    <w:rsid w:val="6B4D1A9C"/>
    <w:rsid w:val="6B9E7B6C"/>
    <w:rsid w:val="6BAB1D54"/>
    <w:rsid w:val="6BFA214F"/>
    <w:rsid w:val="6CE76700"/>
    <w:rsid w:val="6D40186A"/>
    <w:rsid w:val="6F85242E"/>
    <w:rsid w:val="70E00C65"/>
    <w:rsid w:val="711645A4"/>
    <w:rsid w:val="71A91D21"/>
    <w:rsid w:val="7377A516"/>
    <w:rsid w:val="73B71F09"/>
    <w:rsid w:val="73BE6471"/>
    <w:rsid w:val="73C7D4BB"/>
    <w:rsid w:val="73E213D2"/>
    <w:rsid w:val="74B05BE3"/>
    <w:rsid w:val="74FDE0BB"/>
    <w:rsid w:val="758126CD"/>
    <w:rsid w:val="75A34D2E"/>
    <w:rsid w:val="762C5C29"/>
    <w:rsid w:val="765E53A3"/>
    <w:rsid w:val="76610B37"/>
    <w:rsid w:val="76EE388F"/>
    <w:rsid w:val="79233C84"/>
    <w:rsid w:val="79266227"/>
    <w:rsid w:val="79AC6A8C"/>
    <w:rsid w:val="7A523096"/>
    <w:rsid w:val="7B04003E"/>
    <w:rsid w:val="7D222E22"/>
    <w:rsid w:val="7E497C34"/>
    <w:rsid w:val="7FEF414E"/>
    <w:rsid w:val="BF7782CA"/>
    <w:rsid w:val="BF7ACB04"/>
    <w:rsid w:val="DCE3EA5E"/>
    <w:rsid w:val="EB651875"/>
    <w:rsid w:val="FFFEE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仿宋_GB2312" w:cs="宋体"/>
      <w:color w:val="0E0C15"/>
      <w:kern w:val="2"/>
      <w:sz w:val="32"/>
      <w:szCs w:val="32"/>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rPr>
  </w:style>
  <w:style w:type="paragraph" w:styleId="4">
    <w:name w:val="Normal Indent"/>
    <w:basedOn w:val="1"/>
    <w:next w:val="1"/>
    <w:autoRedefine/>
    <w:qFormat/>
    <w:uiPriority w:val="0"/>
    <w:pPr>
      <w:ind w:firstLine="420" w:firstLineChars="200"/>
    </w:pPr>
  </w:style>
  <w:style w:type="paragraph" w:styleId="5">
    <w:name w:val="Body Text"/>
    <w:basedOn w:val="1"/>
    <w:next w:val="6"/>
    <w:qFormat/>
    <w:uiPriority w:val="0"/>
    <w:rPr>
      <w:rFonts w:asciiTheme="minorHAnsi" w:hAnsiTheme="minorHAnsi" w:eastAsiaTheme="minorEastAsia" w:cstheme="minorBidi"/>
      <w:szCs w:val="24"/>
    </w:rPr>
  </w:style>
  <w:style w:type="paragraph" w:styleId="6">
    <w:name w:val="toc 5"/>
    <w:basedOn w:val="1"/>
    <w:next w:val="1"/>
    <w:autoRedefine/>
    <w:semiHidden/>
    <w:unhideWhenUsed/>
    <w:qFormat/>
    <w:uiPriority w:val="39"/>
    <w:pPr>
      <w:ind w:left="1680" w:leftChars="800"/>
    </w:pPr>
  </w:style>
  <w:style w:type="paragraph" w:styleId="7">
    <w:name w:val="Date"/>
    <w:basedOn w:val="1"/>
    <w:next w:val="1"/>
    <w:link w:val="19"/>
    <w:unhideWhenUsed/>
    <w:qFormat/>
    <w:uiPriority w:val="99"/>
    <w:pPr>
      <w:ind w:left="100" w:leftChars="2500"/>
    </w:p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0"/>
    <w:rPr>
      <w:b/>
    </w:rPr>
  </w:style>
  <w:style w:type="paragraph" w:customStyle="1" w:styleId="14">
    <w:name w:val="BodyText"/>
    <w:basedOn w:val="1"/>
    <w:qFormat/>
    <w:uiPriority w:val="0"/>
    <w:pPr>
      <w:spacing w:after="120" w:line="240" w:lineRule="auto"/>
      <w:jc w:val="both"/>
      <w:textAlignment w:val="baseline"/>
    </w:pPr>
    <w:rPr>
      <w:rFonts w:ascii="Calibri" w:hAnsi="Calibri" w:eastAsia="宋体"/>
      <w:kern w:val="2"/>
      <w:sz w:val="21"/>
      <w:szCs w:val="24"/>
      <w:lang w:val="en-US" w:eastAsia="zh-CN" w:bidi="ar-SA"/>
    </w:rPr>
  </w:style>
  <w:style w:type="character" w:customStyle="1" w:styleId="15">
    <w:name w:val="Subtle Emphasis"/>
    <w:basedOn w:val="12"/>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16">
    <w:name w:val="正文 A"/>
    <w:autoRedefine/>
    <w:qFormat/>
    <w:uiPriority w:val="0"/>
    <w:pPr>
      <w:spacing w:after="200" w:line="276" w:lineRule="auto"/>
    </w:pPr>
    <w:rPr>
      <w:rFonts w:ascii="Calibri" w:hAnsi="Calibri" w:eastAsia="宋体" w:cs="Calibri"/>
      <w:color w:val="000000"/>
      <w:kern w:val="0"/>
      <w:sz w:val="22"/>
      <w:szCs w:val="22"/>
      <w:u w:color="000000"/>
      <w:lang w:val="en-US" w:eastAsia="zh-CN" w:bidi="ar-SA"/>
    </w:rPr>
  </w:style>
  <w:style w:type="character" w:customStyle="1" w:styleId="17">
    <w:name w:val="页眉 Char"/>
    <w:basedOn w:val="12"/>
    <w:link w:val="9"/>
    <w:autoRedefine/>
    <w:semiHidden/>
    <w:qFormat/>
    <w:uiPriority w:val="99"/>
    <w:rPr>
      <w:rFonts w:ascii="宋体" w:hAnsi="宋体" w:cs="宋体"/>
      <w:sz w:val="18"/>
      <w:szCs w:val="18"/>
    </w:rPr>
  </w:style>
  <w:style w:type="character" w:customStyle="1" w:styleId="18">
    <w:name w:val="页脚 Char"/>
    <w:basedOn w:val="12"/>
    <w:link w:val="8"/>
    <w:autoRedefine/>
    <w:qFormat/>
    <w:uiPriority w:val="99"/>
    <w:rPr>
      <w:rFonts w:ascii="宋体" w:hAnsi="宋体" w:cs="宋体"/>
      <w:sz w:val="18"/>
      <w:szCs w:val="18"/>
    </w:rPr>
  </w:style>
  <w:style w:type="character" w:customStyle="1" w:styleId="19">
    <w:name w:val="日期 Char"/>
    <w:basedOn w:val="12"/>
    <w:link w:val="7"/>
    <w:autoRedefine/>
    <w:semiHidden/>
    <w:qFormat/>
    <w:uiPriority w:val="99"/>
    <w:rPr>
      <w:rFonts w:ascii="宋体" w:hAnsi="宋体" w:cs="宋体"/>
    </w:rPr>
  </w:style>
  <w:style w:type="paragraph" w:customStyle="1" w:styleId="20">
    <w:name w:val="实施方案正文"/>
    <w:basedOn w:val="21"/>
    <w:autoRedefine/>
    <w:qFormat/>
    <w:uiPriority w:val="0"/>
    <w:pPr>
      <w:ind w:firstLine="566" w:firstLineChars="202"/>
    </w:pPr>
    <w:rPr>
      <w:rFonts w:ascii="等线" w:hAnsi="等线" w:eastAsia="等线"/>
      <w:szCs w:val="28"/>
    </w:rPr>
  </w:style>
  <w:style w:type="paragraph" w:customStyle="1" w:styleId="21">
    <w:name w:val="正文 New"/>
    <w:next w:val="20"/>
    <w:autoRedefine/>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22">
    <w:name w:val="NormalCharacter"/>
    <w:autoRedefine/>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21951</Words>
  <Characters>23482</Characters>
  <Lines>216</Lines>
  <Paragraphs>61</Paragraphs>
  <TotalTime>13</TotalTime>
  <ScaleCrop>false</ScaleCrop>
  <LinksUpToDate>false</LinksUpToDate>
  <CharactersWithSpaces>23883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2020-05-17T09:26:00Z</dcterms:created>
  <dc:creator>xd</dc:creator>
  <cp:lastModifiedBy>小呆萌</cp:lastModifiedBy>
  <dcterms:modified xsi:type="dcterms:W3CDTF">2025-04-24T01:56:45Z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5B49E1D8A0CD4C77B5B6F934BF6FBF4C_13</vt:lpwstr>
  </property>
  <property fmtid="{D5CDD505-2E9C-101B-9397-08002B2CF9AE}" pid="4" name="KSOTemplateDocerSaveRecord">
    <vt:lpwstr>eyJoZGlkIjoiMGVhMTMzMjlhNmIyOGFjODU0NDgzNTFlMDlhNTI3MjkiLCJ1c2VySWQiOiIzNjcxMDE5NTEifQ==</vt:lpwstr>
  </property>
</Properties>
</file>