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C79A9">
      <w:pPr>
        <w:widowControl/>
        <w:jc w:val="center"/>
        <w:rPr>
          <w:rFonts w:ascii="Times New Roman" w:hAnsi="Times New Roman" w:eastAsia="黑体" w:cs="Times New Roman"/>
          <w:color w:val="000000" w:themeColor="text1"/>
          <w:sz w:val="32"/>
          <w:szCs w:val="32"/>
        </w:rPr>
      </w:pPr>
    </w:p>
    <w:p w14:paraId="58D2E4FB">
      <w:pPr>
        <w:spacing w:before="120" w:after="120" w:line="480" w:lineRule="auto"/>
        <w:jc w:val="center"/>
        <w:rPr>
          <w:rFonts w:ascii="Times New Roman" w:hAnsi="Times New Roman" w:eastAsia="黑体" w:cs="Times New Roman"/>
          <w:b/>
          <w:bCs/>
          <w:color w:val="000000" w:themeColor="text1"/>
          <w:sz w:val="52"/>
          <w:szCs w:val="52"/>
        </w:rPr>
      </w:pPr>
    </w:p>
    <w:p w14:paraId="31EAF9E9">
      <w:pPr>
        <w:jc w:val="center"/>
        <w:rPr>
          <w:rFonts w:ascii="Times New Roman" w:hAnsi="Times New Roman" w:eastAsia="黑体" w:cs="Times New Roman"/>
          <w:bCs/>
          <w:color w:val="000000" w:themeColor="text1"/>
          <w:sz w:val="52"/>
          <w:szCs w:val="52"/>
        </w:rPr>
      </w:pPr>
      <w:r>
        <w:rPr>
          <w:rFonts w:ascii="Times New Roman" w:hAnsi="Times New Roman" w:eastAsia="黑体" w:cs="Times New Roman"/>
          <w:bCs/>
          <w:color w:val="000000" w:themeColor="text1"/>
          <w:sz w:val="52"/>
          <w:szCs w:val="52"/>
        </w:rPr>
        <w:t>寻甸回族彝族自治县</w:t>
      </w:r>
      <w:r>
        <w:rPr>
          <w:rFonts w:hint="eastAsia" w:ascii="Times New Roman" w:hAnsi="Times New Roman" w:eastAsia="黑体" w:cs="Times New Roman"/>
          <w:bCs/>
          <w:color w:val="000000" w:themeColor="text1"/>
          <w:sz w:val="52"/>
          <w:szCs w:val="52"/>
        </w:rPr>
        <w:t>融媒体中心</w:t>
      </w:r>
    </w:p>
    <w:p w14:paraId="1BAD306C">
      <w:pPr>
        <w:jc w:val="center"/>
        <w:rPr>
          <w:rFonts w:ascii="Times New Roman" w:hAnsi="Times New Roman" w:eastAsia="黑体" w:cs="Times New Roman"/>
          <w:bCs/>
          <w:color w:val="000000" w:themeColor="text1"/>
          <w:sz w:val="52"/>
          <w:szCs w:val="52"/>
        </w:rPr>
      </w:pPr>
      <w:r>
        <w:rPr>
          <w:rFonts w:hint="eastAsia" w:ascii="Times New Roman" w:hAnsi="Times New Roman" w:eastAsia="黑体" w:cs="Times New Roman"/>
          <w:bCs/>
          <w:color w:val="000000" w:themeColor="text1"/>
          <w:sz w:val="52"/>
          <w:szCs w:val="52"/>
          <w:lang w:eastAsia="zh-CN"/>
        </w:rPr>
        <w:t>202</w:t>
      </w:r>
      <w:r>
        <w:rPr>
          <w:rFonts w:hint="eastAsia" w:ascii="Times New Roman" w:hAnsi="Times New Roman" w:eastAsia="黑体" w:cs="Times New Roman"/>
          <w:bCs/>
          <w:color w:val="000000" w:themeColor="text1"/>
          <w:sz w:val="52"/>
          <w:szCs w:val="52"/>
          <w:lang w:val="en-US" w:eastAsia="zh-CN"/>
        </w:rPr>
        <w:t>4</w:t>
      </w:r>
      <w:r>
        <w:rPr>
          <w:rFonts w:ascii="Times New Roman" w:hAnsi="Times New Roman" w:eastAsia="黑体" w:cs="Times New Roman"/>
          <w:bCs/>
          <w:color w:val="000000" w:themeColor="text1"/>
          <w:sz w:val="52"/>
          <w:szCs w:val="52"/>
        </w:rPr>
        <w:t>年部门整体支出绩效自评报告</w:t>
      </w:r>
    </w:p>
    <w:p w14:paraId="287362EE">
      <w:pPr>
        <w:spacing w:before="120" w:after="120" w:line="480" w:lineRule="auto"/>
        <w:jc w:val="center"/>
        <w:rPr>
          <w:rFonts w:ascii="Times New Roman" w:hAnsi="Times New Roman" w:eastAsia="黑体" w:cs="Times New Roman"/>
          <w:b/>
          <w:bCs/>
          <w:color w:val="000000" w:themeColor="text1"/>
          <w:sz w:val="52"/>
          <w:szCs w:val="52"/>
        </w:rPr>
      </w:pPr>
    </w:p>
    <w:p w14:paraId="13DB69CA">
      <w:pPr>
        <w:spacing w:before="120" w:after="120" w:line="480" w:lineRule="auto"/>
        <w:jc w:val="center"/>
        <w:rPr>
          <w:rFonts w:ascii="Times New Roman" w:hAnsi="Times New Roman" w:eastAsia="宋体" w:cs="Times New Roman"/>
          <w:b/>
          <w:bCs/>
          <w:color w:val="000000" w:themeColor="text1"/>
          <w:sz w:val="44"/>
          <w:szCs w:val="44"/>
        </w:rPr>
      </w:pPr>
    </w:p>
    <w:p w14:paraId="2D8664F4">
      <w:pPr>
        <w:spacing w:before="120" w:after="120" w:line="480" w:lineRule="auto"/>
        <w:jc w:val="center"/>
        <w:rPr>
          <w:rFonts w:ascii="Times New Roman" w:hAnsi="Times New Roman" w:eastAsia="宋体" w:cs="Times New Roman"/>
          <w:b/>
          <w:bCs/>
          <w:color w:val="000000" w:themeColor="text1"/>
          <w:sz w:val="44"/>
          <w:szCs w:val="44"/>
        </w:rPr>
      </w:pPr>
    </w:p>
    <w:p w14:paraId="5D6E3A1C">
      <w:pPr>
        <w:spacing w:before="120" w:after="120" w:line="480" w:lineRule="auto"/>
        <w:jc w:val="center"/>
        <w:rPr>
          <w:rFonts w:ascii="Times New Roman" w:hAnsi="Times New Roman" w:eastAsia="黑体" w:cs="Times New Roman"/>
          <w:b/>
          <w:bCs/>
          <w:color w:val="000000" w:themeColor="text1"/>
          <w:sz w:val="44"/>
          <w:szCs w:val="44"/>
        </w:rPr>
      </w:pPr>
    </w:p>
    <w:p w14:paraId="5B28CC09">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w:pict>
          <v:shape id="直接箭头连接符 3" o:spid="_x0000_s1026" o:spt="32" type="#_x0000_t32" style="position:absolute;left:0pt;margin-left:133.5pt;margin-top:16.65pt;height:0pt;width:272.2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">
            <v:path arrowok="t"/>
            <v:fill on="f" focussize="0,0"/>
            <v:stroke/>
            <v:imagedata o:title=""/>
            <o:lock v:ext="edit"/>
          </v:shape>
        </w:pict>
      </w:r>
      <w:r>
        <w:rPr>
          <w:rFonts w:ascii="Times New Roman" w:hAnsi="Times New Roman" w:eastAsia="黑体" w:cs="Times New Roman"/>
          <w:b/>
          <w:bCs/>
          <w:color w:val="000000" w:themeColor="text1"/>
          <w:sz w:val="28"/>
          <w:szCs w:val="28"/>
        </w:rPr>
        <w:t>项目名称：   寻甸回族彝族自治县</w:t>
      </w:r>
      <w:r>
        <w:rPr>
          <w:rFonts w:hint="eastAsia" w:ascii="Times New Roman" w:hAnsi="Times New Roman" w:eastAsia="黑体" w:cs="Times New Roman"/>
          <w:b/>
          <w:bCs/>
          <w:color w:val="000000" w:themeColor="text1"/>
          <w:sz w:val="28"/>
          <w:szCs w:val="28"/>
        </w:rPr>
        <w:t>融媒体中心</w:t>
      </w:r>
      <w:r>
        <w:rPr>
          <w:rFonts w:ascii="Times New Roman" w:hAnsi="Times New Roman" w:eastAsia="黑体" w:cs="Times New Roman"/>
          <w:b/>
          <w:bCs/>
          <w:color w:val="000000" w:themeColor="text1"/>
          <w:sz w:val="28"/>
          <w:szCs w:val="28"/>
        </w:rPr>
        <w:t>整体支出</w:t>
      </w:r>
    </w:p>
    <w:p w14:paraId="135D9E93">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w:pict>
          <v:shape id="直接箭头连接符 2" o:spid="_x0000_s1037" o:spt="32" type="#_x0000_t32" style="position:absolute;left:0pt;margin-left:133.5pt;margin-top:17.15pt;height:0pt;width:272.2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">
            <v:path arrowok="t"/>
            <v:fill on="f" focussize="0,0"/>
            <v:stroke/>
            <v:imagedata o:title=""/>
            <o:lock v:ext="edit"/>
          </v:shape>
        </w:pict>
      </w:r>
      <w:r>
        <w:rPr>
          <w:rFonts w:ascii="Times New Roman" w:hAnsi="Times New Roman" w:eastAsia="黑体" w:cs="Times New Roman"/>
          <w:b/>
          <w:bCs/>
          <w:color w:val="000000" w:themeColor="text1"/>
          <w:sz w:val="28"/>
          <w:szCs w:val="28"/>
        </w:rPr>
        <w:t>部门名称：      寻甸回族彝族自治县</w:t>
      </w:r>
      <w:r>
        <w:rPr>
          <w:rFonts w:hint="eastAsia" w:ascii="Times New Roman" w:hAnsi="Times New Roman" w:eastAsia="黑体" w:cs="Times New Roman"/>
          <w:b/>
          <w:bCs/>
          <w:color w:val="000000" w:themeColor="text1"/>
          <w:sz w:val="28"/>
          <w:szCs w:val="28"/>
        </w:rPr>
        <w:t>融媒体中心</w:t>
      </w:r>
    </w:p>
    <w:p w14:paraId="00CAE9FC">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w:pict>
          <v:shape id="直接箭头连接符 1" o:spid="_x0000_s1036" o:spt="32" type="#_x0000_t32" style="position:absolute;left:0pt;margin-left:133.5pt;margin-top:19.95pt;height:0pt;width:272.2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">
            <v:path arrowok="t"/>
            <v:fill on="f" focussize="0,0"/>
            <v:stroke/>
            <v:imagedata o:title=""/>
            <o:lock v:ext="edit"/>
          </v:shape>
        </w:pict>
      </w:r>
      <w:r>
        <w:rPr>
          <w:rFonts w:ascii="Times New Roman" w:hAnsi="Times New Roman" w:eastAsia="黑体" w:cs="Times New Roman"/>
          <w:b/>
          <w:bCs/>
          <w:color w:val="000000" w:themeColor="text1"/>
          <w:sz w:val="28"/>
          <w:szCs w:val="28"/>
        </w:rPr>
        <w:t>评价机构：      寻甸回族彝族自治县</w:t>
      </w:r>
      <w:r>
        <w:rPr>
          <w:rFonts w:hint="eastAsia" w:ascii="Times New Roman" w:hAnsi="Times New Roman" w:eastAsia="黑体" w:cs="Times New Roman"/>
          <w:b/>
          <w:bCs/>
          <w:color w:val="000000" w:themeColor="text1"/>
          <w:sz w:val="28"/>
          <w:szCs w:val="28"/>
        </w:rPr>
        <w:t>融媒体中心</w:t>
      </w:r>
    </w:p>
    <w:p w14:paraId="02E7B5F1">
      <w:pPr>
        <w:adjustRightInd w:val="0"/>
        <w:snapToGrid w:val="0"/>
        <w:spacing w:line="360" w:lineRule="auto"/>
        <w:ind w:left="1260" w:leftChars="600"/>
        <w:rPr>
          <w:rFonts w:ascii="Times New Roman" w:hAnsi="Times New Roman" w:eastAsia="黑体" w:cs="Times New Roman"/>
          <w:b/>
          <w:bCs/>
          <w:color w:val="000000" w:themeColor="text1"/>
          <w:sz w:val="28"/>
          <w:szCs w:val="28"/>
        </w:rPr>
      </w:pPr>
    </w:p>
    <w:p w14:paraId="1DC49C81">
      <w:pPr>
        <w:spacing w:line="360" w:lineRule="auto"/>
        <w:ind w:left="1218" w:leftChars="580"/>
        <w:rPr>
          <w:rFonts w:ascii="Times New Roman" w:hAnsi="Times New Roman" w:eastAsia="黑体" w:cs="Times New Roman"/>
          <w:b/>
          <w:bCs/>
          <w:color w:val="000000" w:themeColor="text1"/>
          <w:sz w:val="28"/>
          <w:szCs w:val="28"/>
        </w:rPr>
      </w:pPr>
    </w:p>
    <w:p w14:paraId="790372D2">
      <w:pPr>
        <w:jc w:val="center"/>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w:t>20</w:t>
      </w:r>
      <w:r>
        <w:rPr>
          <w:rFonts w:hint="eastAsia" w:ascii="Times New Roman" w:hAnsi="Times New Roman" w:eastAsia="黑体" w:cs="Times New Roman"/>
          <w:b/>
          <w:bCs/>
          <w:color w:val="000000" w:themeColor="text1"/>
          <w:sz w:val="28"/>
          <w:szCs w:val="28"/>
        </w:rPr>
        <w:t>2</w:t>
      </w:r>
      <w:r>
        <w:rPr>
          <w:rFonts w:hint="eastAsia" w:ascii="Times New Roman" w:hAnsi="Times New Roman" w:eastAsia="黑体" w:cs="Times New Roman"/>
          <w:b/>
          <w:bCs/>
          <w:color w:val="000000" w:themeColor="text1"/>
          <w:sz w:val="28"/>
          <w:szCs w:val="28"/>
          <w:lang w:val="en-US" w:eastAsia="zh-CN"/>
        </w:rPr>
        <w:t>5</w:t>
      </w:r>
      <w:r>
        <w:rPr>
          <w:rFonts w:ascii="Times New Roman" w:hAnsi="Times New Roman" w:eastAsia="黑体" w:cs="Times New Roman"/>
          <w:b/>
          <w:bCs/>
          <w:color w:val="000000" w:themeColor="text1"/>
          <w:sz w:val="28"/>
          <w:szCs w:val="28"/>
        </w:rPr>
        <w:t>年</w:t>
      </w:r>
      <w:r>
        <w:rPr>
          <w:rFonts w:hint="eastAsia" w:ascii="Times New Roman" w:hAnsi="Times New Roman" w:eastAsia="黑体" w:cs="Times New Roman"/>
          <w:b/>
          <w:bCs/>
          <w:color w:val="000000" w:themeColor="text1"/>
          <w:sz w:val="28"/>
          <w:szCs w:val="28"/>
        </w:rPr>
        <w:t>5</w:t>
      </w:r>
      <w:r>
        <w:rPr>
          <w:rFonts w:ascii="Times New Roman" w:hAnsi="Times New Roman" w:eastAsia="黑体" w:cs="Times New Roman"/>
          <w:b/>
          <w:bCs/>
          <w:color w:val="000000" w:themeColor="text1"/>
          <w:sz w:val="28"/>
          <w:szCs w:val="28"/>
        </w:rPr>
        <w:t>月</w:t>
      </w:r>
    </w:p>
    <w:p w14:paraId="4D48F70F">
      <w:pPr>
        <w:jc w:val="center"/>
        <w:rPr>
          <w:rFonts w:ascii="Times New Roman" w:hAnsi="Times New Roman" w:eastAsia="黑体" w:cs="Times New Roman"/>
          <w:b/>
          <w:bCs/>
          <w:color w:val="000000" w:themeColor="text1"/>
          <w:sz w:val="28"/>
          <w:szCs w:val="28"/>
        </w:rPr>
      </w:pPr>
    </w:p>
    <w:p w14:paraId="0E64910D">
      <w:pPr>
        <w:jc w:val="center"/>
        <w:rPr>
          <w:rFonts w:ascii="Times New Roman" w:hAnsi="Times New Roman" w:eastAsia="黑体" w:cs="Times New Roman"/>
          <w:b/>
          <w:bCs/>
          <w:color w:val="000000" w:themeColor="text1"/>
          <w:sz w:val="28"/>
          <w:szCs w:val="28"/>
        </w:rPr>
      </w:pPr>
    </w:p>
    <w:p w14:paraId="779E0E22">
      <w:pPr>
        <w:jc w:val="center"/>
        <w:rPr>
          <w:rFonts w:ascii="Times New Roman" w:hAnsi="Times New Roman" w:eastAsia="黑体" w:cs="Times New Roman"/>
          <w:b/>
          <w:bCs/>
          <w:color w:val="000000" w:themeColor="text1"/>
          <w:sz w:val="28"/>
          <w:szCs w:val="28"/>
        </w:rPr>
      </w:pPr>
    </w:p>
    <w:p w14:paraId="6DD61396">
      <w:pPr>
        <w:jc w:val="center"/>
        <w:rPr>
          <w:rFonts w:ascii="Times New Roman" w:hAnsi="Times New Roman" w:eastAsia="黑体" w:cs="Times New Roman"/>
          <w:b/>
          <w:bCs/>
          <w:color w:val="000000" w:themeColor="text1"/>
          <w:sz w:val="28"/>
          <w:szCs w:val="28"/>
        </w:rPr>
      </w:pPr>
    </w:p>
    <w:p w14:paraId="186AD781">
      <w:pPr>
        <w:jc w:val="center"/>
        <w:rPr>
          <w:rFonts w:ascii="Times New Roman" w:hAnsi="Times New Roman" w:eastAsia="仿宋_GB2312" w:cs="Times New Roman"/>
          <w:b/>
          <w:bCs/>
          <w:color w:val="000000" w:themeColor="text1"/>
          <w:sz w:val="28"/>
          <w:szCs w:val="28"/>
        </w:rPr>
      </w:pPr>
    </w:p>
    <w:p w14:paraId="3876E9FE">
      <w:pPr>
        <w:widowControl/>
        <w:jc w:val="left"/>
        <w:rPr>
          <w:rFonts w:ascii="Times New Roman" w:hAnsi="Times New Roman" w:eastAsia="仿宋_GB2312" w:cs="Times New Roman"/>
          <w:b/>
          <w:bCs/>
          <w:color w:val="000000" w:themeColor="text1"/>
          <w:sz w:val="28"/>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14:paraId="5A868E56">
      <w:pPr>
        <w:spacing w:line="360" w:lineRule="auto"/>
        <w:ind w:left="420" w:leftChars="200"/>
        <w:rPr>
          <w:rFonts w:ascii="Times New Roman" w:hAnsi="Times New Roman" w:eastAsia="黑体" w:cs="Times New Roman"/>
          <w:color w:val="000000" w:themeColor="text1"/>
          <w:sz w:val="24"/>
          <w:szCs w:val="24"/>
          <w:u w:color="000000"/>
          <w:lang w:val="zh-TW" w:eastAsia="zh-TW"/>
        </w:rPr>
      </w:pPr>
      <w:r>
        <w:rPr>
          <w:rFonts w:ascii="Times New Roman" w:hAnsi="Times New Roman" w:eastAsia="黑体" w:cs="Times New Roman"/>
          <w:color w:val="000000" w:themeColor="text1"/>
          <w:sz w:val="24"/>
          <w:szCs w:val="24"/>
          <w:u w:color="000000"/>
          <w:lang w:val="zh-TW" w:eastAsia="zh-TW"/>
        </w:rPr>
        <w:t>评价小组成员：</w:t>
      </w:r>
    </w:p>
    <w:tbl>
      <w:tblPr>
        <w:tblStyle w:val="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1"/>
        <w:gridCol w:w="1621"/>
      </w:tblGrid>
      <w:tr w14:paraId="25E7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84EA3F9">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评价小组</w:t>
            </w:r>
          </w:p>
          <w:p w14:paraId="07207281">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机构职位</w:t>
            </w:r>
          </w:p>
        </w:tc>
        <w:tc>
          <w:tcPr>
            <w:tcW w:w="1620" w:type="dxa"/>
            <w:vAlign w:val="center"/>
          </w:tcPr>
          <w:p w14:paraId="4120C657">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姓名</w:t>
            </w:r>
          </w:p>
        </w:tc>
        <w:tc>
          <w:tcPr>
            <w:tcW w:w="1620" w:type="dxa"/>
            <w:vAlign w:val="center"/>
          </w:tcPr>
          <w:p w14:paraId="0383878D">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职务/职称</w:t>
            </w:r>
          </w:p>
        </w:tc>
        <w:tc>
          <w:tcPr>
            <w:tcW w:w="1621" w:type="dxa"/>
            <w:vAlign w:val="center"/>
          </w:tcPr>
          <w:p w14:paraId="49993129">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所属</w:t>
            </w:r>
          </w:p>
          <w:p w14:paraId="66CE7393">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单位/处室</w:t>
            </w:r>
          </w:p>
        </w:tc>
        <w:tc>
          <w:tcPr>
            <w:tcW w:w="1621" w:type="dxa"/>
            <w:vAlign w:val="center"/>
          </w:tcPr>
          <w:p w14:paraId="56851515">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签字</w:t>
            </w:r>
          </w:p>
        </w:tc>
      </w:tr>
      <w:tr w14:paraId="1FD4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5E2F15B">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组长</w:t>
            </w:r>
          </w:p>
        </w:tc>
        <w:tc>
          <w:tcPr>
            <w:tcW w:w="1620" w:type="dxa"/>
            <w:vAlign w:val="center"/>
          </w:tcPr>
          <w:p w14:paraId="0E541AD1">
            <w:pPr>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eastAsia="zh-CN"/>
              </w:rPr>
              <w:t>常寅东</w:t>
            </w:r>
          </w:p>
        </w:tc>
        <w:tc>
          <w:tcPr>
            <w:tcW w:w="1620" w:type="dxa"/>
            <w:vAlign w:val="center"/>
          </w:tcPr>
          <w:p w14:paraId="09961FC4">
            <w:pPr>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主任</w:t>
            </w:r>
          </w:p>
        </w:tc>
        <w:tc>
          <w:tcPr>
            <w:tcW w:w="1621" w:type="dxa"/>
          </w:tcPr>
          <w:p w14:paraId="05465524">
            <w:pP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535B9DDB">
            <w:pPr>
              <w:rPr>
                <w:rFonts w:ascii="Times New Roman" w:hAnsi="Times New Roman" w:eastAsia="黑体" w:cs="Times New Roman"/>
                <w:color w:val="000000" w:themeColor="text1"/>
                <w:sz w:val="24"/>
                <w:szCs w:val="24"/>
                <w:u w:color="000000"/>
                <w:lang w:val="zh-TW" w:eastAsia="zh-TW"/>
              </w:rPr>
            </w:pPr>
          </w:p>
        </w:tc>
      </w:tr>
      <w:tr w14:paraId="4D24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FFCDCC6">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副组长</w:t>
            </w:r>
          </w:p>
        </w:tc>
        <w:tc>
          <w:tcPr>
            <w:tcW w:w="1620" w:type="dxa"/>
            <w:vAlign w:val="center"/>
          </w:tcPr>
          <w:p w14:paraId="2353B0B4">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韩奇</w:t>
            </w:r>
          </w:p>
        </w:tc>
        <w:tc>
          <w:tcPr>
            <w:tcW w:w="1620" w:type="dxa"/>
            <w:vAlign w:val="center"/>
          </w:tcPr>
          <w:p w14:paraId="4847A4BF">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副主任</w:t>
            </w:r>
          </w:p>
        </w:tc>
        <w:tc>
          <w:tcPr>
            <w:tcW w:w="1621" w:type="dxa"/>
          </w:tcPr>
          <w:p w14:paraId="2742D719">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3860ED94">
            <w:pPr>
              <w:spacing w:line="360" w:lineRule="auto"/>
              <w:rPr>
                <w:rFonts w:ascii="Times New Roman" w:hAnsi="Times New Roman" w:eastAsia="黑体" w:cs="Times New Roman"/>
                <w:color w:val="000000" w:themeColor="text1"/>
                <w:sz w:val="24"/>
                <w:szCs w:val="24"/>
                <w:u w:color="000000"/>
                <w:lang w:val="zh-TW" w:eastAsia="zh-TW"/>
              </w:rPr>
            </w:pPr>
          </w:p>
        </w:tc>
      </w:tr>
      <w:tr w14:paraId="21D4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EEA403A">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成员</w:t>
            </w:r>
          </w:p>
        </w:tc>
        <w:tc>
          <w:tcPr>
            <w:tcW w:w="1620" w:type="dxa"/>
            <w:vAlign w:val="center"/>
          </w:tcPr>
          <w:p w14:paraId="3FA2CB8C">
            <w:pPr>
              <w:spacing w:line="360" w:lineRule="auto"/>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eastAsia="zh-CN"/>
              </w:rPr>
              <w:t>张益恒</w:t>
            </w:r>
          </w:p>
        </w:tc>
        <w:tc>
          <w:tcPr>
            <w:tcW w:w="1620" w:type="dxa"/>
            <w:vAlign w:val="center"/>
          </w:tcPr>
          <w:p w14:paraId="25016C5D">
            <w:pPr>
              <w:spacing w:line="360" w:lineRule="auto"/>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rPr>
              <w:t>办公室主任</w:t>
            </w:r>
            <w:r>
              <w:rPr>
                <w:rFonts w:hint="eastAsia" w:ascii="Times New Roman" w:hAnsi="Times New Roman" w:eastAsia="黑体" w:cs="Times New Roman"/>
                <w:color w:val="000000" w:themeColor="text1"/>
                <w:sz w:val="24"/>
                <w:szCs w:val="24"/>
                <w:u w:color="000000"/>
                <w:lang w:val="zh-TW" w:eastAsia="zh-CN"/>
              </w:rPr>
              <w:t>、出纳</w:t>
            </w:r>
          </w:p>
        </w:tc>
        <w:tc>
          <w:tcPr>
            <w:tcW w:w="1621" w:type="dxa"/>
          </w:tcPr>
          <w:p w14:paraId="3863B313">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32EA1B02">
            <w:pPr>
              <w:spacing w:line="360" w:lineRule="auto"/>
              <w:rPr>
                <w:rFonts w:ascii="Times New Roman" w:hAnsi="Times New Roman" w:eastAsia="黑体" w:cs="Times New Roman"/>
                <w:color w:val="000000" w:themeColor="text1"/>
                <w:sz w:val="24"/>
                <w:szCs w:val="24"/>
                <w:u w:color="000000"/>
                <w:lang w:val="zh-TW" w:eastAsia="zh-TW"/>
              </w:rPr>
            </w:pPr>
          </w:p>
        </w:tc>
      </w:tr>
      <w:tr w14:paraId="6304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2DC3DA8">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成员</w:t>
            </w:r>
          </w:p>
        </w:tc>
        <w:tc>
          <w:tcPr>
            <w:tcW w:w="1620" w:type="dxa"/>
            <w:vAlign w:val="center"/>
          </w:tcPr>
          <w:p w14:paraId="7A3CAE20">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郑燕</w:t>
            </w:r>
          </w:p>
        </w:tc>
        <w:tc>
          <w:tcPr>
            <w:tcW w:w="1620" w:type="dxa"/>
            <w:vAlign w:val="center"/>
          </w:tcPr>
          <w:p w14:paraId="6D278C79">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会计</w:t>
            </w:r>
          </w:p>
        </w:tc>
        <w:tc>
          <w:tcPr>
            <w:tcW w:w="1621" w:type="dxa"/>
          </w:tcPr>
          <w:p w14:paraId="38531230">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5A611A47">
            <w:pPr>
              <w:spacing w:line="360" w:lineRule="auto"/>
              <w:rPr>
                <w:rFonts w:ascii="Times New Roman" w:hAnsi="Times New Roman" w:eastAsia="黑体" w:cs="Times New Roman"/>
                <w:color w:val="000000" w:themeColor="text1"/>
                <w:sz w:val="24"/>
                <w:szCs w:val="24"/>
                <w:u w:color="000000"/>
                <w:lang w:val="zh-TW" w:eastAsia="zh-TW"/>
              </w:rPr>
            </w:pPr>
          </w:p>
        </w:tc>
      </w:tr>
      <w:tr w14:paraId="2464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14:paraId="2E19E1FE">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报告撰写人（签字）：</w:t>
            </w:r>
          </w:p>
          <w:p w14:paraId="3954F0E1">
            <w:pPr>
              <w:spacing w:line="360" w:lineRule="auto"/>
              <w:rPr>
                <w:rFonts w:ascii="Times New Roman" w:hAnsi="Times New Roman" w:eastAsia="黑体" w:cs="Times New Roman"/>
                <w:color w:val="000000" w:themeColor="text1"/>
                <w:sz w:val="24"/>
                <w:szCs w:val="24"/>
                <w:u w:color="000000"/>
                <w:lang w:val="zh-TW"/>
              </w:rPr>
            </w:pPr>
          </w:p>
          <w:p w14:paraId="5AE8E551">
            <w:pPr>
              <w:spacing w:line="360" w:lineRule="auto"/>
              <w:rPr>
                <w:rFonts w:ascii="Times New Roman" w:hAnsi="Times New Roman" w:eastAsia="黑体" w:cs="Times New Roman"/>
                <w:color w:val="000000" w:themeColor="text1"/>
                <w:sz w:val="24"/>
                <w:szCs w:val="24"/>
                <w:u w:color="000000"/>
                <w:lang w:val="zh-TW"/>
              </w:rPr>
            </w:pPr>
          </w:p>
          <w:p w14:paraId="2864D125">
            <w:pPr>
              <w:wordWrap w:val="0"/>
              <w:spacing w:line="360" w:lineRule="auto"/>
              <w:jc w:val="right"/>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年    月    日</w:t>
            </w:r>
          </w:p>
        </w:tc>
      </w:tr>
      <w:tr w14:paraId="5B82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14:paraId="356E3982">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评价工作负责人（签字）：</w:t>
            </w:r>
          </w:p>
          <w:p w14:paraId="549D7D51">
            <w:pPr>
              <w:spacing w:line="360" w:lineRule="auto"/>
              <w:rPr>
                <w:rFonts w:ascii="Times New Roman" w:hAnsi="Times New Roman" w:eastAsia="黑体" w:cs="Times New Roman"/>
                <w:color w:val="000000" w:themeColor="text1"/>
                <w:sz w:val="24"/>
                <w:szCs w:val="24"/>
                <w:u w:color="000000"/>
                <w:lang w:val="zh-TW"/>
              </w:rPr>
            </w:pPr>
          </w:p>
          <w:p w14:paraId="340E49A8">
            <w:pPr>
              <w:spacing w:line="360" w:lineRule="auto"/>
              <w:rPr>
                <w:rFonts w:ascii="Times New Roman" w:hAnsi="Times New Roman" w:eastAsia="黑体" w:cs="Times New Roman"/>
                <w:color w:val="000000" w:themeColor="text1"/>
                <w:sz w:val="24"/>
                <w:szCs w:val="24"/>
                <w:u w:color="000000"/>
                <w:lang w:val="zh-TW"/>
              </w:rPr>
            </w:pPr>
          </w:p>
          <w:p w14:paraId="667958BE">
            <w:pPr>
              <w:wordWrap w:val="0"/>
              <w:spacing w:line="360" w:lineRule="auto"/>
              <w:jc w:val="right"/>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年    月    日</w:t>
            </w:r>
          </w:p>
        </w:tc>
      </w:tr>
    </w:tbl>
    <w:p w14:paraId="7885542D">
      <w:pPr>
        <w:spacing w:line="360" w:lineRule="auto"/>
        <w:ind w:firstLine="566" w:firstLineChars="236"/>
        <w:rPr>
          <w:rFonts w:ascii="Times New Roman" w:hAnsi="Times New Roman" w:eastAsia="PMingLiU" w:cs="Times New Roman"/>
          <w:color w:val="000000" w:themeColor="text1"/>
          <w:sz w:val="24"/>
          <w:szCs w:val="24"/>
          <w:u w:color="000000"/>
          <w:lang w:val="zh-TW" w:eastAsia="zh-TW"/>
        </w:rPr>
      </w:pPr>
    </w:p>
    <w:p w14:paraId="1801076A">
      <w:pPr>
        <w:spacing w:line="360" w:lineRule="auto"/>
        <w:rPr>
          <w:rFonts w:ascii="Times New Roman" w:hAnsi="Times New Roman" w:eastAsia="宋体" w:cs="Times New Roman"/>
          <w:color w:val="000000" w:themeColor="text1"/>
          <w:sz w:val="24"/>
          <w:szCs w:val="24"/>
          <w:u w:color="000000"/>
          <w:lang w:val="zh-TW"/>
        </w:rPr>
        <w:sectPr>
          <w:pgSz w:w="11906" w:h="16838"/>
          <w:pgMar w:top="1440" w:right="1800" w:bottom="1440" w:left="1800" w:header="851" w:footer="992" w:gutter="0"/>
          <w:cols w:space="425" w:num="1"/>
          <w:docGrid w:type="lines" w:linePitch="312" w:charSpace="0"/>
        </w:sectPr>
      </w:pPr>
    </w:p>
    <w:p w14:paraId="4844E29A">
      <w:pPr>
        <w:keepNext/>
        <w:keepLines/>
        <w:widowControl/>
        <w:spacing w:before="480" w:line="276" w:lineRule="auto"/>
        <w:jc w:val="center"/>
        <w:rPr>
          <w:rFonts w:ascii="Times New Roman" w:hAnsi="Times New Roman" w:eastAsia="方正小标宋_GBK" w:cs="Times New Roman"/>
          <w:bCs/>
          <w:color w:val="000000" w:themeColor="text1"/>
          <w:kern w:val="0"/>
          <w:sz w:val="28"/>
          <w:szCs w:val="28"/>
        </w:rPr>
      </w:pPr>
      <w:r>
        <w:rPr>
          <w:rFonts w:ascii="Times New Roman" w:hAnsi="Times New Roman" w:eastAsia="方正小标宋_GBK" w:cs="Times New Roman"/>
          <w:bCs/>
          <w:color w:val="000000" w:themeColor="text1"/>
          <w:kern w:val="0"/>
          <w:sz w:val="28"/>
          <w:szCs w:val="28"/>
          <w:lang w:val="zh-CN"/>
        </w:rPr>
        <w:t>目录</w:t>
      </w:r>
    </w:p>
    <w:p w14:paraId="6BB5C0EE">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一、部门概况</w:t>
      </w:r>
    </w:p>
    <w:p w14:paraId="134EDAC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（一）部门机构设置、编制</w:t>
      </w:r>
    </w:p>
    <w:p w14:paraId="204F9F0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（二）部门职能</w:t>
      </w:r>
    </w:p>
    <w:p w14:paraId="6DD6DC50">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（三）部门工作完成情况</w:t>
      </w:r>
    </w:p>
    <w:p w14:paraId="63DE466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（四）部门管理制度</w:t>
      </w:r>
    </w:p>
    <w:p w14:paraId="72B9690C">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（五）部门资金来源及使用情况</w:t>
      </w:r>
    </w:p>
    <w:p w14:paraId="7FE4ED27">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（六）政府采购情况</w:t>
      </w:r>
    </w:p>
    <w:p w14:paraId="016252EE">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（七）固定资产情况</w:t>
      </w:r>
    </w:p>
    <w:p w14:paraId="48F4399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二、绩效目标</w:t>
      </w:r>
    </w:p>
    <w:p w14:paraId="41003093">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三、评价思路和过程</w:t>
      </w:r>
    </w:p>
    <w:p w14:paraId="55BAA6B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（一）评价思路</w:t>
      </w:r>
    </w:p>
    <w:p w14:paraId="290061AD">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（二）评价目的</w:t>
      </w:r>
    </w:p>
    <w:p w14:paraId="632B14E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（三）评价依据</w:t>
      </w:r>
    </w:p>
    <w:p w14:paraId="43FE8BFA">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（四）评价对象及评价时段</w:t>
      </w:r>
    </w:p>
    <w:p w14:paraId="57411C2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四、评价结论和绩效分析</w:t>
      </w:r>
    </w:p>
    <w:p w14:paraId="731E291B">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（一）评价结论</w:t>
      </w:r>
    </w:p>
    <w:p w14:paraId="0C5AE11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（二）具体绩效分析</w:t>
      </w:r>
    </w:p>
    <w:p w14:paraId="76C0DFE5">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五、主要经验做法</w:t>
      </w:r>
    </w:p>
    <w:p w14:paraId="40101CE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六、存在的问题</w:t>
      </w:r>
    </w:p>
    <w:p w14:paraId="6A4CB805">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七、改进措施及建议</w:t>
      </w:r>
    </w:p>
    <w:p w14:paraId="75C9A525">
      <w:pPr>
        <w:spacing w:line="400" w:lineRule="exact"/>
        <w:ind w:firstLine="420" w:firstLineChars="200"/>
        <w:jc w:val="left"/>
        <w:rPr>
          <w:rFonts w:ascii="Times New Roman" w:hAnsi="Times New Roman" w:eastAsia="黑体" w:cs="Times New Roman"/>
          <w:color w:val="000000" w:themeColor="text1"/>
          <w:szCs w:val="32"/>
        </w:rPr>
      </w:pPr>
    </w:p>
    <w:p w14:paraId="452A890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附件1 成本费用分析报告</w:t>
      </w:r>
    </w:p>
    <w:p w14:paraId="02F2E85C">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附件2 部门职能分解及</w:t>
      </w:r>
      <w:r>
        <w:rPr>
          <w:rFonts w:hint="eastAsia" w:ascii="Times New Roman" w:hAnsi="Times New Roman" w:eastAsia="黑体" w:cs="Times New Roman"/>
          <w:color w:val="000000" w:themeColor="text1"/>
          <w:szCs w:val="32"/>
          <w:lang w:eastAsia="zh-CN"/>
        </w:rPr>
        <w:t>2024</w:t>
      </w:r>
      <w:r>
        <w:rPr>
          <w:rFonts w:ascii="Times New Roman" w:hAnsi="Times New Roman" w:eastAsia="黑体" w:cs="Times New Roman"/>
          <w:color w:val="000000" w:themeColor="text1"/>
          <w:szCs w:val="32"/>
        </w:rPr>
        <w:t>年工作完成情况</w:t>
      </w:r>
    </w:p>
    <w:p w14:paraId="422E923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附件3评价指标体系</w:t>
      </w:r>
    </w:p>
    <w:p w14:paraId="03521E5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附件4问卷调查报告</w:t>
      </w:r>
    </w:p>
    <w:p w14:paraId="40EC7FF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附件5工作底稿</w:t>
      </w:r>
    </w:p>
    <w:p w14:paraId="3C72DA4D">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附件6 寻甸回族彝族自治县</w:t>
      </w:r>
      <w:r>
        <w:rPr>
          <w:rFonts w:hint="eastAsia" w:ascii="Times New Roman" w:hAnsi="Times New Roman" w:eastAsia="黑体" w:cs="Times New Roman"/>
          <w:color w:val="000000" w:themeColor="text1"/>
          <w:szCs w:val="32"/>
        </w:rPr>
        <w:t>融媒体中心</w:t>
      </w:r>
      <w:r>
        <w:rPr>
          <w:rFonts w:hint="eastAsia" w:ascii="Times New Roman" w:hAnsi="Times New Roman" w:eastAsia="黑体" w:cs="Times New Roman"/>
          <w:color w:val="000000" w:themeColor="text1"/>
          <w:szCs w:val="32"/>
          <w:lang w:eastAsia="zh-CN"/>
        </w:rPr>
        <w:t>2024</w:t>
      </w:r>
      <w:r>
        <w:rPr>
          <w:rFonts w:ascii="Times New Roman" w:hAnsi="Times New Roman" w:eastAsia="黑体" w:cs="Times New Roman"/>
          <w:color w:val="000000" w:themeColor="text1"/>
          <w:szCs w:val="32"/>
        </w:rPr>
        <w:t>年</w:t>
      </w:r>
      <w:r>
        <w:rPr>
          <w:rFonts w:hint="eastAsia" w:ascii="Times New Roman" w:hAnsi="Times New Roman" w:eastAsia="黑体" w:cs="Times New Roman"/>
          <w:color w:val="000000" w:themeColor="text1"/>
          <w:szCs w:val="32"/>
          <w:lang w:eastAsia="zh-CN"/>
        </w:rPr>
        <w:t>收入支出决算总表</w:t>
      </w:r>
      <w:r>
        <w:rPr>
          <w:rFonts w:ascii="Times New Roman" w:hAnsi="Times New Roman" w:eastAsia="黑体" w:cs="Times New Roman"/>
          <w:color w:val="000000" w:themeColor="text1"/>
          <w:szCs w:val="32"/>
        </w:rPr>
        <w:t>（单位：元）</w:t>
      </w:r>
    </w:p>
    <w:p w14:paraId="6BFE134F">
      <w:pPr>
        <w:spacing w:line="600" w:lineRule="exact"/>
        <w:ind w:firstLine="420" w:firstLineChars="200"/>
        <w:jc w:val="left"/>
        <w:rPr>
          <w:rFonts w:ascii="Times New Roman" w:hAnsi="Times New Roman" w:eastAsia="黑体" w:cs="Times New Roman"/>
          <w:color w:val="000000" w:themeColor="text1"/>
          <w:szCs w:val="32"/>
        </w:rPr>
      </w:pPr>
    </w:p>
    <w:p w14:paraId="736F9810">
      <w:pPr>
        <w:spacing w:line="600" w:lineRule="exact"/>
        <w:ind w:firstLine="420" w:firstLineChars="200"/>
        <w:jc w:val="left"/>
        <w:rPr>
          <w:rFonts w:ascii="Times New Roman" w:hAnsi="Times New Roman" w:eastAsia="黑体" w:cs="Times New Roman"/>
          <w:color w:val="000000" w:themeColor="text1"/>
          <w:szCs w:val="32"/>
        </w:rPr>
      </w:pPr>
    </w:p>
    <w:p w14:paraId="68F1BD4E">
      <w:pPr>
        <w:spacing w:line="600" w:lineRule="exact"/>
        <w:ind w:firstLine="420" w:firstLineChars="200"/>
        <w:jc w:val="center"/>
        <w:rPr>
          <w:rFonts w:ascii="Times New Roman" w:hAnsi="Times New Roman" w:eastAsia="方正小标宋_GBK" w:cs="Times New Roman"/>
          <w:color w:val="000000" w:themeColor="text1"/>
          <w:szCs w:val="32"/>
        </w:rPr>
      </w:pPr>
    </w:p>
    <w:p w14:paraId="04696958">
      <w:pPr>
        <w:spacing w:line="520" w:lineRule="exact"/>
        <w:ind w:firstLine="480" w:firstLineChars="200"/>
        <w:jc w:val="center"/>
        <w:rPr>
          <w:rFonts w:ascii="Times New Roman" w:hAnsi="Times New Roman" w:eastAsia="方正小标宋_GBK" w:cs="Times New Roman"/>
          <w:color w:val="000000" w:themeColor="text1"/>
          <w:sz w:val="36"/>
          <w:szCs w:val="36"/>
        </w:rPr>
      </w:pPr>
      <w:r>
        <w:rPr>
          <w:rFonts w:ascii="Times New Roman" w:hAnsi="Times New Roman" w:eastAsia="方正小标宋_GBK" w:cs="Times New Roman"/>
          <w:color w:val="000000" w:themeColor="text1"/>
          <w:sz w:val="24"/>
          <w:szCs w:val="24"/>
        </w:rPr>
        <w:t>寻甸</w:t>
      </w:r>
      <w:r>
        <w:rPr>
          <w:rFonts w:hint="eastAsia" w:ascii="Times New Roman" w:hAnsi="Times New Roman" w:eastAsia="方正小标宋_GBK" w:cs="Times New Roman"/>
          <w:color w:val="000000" w:themeColor="text1"/>
          <w:sz w:val="24"/>
          <w:szCs w:val="24"/>
        </w:rPr>
        <w:t>回族彝族自治县</w:t>
      </w:r>
      <w:r>
        <w:rPr>
          <w:rFonts w:ascii="Times New Roman" w:hAnsi="Times New Roman" w:eastAsia="方正小标宋_GBK" w:cs="Times New Roman"/>
          <w:color w:val="000000" w:themeColor="text1"/>
          <w:sz w:val="24"/>
          <w:szCs w:val="24"/>
        </w:rPr>
        <w:t>融媒体中心</w:t>
      </w:r>
      <w:r>
        <w:rPr>
          <w:rFonts w:hint="eastAsia" w:ascii="Times New Roman" w:hAnsi="Times New Roman" w:eastAsia="方正小标宋_GBK" w:cs="Times New Roman"/>
          <w:color w:val="000000" w:themeColor="text1"/>
          <w:sz w:val="24"/>
          <w:szCs w:val="24"/>
          <w:lang w:eastAsia="zh-CN"/>
        </w:rPr>
        <w:t>2024</w:t>
      </w:r>
      <w:r>
        <w:rPr>
          <w:rFonts w:ascii="Times New Roman" w:hAnsi="Times New Roman" w:eastAsia="方正小标宋_GBK" w:cs="Times New Roman"/>
          <w:color w:val="000000" w:themeColor="text1"/>
          <w:sz w:val="24"/>
          <w:szCs w:val="24"/>
        </w:rPr>
        <w:t>年度部门整体支出绩效评价报告</w:t>
      </w:r>
    </w:p>
    <w:p w14:paraId="7CFC6186">
      <w:pPr>
        <w:topLinePunct/>
        <w:spacing w:line="520" w:lineRule="exact"/>
        <w:ind w:firstLine="525" w:firstLineChars="250"/>
        <w:rPr>
          <w:rFonts w:ascii="Times New Roman" w:hAnsi="Times New Roman" w:eastAsia="黑体" w:cs="Times New Roman"/>
          <w:color w:val="000000" w:themeColor="text1"/>
          <w:szCs w:val="32"/>
        </w:rPr>
      </w:pPr>
    </w:p>
    <w:p w14:paraId="6FA57308">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一、部门概况</w:t>
      </w:r>
    </w:p>
    <w:p w14:paraId="0E77A1BC">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（一）部门机构设置、编制。</w:t>
      </w:r>
    </w:p>
    <w:p w14:paraId="292C6337">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融媒体中心为财政全额拨款事业单位，机构性质为公益一类，隶属于中共寻甸县委，归口县委宣传部管理。统一社会信用代码:12530129MBOR84800T。内设办公室、新闻部、</w:t>
      </w:r>
      <w:r>
        <w:rPr>
          <w:rFonts w:hint="eastAsia" w:ascii="Times New Roman" w:hAnsi="Times New Roman" w:eastAsia="仿宋_GB2312" w:cs="Times New Roman"/>
          <w:color w:val="000000" w:themeColor="text1"/>
          <w:szCs w:val="32"/>
          <w:lang w:eastAsia="zh-CN"/>
        </w:rPr>
        <w:t>外联</w:t>
      </w:r>
      <w:r>
        <w:rPr>
          <w:rFonts w:hint="eastAsia" w:ascii="Times New Roman" w:hAnsi="Times New Roman" w:eastAsia="仿宋_GB2312" w:cs="Times New Roman"/>
          <w:color w:val="000000" w:themeColor="text1"/>
          <w:szCs w:val="32"/>
        </w:rPr>
        <w:t>部、全媒体</w:t>
      </w:r>
      <w:r>
        <w:rPr>
          <w:rFonts w:hint="eastAsia" w:ascii="Times New Roman" w:hAnsi="Times New Roman" w:eastAsia="仿宋_GB2312" w:cs="Times New Roman"/>
          <w:color w:val="000000" w:themeColor="text1"/>
          <w:szCs w:val="32"/>
          <w:lang w:eastAsia="zh-CN"/>
        </w:rPr>
        <w:t>策划运营</w:t>
      </w:r>
      <w:r>
        <w:rPr>
          <w:rFonts w:hint="eastAsia" w:ascii="Times New Roman" w:hAnsi="Times New Roman" w:eastAsia="仿宋_GB2312" w:cs="Times New Roman"/>
          <w:color w:val="000000" w:themeColor="text1"/>
          <w:szCs w:val="32"/>
        </w:rPr>
        <w:t>部、安全和技术保障部、信息数据部6个科室。核定事业编制28名，其中:管理人员编制</w:t>
      </w:r>
      <w:r>
        <w:rPr>
          <w:rFonts w:hint="eastAsia" w:ascii="Times New Roman" w:hAnsi="Times New Roman" w:eastAsia="仿宋_GB2312" w:cs="Times New Roman"/>
          <w:color w:val="000000" w:themeColor="text1"/>
          <w:szCs w:val="32"/>
          <w:lang w:val="en-US" w:eastAsia="zh-CN"/>
        </w:rPr>
        <w:t>4</w:t>
      </w:r>
      <w:r>
        <w:rPr>
          <w:rFonts w:hint="eastAsia" w:ascii="Times New Roman" w:hAnsi="Times New Roman" w:eastAsia="仿宋_GB2312" w:cs="Times New Roman"/>
          <w:color w:val="000000" w:themeColor="text1"/>
          <w:szCs w:val="32"/>
        </w:rPr>
        <w:t>名，专业技术人员编制2</w:t>
      </w:r>
      <w:r>
        <w:rPr>
          <w:rFonts w:hint="eastAsia" w:ascii="Times New Roman" w:hAnsi="Times New Roman" w:eastAsia="仿宋_GB2312" w:cs="Times New Roman"/>
          <w:color w:val="000000" w:themeColor="text1"/>
          <w:szCs w:val="32"/>
          <w:lang w:val="en-US" w:eastAsia="zh-CN"/>
        </w:rPr>
        <w:t>4</w:t>
      </w:r>
      <w:r>
        <w:rPr>
          <w:rFonts w:hint="eastAsia" w:ascii="Times New Roman" w:hAnsi="Times New Roman" w:eastAsia="仿宋_GB2312" w:cs="Times New Roman"/>
          <w:color w:val="000000" w:themeColor="text1"/>
          <w:szCs w:val="32"/>
        </w:rPr>
        <w:t>名。设主任1名(正科级)，副主任3名(副科级)，设中层领导职数6名。</w:t>
      </w:r>
    </w:p>
    <w:p w14:paraId="2FA6C688">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年年末在职人员共3</w:t>
      </w:r>
      <w:r>
        <w:rPr>
          <w:rFonts w:hint="eastAsia" w:ascii="Times New Roman" w:hAnsi="Times New Roman" w:eastAsia="仿宋_GB2312" w:cs="Times New Roman"/>
          <w:color w:val="000000" w:themeColor="text1"/>
          <w:szCs w:val="32"/>
          <w:lang w:val="en-US" w:eastAsia="zh-CN"/>
        </w:rPr>
        <w:t>8</w:t>
      </w:r>
      <w:r>
        <w:rPr>
          <w:rFonts w:hint="eastAsia" w:ascii="Times New Roman" w:hAnsi="Times New Roman" w:eastAsia="仿宋_GB2312" w:cs="Times New Roman"/>
          <w:color w:val="000000" w:themeColor="text1"/>
          <w:szCs w:val="32"/>
        </w:rPr>
        <w:t>人。其中:编内人员</w:t>
      </w:r>
      <w:r>
        <w:rPr>
          <w:rFonts w:hint="eastAsia" w:ascii="Times New Roman" w:hAnsi="Times New Roman" w:eastAsia="仿宋_GB2312" w:cs="Times New Roman"/>
          <w:color w:val="000000" w:themeColor="text1"/>
          <w:szCs w:val="32"/>
          <w:lang w:val="en-US" w:eastAsia="zh-CN"/>
        </w:rPr>
        <w:t>23</w:t>
      </w:r>
      <w:r>
        <w:rPr>
          <w:rFonts w:hint="eastAsia" w:ascii="Times New Roman" w:hAnsi="Times New Roman" w:eastAsia="仿宋_GB2312" w:cs="Times New Roman"/>
          <w:color w:val="000000" w:themeColor="text1"/>
          <w:szCs w:val="32"/>
        </w:rPr>
        <w:t>人，劳务派遣15人。寻甸回族彝族自治县融媒体中心</w:t>
      </w:r>
      <w:r>
        <w:rPr>
          <w:rFonts w:ascii="Times New Roman" w:hAnsi="Times New Roman" w:eastAsia="仿宋_GB2312" w:cs="Times New Roman"/>
          <w:color w:val="000000" w:themeColor="text1"/>
          <w:szCs w:val="32"/>
        </w:rPr>
        <w:t>执行《</w:t>
      </w:r>
      <w:r>
        <w:rPr>
          <w:rFonts w:hint="eastAsia" w:ascii="Times New Roman" w:hAnsi="Times New Roman" w:eastAsia="仿宋_GB2312" w:cs="Times New Roman"/>
          <w:color w:val="000000" w:themeColor="text1"/>
          <w:szCs w:val="32"/>
        </w:rPr>
        <w:t>政府会计</w:t>
      </w:r>
      <w:r>
        <w:rPr>
          <w:rFonts w:ascii="Times New Roman" w:hAnsi="Times New Roman" w:eastAsia="仿宋_GB2312" w:cs="Times New Roman"/>
          <w:color w:val="000000" w:themeColor="text1"/>
          <w:szCs w:val="32"/>
        </w:rPr>
        <w:t>制度》。</w:t>
      </w:r>
    </w:p>
    <w:p w14:paraId="0E368CEA">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（二）部门职能。</w:t>
      </w:r>
    </w:p>
    <w:p w14:paraId="1EEFA3B2">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1、贯彻落实党的新闻宣传方针政策，宣传党的理论、路线和各项方针政策，了解和究社会舆论动向，把握新闻宣传基调，坚持正面宣传为主的舆论导向。2、充分发挥政府的喉舌作用，围绕县委、县政府的中心工作积极组织开展新闻宣传工作，及时宣传道县内政治、经济、文化、社会、生态和党的建设等各方面工作中的新闻信息。3、负责县级广播电视节目的采集、编辑、制作和播出。4、负责县级新媒体信息的采集、编辑、制作和传播，对所属媒体平台进行融合，进行全媒体发布。5、负责公益广告的策划、制作及播出。6、充分发挥融媒体的服务功能，做好全县新闻资讯、党建、政务、民生等领域的服务工作。7、负责全县新闻宣传通联工作，及时向上级新闻媒体提供全县有报道价值的新闻线索，抓好通讯员队伍、通讯员网络建设，做好新闻工作者的思想政治工作。负责组织参加各级各类媒体协会、新闻学会、记者协会的新闻评奖、评优活动。8、完成县委、县政府和县委宣传部交办的其他工作。</w:t>
      </w:r>
    </w:p>
    <w:p w14:paraId="3ACA3711">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（三）部门工作完成情况。</w:t>
      </w:r>
    </w:p>
    <w:p w14:paraId="4D5A8D1C">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1.寻甸县融媒体中心隶属于中共寻甸县委，归口县委宣传部管理，根据中共寻甸回族彝族自治县委目督办关于下达《县委宣传部</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年工作目标》的通知，属于寻甸县融媒体中心履职范围内的年度工作目标已完成，完成率100％；</w:t>
      </w:r>
    </w:p>
    <w:p w14:paraId="62A5767E">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2.寻甸县融媒体中心履职范围内确定的主要工作目标任务在规定时限内已实际完成了</w:t>
      </w:r>
    </w:p>
    <w:p w14:paraId="4D7598F6">
      <w:pPr>
        <w:topLinePunct/>
        <w:spacing w:line="520" w:lineRule="exact"/>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相应的工作任务数，完成及时率为100％；</w:t>
      </w:r>
    </w:p>
    <w:p w14:paraId="5A99690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3.寻甸县融媒体中心隶属于中共寻甸县委，归口县委宣传部管理，依据中共寻甸回族彝族自治县委、寻甸回族彝族自治县人民政府《关于</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年度目标管理绩效考核结果的通报》考核结果，寻甸县委宣传部</w:t>
      </w:r>
      <w:r>
        <w:rPr>
          <w:rFonts w:hint="eastAsia" w:ascii="Times New Roman" w:hAnsi="Times New Roman" w:eastAsia="仿宋_GB2312" w:cs="Times New Roman"/>
          <w:color w:val="000000" w:themeColor="text1"/>
          <w:szCs w:val="32"/>
          <w:lang w:eastAsia="zh-CN"/>
        </w:rPr>
        <w:t>（含融媒体中心）</w:t>
      </w:r>
      <w:r>
        <w:rPr>
          <w:rFonts w:hint="eastAsia" w:ascii="Times New Roman" w:hAnsi="Times New Roman" w:eastAsia="仿宋_GB2312" w:cs="Times New Roman"/>
          <w:color w:val="000000" w:themeColor="text1"/>
          <w:szCs w:val="32"/>
        </w:rPr>
        <w:t>考核得分为</w:t>
      </w:r>
      <w:r>
        <w:rPr>
          <w:rFonts w:hint="eastAsia" w:ascii="Times New Roman" w:hAnsi="Times New Roman" w:eastAsia="仿宋_GB2312" w:cs="Times New Roman"/>
          <w:color w:val="000000" w:themeColor="text1"/>
          <w:szCs w:val="32"/>
          <w:lang w:val="en-US" w:eastAsia="zh-CN"/>
        </w:rPr>
        <w:t>97.81</w:t>
      </w:r>
      <w:r>
        <w:rPr>
          <w:rFonts w:hint="eastAsia" w:ascii="Times New Roman" w:hAnsi="Times New Roman" w:eastAsia="仿宋_GB2312" w:cs="Times New Roman"/>
          <w:color w:val="000000" w:themeColor="text1"/>
          <w:szCs w:val="32"/>
        </w:rPr>
        <w:t>分，按照总分100分计算，职责履行质量达标率为</w:t>
      </w:r>
      <w:r>
        <w:rPr>
          <w:rFonts w:hint="eastAsia" w:ascii="Times New Roman" w:hAnsi="Times New Roman" w:eastAsia="仿宋_GB2312" w:cs="Times New Roman"/>
          <w:color w:val="000000" w:themeColor="text1"/>
          <w:szCs w:val="32"/>
          <w:lang w:val="en-US" w:eastAsia="zh-CN"/>
        </w:rPr>
        <w:t>97.81</w:t>
      </w:r>
      <w:r>
        <w:rPr>
          <w:rFonts w:hint="eastAsia" w:ascii="Times New Roman" w:hAnsi="Times New Roman" w:eastAsia="仿宋_GB2312" w:cs="Times New Roman"/>
          <w:color w:val="000000" w:themeColor="text1"/>
          <w:szCs w:val="32"/>
        </w:rPr>
        <w:t>％。</w:t>
      </w:r>
    </w:p>
    <w:p w14:paraId="4BCFD29C">
      <w:pPr>
        <w:topLinePunct/>
        <w:spacing w:line="520" w:lineRule="exact"/>
        <w:ind w:firstLine="420" w:firstLineChars="200"/>
        <w:rPr>
          <w:rFonts w:hint="eastAsia" w:ascii="Times New Roman" w:hAnsi="Times New Roman" w:eastAsia="仿宋_GB2312" w:cs="Times New Roman"/>
          <w:color w:val="000000" w:themeColor="text1"/>
          <w:szCs w:val="32"/>
          <w:lang w:val="en-US" w:eastAsia="zh-CN"/>
        </w:rPr>
      </w:pPr>
      <w:r>
        <w:rPr>
          <w:rFonts w:hint="eastAsia" w:ascii="Times New Roman" w:hAnsi="Times New Roman" w:eastAsia="仿宋_GB2312" w:cs="Times New Roman"/>
          <w:color w:val="000000" w:themeColor="text1"/>
          <w:szCs w:val="32"/>
        </w:rPr>
        <w:t>4.</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年度，寻甸县融媒体中心重点工作目标</w:t>
      </w:r>
      <w:r>
        <w:rPr>
          <w:rFonts w:hint="eastAsia" w:ascii="Times New Roman" w:hAnsi="Times New Roman" w:eastAsia="仿宋_GB2312" w:cs="Times New Roman"/>
          <w:color w:val="000000" w:themeColor="text1"/>
          <w:szCs w:val="32"/>
          <w:lang w:val="en-US" w:eastAsia="zh-CN"/>
        </w:rPr>
        <w:t>7</w:t>
      </w:r>
      <w:r>
        <w:rPr>
          <w:rFonts w:hint="eastAsia" w:ascii="Times New Roman" w:hAnsi="Times New Roman" w:eastAsia="仿宋_GB2312" w:cs="Times New Roman"/>
          <w:color w:val="000000" w:themeColor="text1"/>
          <w:szCs w:val="32"/>
        </w:rPr>
        <w:t>项：</w:t>
      </w:r>
      <w:r>
        <w:rPr>
          <w:rFonts w:hint="eastAsia" w:ascii="Times New Roman" w:hAnsi="Times New Roman" w:eastAsia="仿宋_GB2312" w:cs="Times New Roman"/>
          <w:color w:val="000000" w:themeColor="text1"/>
          <w:szCs w:val="32"/>
          <w:lang w:val="en-US" w:eastAsia="zh-CN"/>
        </w:rPr>
        <w:t>（一）</w:t>
      </w:r>
      <w:r>
        <w:rPr>
          <w:rFonts w:hint="eastAsia" w:ascii="Times New Roman" w:hAnsi="Times New Roman" w:eastAsia="仿宋_GB2312" w:cs="Times New Roman"/>
          <w:color w:val="000000" w:themeColor="text1"/>
          <w:szCs w:val="32"/>
        </w:rPr>
        <w:t>守正创新，凝聚力量</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县融媒体中心紧扣全县工作大局，引领新舆论、唱响主旋律、弘扬正能量，为全县经济社会发展凝聚强大精神力量。精心策划，深入采访，推出一系列有深度、有影响力的电视新闻报道，并积极探索新媒体报道方式，通过微信公众号、微博、抖音等平台发布信息，以更加生动、直观的形式展现新闻内容，全面展示了寻甸重点工作推进、经验成效、特色亮点，以进一步全面深化改革引领高质量“五区一城”建设，为实现县委“55111”奋斗目标、谱写中国式现代化寻甸篇章提供强大舆论支持。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w:t>
      </w:r>
      <w:r>
        <w:rPr>
          <w:rFonts w:hint="eastAsia" w:ascii="Times New Roman" w:hAnsi="Times New Roman" w:eastAsia="仿宋_GB2312" w:cs="Times New Roman"/>
          <w:color w:val="000000" w:themeColor="text1"/>
          <w:szCs w:val="32"/>
        </w:rPr>
        <w:t>（二）强化阵地管理，落实主体责任</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1.贯彻落实意识形态责任制。</w:t>
      </w:r>
      <w:r>
        <w:rPr>
          <w:rFonts w:hint="eastAsia" w:ascii="Times New Roman" w:hAnsi="Times New Roman" w:eastAsia="仿宋_GB2312" w:cs="Times New Roman"/>
          <w:color w:val="000000" w:themeColor="text1"/>
          <w:szCs w:val="32"/>
        </w:rPr>
        <w:t>中心高度重视意识形态工作，将意识形态工作纳入重要议事日程、纳入党建工作责任制、纳入干部目标管理，与主责主业同部署、同落实、同检查、同考核。切实落实意识形态工作主体责任，主要负责人履行“第一责任人”职责，分管负责人协助抓好统筹协调指导工作，严格执行“一岗双责”制度。</w:t>
      </w:r>
      <w:r>
        <w:rPr>
          <w:rFonts w:hint="eastAsia" w:ascii="Times New Roman" w:hAnsi="Times New Roman" w:eastAsia="仿宋_GB2312" w:cs="Times New Roman"/>
          <w:color w:val="000000" w:themeColor="text1"/>
          <w:szCs w:val="32"/>
          <w:lang w:val="en-US" w:eastAsia="zh-CN"/>
        </w:rPr>
        <w:t>2.加强分析研判。</w:t>
      </w:r>
      <w:r>
        <w:rPr>
          <w:rFonts w:hint="eastAsia" w:ascii="Times New Roman" w:hAnsi="Times New Roman" w:eastAsia="仿宋_GB2312" w:cs="Times New Roman"/>
          <w:color w:val="000000" w:themeColor="text1"/>
          <w:szCs w:val="32"/>
        </w:rPr>
        <w:t>严格落实《意识形态工作分析研判制度》，每</w:t>
      </w:r>
      <w:r>
        <w:rPr>
          <w:rFonts w:hint="eastAsia" w:ascii="Times New Roman" w:hAnsi="Times New Roman" w:eastAsia="仿宋_GB2312" w:cs="Times New Roman"/>
          <w:color w:val="000000" w:themeColor="text1"/>
          <w:szCs w:val="32"/>
          <w:lang w:eastAsia="zh-CN"/>
        </w:rPr>
        <w:t>季度至少召开</w:t>
      </w:r>
      <w:r>
        <w:rPr>
          <w:rFonts w:hint="eastAsia" w:ascii="Times New Roman" w:hAnsi="Times New Roman" w:eastAsia="仿宋_GB2312" w:cs="Times New Roman"/>
          <w:color w:val="000000" w:themeColor="text1"/>
          <w:szCs w:val="32"/>
          <w:lang w:val="en-US" w:eastAsia="zh-CN"/>
        </w:rPr>
        <w:t>1</w:t>
      </w:r>
      <w:r>
        <w:rPr>
          <w:rFonts w:hint="eastAsia" w:ascii="Times New Roman" w:hAnsi="Times New Roman" w:eastAsia="仿宋_GB2312" w:cs="Times New Roman"/>
          <w:color w:val="000000" w:themeColor="text1"/>
          <w:szCs w:val="32"/>
        </w:rPr>
        <w:t>次专题研究部署。会上学习传达《习近平总书记关于意识形态工作的重要论述》等文件精神，阶段性总结当前意识形态工作开展情况，并开展研讨交流。同时，摸排意识形态领域三重包保方面存在的问题，围绕新闻导向、稿件审核、以职务身份在公开平台注册账号等方面开展自查自纠，全媒体平台均能严格落实播前三审、重播重审等制度等，严把节目审核关口</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 xml:space="preserve">（三）立足本土，扩宽影响。2024年，县融媒体                                                                                                                                                                                                                                                                                                                                                                                                                                                                                                                                                                                                                                                                                                                                                                                                                                                                                                                                                                                                                                                                                                                                                                                                                                                                                                                                                                                                                                                                                                                                                                                                                                                                                                                   </w:t>
      </w:r>
    </w:p>
    <w:p w14:paraId="0AF57C96">
      <w:pPr>
        <w:topLinePunct/>
        <w:spacing w:line="520" w:lineRule="exact"/>
        <w:rPr>
          <w:rFonts w:hint="eastAsia" w:ascii="Times New Roman" w:hAnsi="Times New Roman" w:eastAsia="仿宋_GB2312" w:cs="Times New Roman"/>
          <w:color w:val="000000" w:themeColor="text1"/>
          <w:szCs w:val="32"/>
          <w:lang w:val="en-US" w:eastAsia="zh-CN"/>
        </w:rPr>
      </w:pPr>
      <w:r>
        <w:rPr>
          <w:rFonts w:hint="eastAsia" w:ascii="Times New Roman" w:hAnsi="Times New Roman" w:eastAsia="仿宋_GB2312" w:cs="Times New Roman"/>
          <w:color w:val="000000" w:themeColor="text1"/>
          <w:szCs w:val="32"/>
          <w:lang w:val="en-US" w:eastAsia="zh-CN"/>
        </w:rPr>
        <w:t>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四）强攻外宣，提升形象。2024年，县融媒体中心积极向中央和省、市级媒体推送寻甸选题、寻甸经验、寻甸亮点等外宣新闻稿件，随着信息科技发展速度的加快，传统媒体和新媒体逐步融合。县融媒体中心主动适应传播手段的变化，以优质内容为核心，以抢时效为抓手，提高宣传“速度”，做大做强寻甸融媒品牌。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五）提高技术，狠抓安全播出。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六）强化思想，服务大局。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6AFF948B">
      <w:pPr>
        <w:topLinePunct/>
        <w:spacing w:line="520" w:lineRule="exact"/>
        <w:rPr>
          <w:rFonts w:hint="eastAsia"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val="en-US" w:eastAsia="zh-CN"/>
        </w:rPr>
        <w:t>（七）扩宽渠道，强化“造血”。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628F22D9">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5.</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年度，寻甸县融媒体中心新闻稿件数量上升，大多讲述老百姓身边的故事;寻甸县融媒体中心除新闻栏目外，对外采购了部分栏目、电视剧、电影、动画片等片源，内容丰富多彩：</w:t>
      </w:r>
    </w:p>
    <w:p w14:paraId="6D2B4672">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6.</w:t>
      </w:r>
      <w:r>
        <w:rPr>
          <w:rFonts w:hint="eastAsia" w:ascii="仿宋_GB2312" w:hAnsi="华文仿宋" w:eastAsia="仿宋_GB2312"/>
          <w:sz w:val="32"/>
          <w:szCs w:val="32"/>
        </w:rPr>
        <w:t xml:space="preserve"> </w:t>
      </w:r>
      <w:r>
        <w:rPr>
          <w:rFonts w:hint="eastAsia" w:ascii="仿宋_GB2312" w:hAnsi="华文仿宋" w:eastAsia="仿宋_GB2312"/>
          <w:szCs w:val="21"/>
        </w:rPr>
        <w:t>按照“新闻立台”和“政治家办台”的工作要求，坚定政治意识不动摇，宣传大政方针不走样，不断改进新闻服务保障水平，《寻甸新闻》不论在数量和质量上，都有明显提升</w:t>
      </w:r>
      <w:r>
        <w:rPr>
          <w:rFonts w:hint="eastAsia" w:ascii="仿宋_GB2312" w:hAnsi="华文仿宋" w:eastAsia="仿宋_GB2312"/>
          <w:szCs w:val="21"/>
          <w:lang w:eastAsia="zh-CN"/>
        </w:rPr>
        <w:t>。全年</w:t>
      </w:r>
      <w:r>
        <w:rPr>
          <w:rFonts w:hint="eastAsia" w:ascii="仿宋_GB2312" w:hAnsi="华文仿宋" w:eastAsia="仿宋_GB2312"/>
          <w:szCs w:val="21"/>
          <w:lang w:val="en-US" w:eastAsia="zh-CN"/>
        </w:rPr>
        <w:t>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w:t>
      </w:r>
      <w:r>
        <w:rPr>
          <w:rFonts w:hint="eastAsia" w:ascii="Times New Roman" w:hAnsi="Times New Roman" w:eastAsia="仿宋_GB2312" w:cs="Times New Roman"/>
          <w:color w:val="000000" w:themeColor="text1"/>
          <w:szCs w:val="32"/>
        </w:rPr>
        <w:t>寻甸县融媒体中心较圆满的完成了工作目标，取得了良好的社会效益。</w:t>
      </w:r>
    </w:p>
    <w:p w14:paraId="3A70B518">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（四）部门管理制度。</w:t>
      </w:r>
    </w:p>
    <w:p w14:paraId="1F4523A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在《中华人民共和国会计法》、《中华人民共和国预算法》、《</w:t>
      </w:r>
      <w:r>
        <w:rPr>
          <w:rFonts w:hint="eastAsia" w:ascii="Times New Roman" w:hAnsi="Times New Roman" w:eastAsia="仿宋_GB2312" w:cs="Times New Roman"/>
          <w:color w:val="000000" w:themeColor="text1"/>
          <w:szCs w:val="32"/>
        </w:rPr>
        <w:t>事业</w:t>
      </w:r>
      <w:r>
        <w:rPr>
          <w:rFonts w:ascii="Times New Roman" w:hAnsi="Times New Roman" w:eastAsia="仿宋_GB2312" w:cs="Times New Roman"/>
          <w:color w:val="000000" w:themeColor="text1"/>
          <w:szCs w:val="32"/>
        </w:rPr>
        <w:t>单位财务规则》、《</w:t>
      </w:r>
      <w:r>
        <w:rPr>
          <w:rFonts w:hint="eastAsia" w:ascii="Times New Roman" w:hAnsi="Times New Roman" w:eastAsia="仿宋_GB2312" w:cs="Times New Roman"/>
          <w:color w:val="000000" w:themeColor="text1"/>
          <w:szCs w:val="32"/>
        </w:rPr>
        <w:t>政府</w:t>
      </w:r>
      <w:r>
        <w:rPr>
          <w:rFonts w:ascii="Times New Roman" w:hAnsi="Times New Roman" w:eastAsia="仿宋_GB2312" w:cs="Times New Roman"/>
          <w:color w:val="000000" w:themeColor="text1"/>
          <w:szCs w:val="32"/>
        </w:rPr>
        <w:t>会计制度》的基础上，制定了《</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财务管理</w:t>
      </w:r>
      <w:r>
        <w:rPr>
          <w:rFonts w:hint="eastAsia" w:ascii="Times New Roman" w:hAnsi="Times New Roman" w:eastAsia="仿宋_GB2312" w:cs="Times New Roman"/>
          <w:color w:val="000000" w:themeColor="text1"/>
          <w:szCs w:val="32"/>
        </w:rPr>
        <w:t>办法</w:t>
      </w: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；寻甸县融媒体中心除遵守国家法律、法规、规章制度、政策文件外，还制定了《寻甸回族彝族自治县融媒体中心工作制度》、《寻回族彝族自治县融媒体中心职务责任》，管理制度合法、合规、</w:t>
      </w:r>
      <w:r>
        <w:rPr>
          <w:rFonts w:ascii="Times New Roman" w:hAnsi="Times New Roman" w:eastAsia="仿宋_GB2312" w:cs="Times New Roman"/>
          <w:color w:val="000000" w:themeColor="text1"/>
          <w:szCs w:val="32"/>
        </w:rPr>
        <w:t>基本健全。</w:t>
      </w:r>
    </w:p>
    <w:p w14:paraId="5DF9E1D3">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（五）部门资金来源及使用情况。</w:t>
      </w:r>
    </w:p>
    <w:p w14:paraId="7B818E0D">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（1）资金总体情况</w:t>
      </w:r>
    </w:p>
    <w:p w14:paraId="4170D997">
      <w:pPr>
        <w:widowControl/>
        <w:shd w:val="clear" w:color="auto" w:fill="FFFFFF"/>
        <w:spacing w:line="580" w:lineRule="exact"/>
        <w:ind w:firstLine="420" w:firstLineChars="200"/>
        <w:jc w:val="left"/>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年度公共预算资金</w:t>
      </w:r>
      <w:r>
        <w:rPr>
          <w:rFonts w:hint="eastAsia" w:ascii="Times New Roman" w:hAnsi="Times New Roman" w:eastAsia="仿宋_GB2312" w:cs="Times New Roman"/>
          <w:color w:val="000000" w:themeColor="text1"/>
          <w:kern w:val="0"/>
          <w:szCs w:val="21"/>
          <w:lang w:val="en-US" w:eastAsia="zh-CN"/>
        </w:rPr>
        <w:t>421.09万元</w:t>
      </w:r>
      <w:r>
        <w:rPr>
          <w:rFonts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基本支出</w:t>
      </w:r>
      <w:r>
        <w:rPr>
          <w:rFonts w:hint="eastAsia" w:ascii="Times New Roman" w:hAnsi="Times New Roman" w:eastAsia="仿宋_GB2312" w:cs="Times New Roman"/>
          <w:color w:val="000000" w:themeColor="text1"/>
          <w:kern w:val="0"/>
          <w:szCs w:val="21"/>
          <w:lang w:val="en-US" w:eastAsia="zh-CN"/>
        </w:rPr>
        <w:t>387.97</w:t>
      </w:r>
      <w:r>
        <w:rPr>
          <w:rFonts w:hint="eastAsia" w:ascii="Times New Roman" w:hAnsi="Times New Roman" w:eastAsia="仿宋_GB2312" w:cs="Times New Roman"/>
          <w:color w:val="000000" w:themeColor="text1"/>
          <w:kern w:val="0"/>
          <w:szCs w:val="21"/>
        </w:rPr>
        <w:t>万元（</w:t>
      </w:r>
      <w:r>
        <w:rPr>
          <w:rFonts w:ascii="Times New Roman" w:hAnsi="Times New Roman" w:eastAsia="仿宋_GB2312" w:cs="Times New Roman"/>
          <w:color w:val="000000" w:themeColor="text1"/>
          <w:kern w:val="0"/>
          <w:szCs w:val="21"/>
        </w:rPr>
        <w:t>其中人员经费</w:t>
      </w:r>
      <w:r>
        <w:rPr>
          <w:rFonts w:hint="eastAsia" w:ascii="Times New Roman" w:hAnsi="Times New Roman" w:eastAsia="仿宋_GB2312" w:cs="Times New Roman"/>
          <w:color w:val="000000" w:themeColor="text1"/>
          <w:kern w:val="0"/>
          <w:szCs w:val="21"/>
          <w:lang w:val="en-US" w:eastAsia="zh-CN"/>
        </w:rPr>
        <w:t>377.64</w:t>
      </w:r>
      <w:r>
        <w:rPr>
          <w:rFonts w:ascii="Times New Roman" w:hAnsi="Times New Roman" w:eastAsia="仿宋_GB2312" w:cs="Times New Roman"/>
          <w:color w:val="000000" w:themeColor="text1"/>
          <w:kern w:val="0"/>
          <w:szCs w:val="21"/>
        </w:rPr>
        <w:t>万元，公用经费</w:t>
      </w:r>
      <w:r>
        <w:rPr>
          <w:rFonts w:hint="eastAsia" w:ascii="Times New Roman" w:hAnsi="Times New Roman" w:eastAsia="仿宋_GB2312" w:cs="Times New Roman"/>
          <w:color w:val="000000" w:themeColor="text1"/>
          <w:kern w:val="0"/>
          <w:szCs w:val="21"/>
          <w:lang w:val="en-US" w:eastAsia="zh-CN"/>
        </w:rPr>
        <w:t>10.33</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，项目支出</w:t>
      </w:r>
      <w:r>
        <w:rPr>
          <w:rFonts w:hint="eastAsia" w:ascii="Times New Roman" w:hAnsi="Times New Roman" w:eastAsia="仿宋_GB2312" w:cs="Times New Roman"/>
          <w:color w:val="000000" w:themeColor="text1"/>
          <w:kern w:val="0"/>
          <w:szCs w:val="21"/>
          <w:lang w:val="en-US" w:eastAsia="zh-CN"/>
        </w:rPr>
        <w:t>33.12万元</w:t>
      </w:r>
      <w:r>
        <w:rPr>
          <w:rFonts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基本支出</w:t>
      </w:r>
      <w:r>
        <w:rPr>
          <w:rFonts w:hint="eastAsia" w:ascii="Times New Roman" w:hAnsi="Times New Roman" w:eastAsia="仿宋_GB2312" w:cs="Times New Roman"/>
          <w:color w:val="000000" w:themeColor="text1"/>
          <w:kern w:val="0"/>
          <w:szCs w:val="21"/>
        </w:rPr>
        <w:t>中:工资福利支出</w:t>
      </w:r>
      <w:r>
        <w:rPr>
          <w:rFonts w:hint="eastAsia" w:ascii="Times New Roman" w:hAnsi="Times New Roman" w:eastAsia="仿宋_GB2312" w:cs="Times New Roman"/>
          <w:color w:val="000000" w:themeColor="text1"/>
          <w:kern w:val="0"/>
          <w:szCs w:val="21"/>
          <w:lang w:val="en-US" w:eastAsia="zh-CN"/>
        </w:rPr>
        <w:t>298.14</w:t>
      </w:r>
      <w:r>
        <w:rPr>
          <w:rFonts w:hint="eastAsia" w:ascii="Times New Roman" w:hAnsi="Times New Roman" w:eastAsia="仿宋_GB2312" w:cs="Times New Roman"/>
          <w:color w:val="000000" w:themeColor="text1"/>
          <w:kern w:val="0"/>
          <w:szCs w:val="21"/>
        </w:rPr>
        <w:t>万元，商品和服务支出</w:t>
      </w:r>
      <w:r>
        <w:rPr>
          <w:rFonts w:hint="eastAsia" w:ascii="Times New Roman" w:hAnsi="Times New Roman" w:eastAsia="仿宋_GB2312" w:cs="Times New Roman"/>
          <w:color w:val="000000" w:themeColor="text1"/>
          <w:kern w:val="0"/>
          <w:szCs w:val="21"/>
          <w:lang w:val="en-US" w:eastAsia="zh-CN"/>
        </w:rPr>
        <w:t>10.63万</w:t>
      </w:r>
      <w:r>
        <w:rPr>
          <w:rFonts w:hint="eastAsia" w:ascii="Times New Roman" w:hAnsi="Times New Roman" w:eastAsia="仿宋_GB2312" w:cs="Times New Roman"/>
          <w:color w:val="000000" w:themeColor="text1"/>
          <w:kern w:val="0"/>
          <w:szCs w:val="21"/>
        </w:rPr>
        <w:t>元</w:t>
      </w:r>
      <w:r>
        <w:rPr>
          <w:rFonts w:hint="eastAsia" w:ascii="Times New Roman" w:hAnsi="Times New Roman" w:eastAsia="仿宋_GB2312" w:cs="Times New Roman"/>
          <w:color w:val="000000" w:themeColor="text1"/>
          <w:kern w:val="0"/>
          <w:szCs w:val="21"/>
          <w:lang w:eastAsia="zh-CN"/>
        </w:rPr>
        <w:t>，社会福利和救助</w:t>
      </w:r>
      <w:r>
        <w:rPr>
          <w:rFonts w:hint="eastAsia" w:ascii="Times New Roman" w:hAnsi="Times New Roman" w:eastAsia="仿宋_GB2312" w:cs="Times New Roman"/>
          <w:color w:val="000000" w:themeColor="text1"/>
          <w:kern w:val="0"/>
          <w:szCs w:val="21"/>
          <w:lang w:val="en-US" w:eastAsia="zh-CN"/>
        </w:rPr>
        <w:t>79.2万元</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年度预算资金</w:t>
      </w:r>
      <w:r>
        <w:rPr>
          <w:rFonts w:hint="eastAsia" w:ascii="Times New Roman" w:hAnsi="Times New Roman" w:eastAsia="仿宋_GB2312" w:cs="Times New Roman"/>
          <w:color w:val="000000" w:themeColor="text1"/>
          <w:kern w:val="0"/>
          <w:szCs w:val="21"/>
          <w:lang w:eastAsia="zh-CN"/>
        </w:rPr>
        <w:t>，其中：文化旅游体育与传媒支出</w:t>
      </w:r>
      <w:r>
        <w:rPr>
          <w:rFonts w:hint="eastAsia" w:ascii="Times New Roman" w:hAnsi="Times New Roman" w:eastAsia="仿宋_GB2312" w:cs="Times New Roman"/>
          <w:color w:val="000000" w:themeColor="text1"/>
          <w:kern w:val="0"/>
          <w:szCs w:val="21"/>
          <w:lang w:val="en-US" w:eastAsia="zh-CN"/>
        </w:rPr>
        <w:t>327.23万元，</w:t>
      </w:r>
      <w:r>
        <w:rPr>
          <w:rFonts w:hint="eastAsia" w:ascii="Times New Roman" w:hAnsi="Times New Roman" w:eastAsia="仿宋_GB2312" w:cs="Times New Roman"/>
          <w:color w:val="000000" w:themeColor="text1"/>
          <w:kern w:val="0"/>
          <w:szCs w:val="21"/>
          <w:lang w:eastAsia="zh-CN"/>
        </w:rPr>
        <w:t>社会保障和就业</w:t>
      </w:r>
      <w:r>
        <w:rPr>
          <w:rFonts w:hint="eastAsia" w:ascii="Times New Roman" w:hAnsi="Times New Roman" w:eastAsia="仿宋_GB2312" w:cs="Times New Roman"/>
          <w:color w:val="000000" w:themeColor="text1"/>
          <w:kern w:val="0"/>
          <w:szCs w:val="21"/>
        </w:rPr>
        <w:t>支出</w:t>
      </w:r>
      <w:r>
        <w:rPr>
          <w:rFonts w:hint="eastAsia" w:ascii="Times New Roman" w:hAnsi="Times New Roman" w:eastAsia="仿宋_GB2312" w:cs="Times New Roman"/>
          <w:color w:val="000000" w:themeColor="text1"/>
          <w:kern w:val="0"/>
          <w:szCs w:val="21"/>
          <w:lang w:val="en-US" w:eastAsia="zh-CN"/>
        </w:rPr>
        <w:t>40.62</w:t>
      </w:r>
      <w:r>
        <w:rPr>
          <w:rFonts w:hint="eastAsia" w:ascii="Times New Roman" w:hAnsi="Times New Roman" w:eastAsia="仿宋_GB2312" w:cs="Times New Roman"/>
          <w:color w:val="000000" w:themeColor="text1"/>
          <w:kern w:val="0"/>
          <w:szCs w:val="21"/>
        </w:rPr>
        <w:t>万元，住房</w:t>
      </w:r>
      <w:r>
        <w:rPr>
          <w:rFonts w:hint="eastAsia" w:ascii="Times New Roman" w:hAnsi="Times New Roman" w:eastAsia="仿宋_GB2312" w:cs="Times New Roman"/>
          <w:color w:val="000000" w:themeColor="text1"/>
          <w:kern w:val="0"/>
          <w:szCs w:val="21"/>
          <w:lang w:eastAsia="zh-CN"/>
        </w:rPr>
        <w:t>保障</w:t>
      </w:r>
      <w:r>
        <w:rPr>
          <w:rFonts w:hint="eastAsia" w:ascii="Times New Roman" w:hAnsi="Times New Roman" w:eastAsia="仿宋_GB2312" w:cs="Times New Roman"/>
          <w:color w:val="000000" w:themeColor="text1"/>
          <w:kern w:val="0"/>
          <w:szCs w:val="21"/>
        </w:rPr>
        <w:t>支出</w:t>
      </w:r>
      <w:r>
        <w:rPr>
          <w:rFonts w:hint="eastAsia" w:ascii="Times New Roman" w:hAnsi="Times New Roman" w:eastAsia="仿宋_GB2312" w:cs="Times New Roman"/>
          <w:color w:val="000000" w:themeColor="text1"/>
          <w:kern w:val="0"/>
          <w:szCs w:val="21"/>
          <w:lang w:val="en-US" w:eastAsia="zh-CN"/>
        </w:rPr>
        <w:t>24.35</w:t>
      </w:r>
      <w:r>
        <w:rPr>
          <w:rFonts w:hint="eastAsia"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lang w:eastAsia="zh-CN"/>
        </w:rPr>
        <w:t>，卫生健康支出</w:t>
      </w:r>
      <w:r>
        <w:rPr>
          <w:rFonts w:hint="eastAsia" w:ascii="Times New Roman" w:hAnsi="Times New Roman" w:eastAsia="仿宋_GB2312" w:cs="Times New Roman"/>
          <w:color w:val="000000" w:themeColor="text1"/>
          <w:kern w:val="0"/>
          <w:szCs w:val="21"/>
          <w:lang w:val="en-US" w:eastAsia="zh-CN"/>
        </w:rPr>
        <w:t>28.89</w:t>
      </w:r>
      <w:r>
        <w:rPr>
          <w:rFonts w:hint="eastAsia" w:ascii="Times New Roman" w:hAnsi="Times New Roman" w:eastAsia="仿宋_GB2312" w:cs="Times New Roman"/>
          <w:color w:val="000000" w:themeColor="text1"/>
          <w:kern w:val="0"/>
          <w:szCs w:val="21"/>
        </w:rPr>
        <w:t>。</w:t>
      </w:r>
    </w:p>
    <w:p w14:paraId="6F57CD13">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年实际总收入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kern w:val="0"/>
          <w:szCs w:val="21"/>
        </w:rPr>
        <w:t>万元（其中财政拨款收入</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kern w:val="0"/>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kern w:val="0"/>
          <w:szCs w:val="21"/>
        </w:rPr>
        <w:t>万元），总支出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kern w:val="0"/>
          <w:szCs w:val="21"/>
        </w:rPr>
        <w:t>万元。</w:t>
      </w:r>
    </w:p>
    <w:p w14:paraId="5B7ECC4E">
      <w:pPr>
        <w:pStyle w:val="3"/>
        <w:spacing w:line="580" w:lineRule="exact"/>
        <w:ind w:firstLine="420" w:firstLineChars="200"/>
        <w:rPr>
          <w:rFonts w:ascii="Times New Roman" w:hAnsi="Times New Roman" w:eastAsia="仿宋_GB2312" w:cs="Times New Roman"/>
        </w:rPr>
      </w:pPr>
      <w:r>
        <w:rPr>
          <w:rFonts w:ascii="Times New Roman" w:hAnsi="Times New Roman" w:eastAsia="仿宋_GB2312" w:cs="Times New Roman"/>
        </w:rPr>
        <w:t>（2）资金收支具体情况</w:t>
      </w:r>
    </w:p>
    <w:p w14:paraId="6D1965EF">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1.收入情况：</w:t>
      </w:r>
    </w:p>
    <w:p w14:paraId="2BC88076">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szCs w:val="21"/>
        </w:rPr>
        <w:t>万元。其中：县财政拨款</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szCs w:val="21"/>
        </w:rPr>
        <w:t>万元。</w:t>
      </w:r>
    </w:p>
    <w:p w14:paraId="402E7CD9">
      <w:pPr>
        <w:spacing w:line="580" w:lineRule="exact"/>
        <w:ind w:firstLine="420" w:firstLineChars="200"/>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2.支出情况：</w:t>
      </w:r>
    </w:p>
    <w:p w14:paraId="575CC065">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szCs w:val="21"/>
        </w:rPr>
        <w:t>万元。其中：</w:t>
      </w:r>
      <w:r>
        <w:rPr>
          <w:rFonts w:hint="eastAsia" w:ascii="Times New Roman" w:hAnsi="Times New Roman" w:eastAsia="仿宋_GB2312" w:cs="Times New Roman"/>
          <w:color w:val="000000" w:themeColor="text1"/>
          <w:szCs w:val="21"/>
        </w:rPr>
        <w:t>工资福利</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324.13</w:t>
      </w:r>
      <w:r>
        <w:rPr>
          <w:rFonts w:hint="eastAsia" w:ascii="Times New Roman" w:hAnsi="Times New Roman" w:eastAsia="仿宋_GB2312" w:cs="Times New Roman"/>
          <w:color w:val="000000" w:themeColor="text1"/>
          <w:szCs w:val="21"/>
        </w:rPr>
        <w:t>万</w:t>
      </w:r>
      <w:r>
        <w:rPr>
          <w:rFonts w:ascii="Times New Roman" w:hAnsi="Times New Roman" w:eastAsia="仿宋_GB2312" w:cs="Times New Roman"/>
          <w:color w:val="000000" w:themeColor="text1"/>
          <w:szCs w:val="21"/>
        </w:rPr>
        <w:t>元；</w:t>
      </w:r>
      <w:r>
        <w:rPr>
          <w:rFonts w:hint="eastAsia" w:ascii="Times New Roman" w:hAnsi="Times New Roman" w:eastAsia="仿宋_GB2312" w:cs="Times New Roman"/>
          <w:color w:val="000000" w:themeColor="text1"/>
          <w:szCs w:val="21"/>
        </w:rPr>
        <w:t>商品和服务</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52.09万元；对个人和家庭的补助78.95万元；资本性支出79.91万元。</w:t>
      </w:r>
    </w:p>
    <w:p w14:paraId="5F323EED">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（3）预算资金管理情况</w:t>
      </w:r>
    </w:p>
    <w:p w14:paraId="6F2E58A5">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1.预算管理状况</w:t>
      </w:r>
    </w:p>
    <w:p w14:paraId="1B619DAE">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严格按照年初预算执行，预算管理基本到位</w:t>
      </w:r>
      <w:r>
        <w:rPr>
          <w:rFonts w:hint="eastAsia" w:ascii="Times New Roman" w:hAnsi="Times New Roman" w:eastAsia="仿宋_GB2312" w:cs="Times New Roman"/>
          <w:color w:val="000000" w:themeColor="text1"/>
          <w:kern w:val="0"/>
          <w:szCs w:val="21"/>
        </w:rPr>
        <w:t>，</w:t>
      </w:r>
      <w:r>
        <w:rPr>
          <w:rFonts w:ascii="Times New Roman" w:hAnsi="Times New Roman" w:eastAsia="仿宋_GB2312" w:cs="Times New Roman"/>
          <w:color w:val="000000" w:themeColor="text1"/>
          <w:kern w:val="0"/>
          <w:szCs w:val="21"/>
        </w:rPr>
        <w:t>预算完成率较高。</w:t>
      </w:r>
      <w:r>
        <w:rPr>
          <w:rFonts w:hint="eastAsia" w:ascii="Times New Roman" w:hAnsi="Times New Roman" w:eastAsia="仿宋_GB2312" w:cs="Times New Roman"/>
          <w:color w:val="000000" w:themeColor="text1"/>
          <w:kern w:val="0"/>
          <w:szCs w:val="21"/>
        </w:rPr>
        <w:t>202</w:t>
      </w:r>
      <w:r>
        <w:rPr>
          <w:rFonts w:hint="eastAsia" w:ascii="Times New Roman" w:hAnsi="Times New Roman" w:eastAsia="仿宋_GB2312" w:cs="Times New Roman"/>
          <w:color w:val="000000" w:themeColor="text1"/>
          <w:kern w:val="0"/>
          <w:szCs w:val="21"/>
          <w:lang w:val="en-US" w:eastAsia="zh-CN"/>
        </w:rPr>
        <w:t>3</w:t>
      </w:r>
      <w:r>
        <w:rPr>
          <w:rFonts w:ascii="Times New Roman" w:hAnsi="Times New Roman" w:eastAsia="仿宋_GB2312" w:cs="Times New Roman"/>
          <w:color w:val="000000" w:themeColor="text1"/>
          <w:kern w:val="0"/>
          <w:szCs w:val="21"/>
        </w:rPr>
        <w:t>年三公经费实际支出</w:t>
      </w:r>
      <w:r>
        <w:rPr>
          <w:rFonts w:hint="eastAsia" w:ascii="Times New Roman" w:hAnsi="Times New Roman" w:eastAsia="仿宋_GB2312" w:cs="Times New Roman"/>
          <w:color w:val="000000" w:themeColor="text1"/>
          <w:kern w:val="0"/>
          <w:szCs w:val="21"/>
          <w:lang w:val="en-US" w:eastAsia="zh-CN"/>
        </w:rPr>
        <w:t>2.62</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年三公经费实际支出</w:t>
      </w:r>
      <w:r>
        <w:rPr>
          <w:rFonts w:hint="eastAsia" w:ascii="Times New Roman" w:hAnsi="Times New Roman" w:eastAsia="仿宋_GB2312" w:cs="Times New Roman"/>
          <w:color w:val="000000" w:themeColor="text1"/>
          <w:kern w:val="0"/>
          <w:szCs w:val="21"/>
          <w:lang w:val="en-US" w:eastAsia="zh-CN"/>
        </w:rPr>
        <w:t>2.40</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rPr>
        <w:t>，</w:t>
      </w:r>
      <w:r>
        <w:rPr>
          <w:rFonts w:ascii="Times New Roman" w:hAnsi="Times New Roman" w:eastAsia="仿宋_GB2312" w:cs="Times New Roman"/>
          <w:color w:val="000000" w:themeColor="text1"/>
          <w:kern w:val="0"/>
          <w:szCs w:val="21"/>
        </w:rPr>
        <w:t>三公经费使用</w:t>
      </w:r>
      <w:r>
        <w:rPr>
          <w:rFonts w:hint="eastAsia" w:ascii="Times New Roman" w:hAnsi="Times New Roman" w:eastAsia="仿宋_GB2312" w:cs="Times New Roman"/>
          <w:color w:val="000000" w:themeColor="text1"/>
          <w:kern w:val="0"/>
          <w:szCs w:val="21"/>
          <w:lang w:eastAsia="zh-CN"/>
        </w:rPr>
        <w:t>下降</w:t>
      </w:r>
      <w:r>
        <w:rPr>
          <w:rFonts w:ascii="Times New Roman" w:hAnsi="Times New Roman" w:eastAsia="仿宋_GB2312" w:cs="Times New Roman"/>
          <w:color w:val="000000" w:themeColor="text1"/>
          <w:kern w:val="0"/>
          <w:szCs w:val="21"/>
        </w:rPr>
        <w:t>了</w:t>
      </w:r>
      <w:r>
        <w:rPr>
          <w:rFonts w:hint="eastAsia" w:ascii="Times New Roman" w:hAnsi="Times New Roman" w:eastAsia="仿宋_GB2312" w:cs="Times New Roman"/>
          <w:color w:val="000000" w:themeColor="text1"/>
          <w:kern w:val="0"/>
          <w:szCs w:val="21"/>
          <w:lang w:val="en-US" w:eastAsia="zh-CN"/>
        </w:rPr>
        <w:t>0.22万元，原因是2024年减少了公务用车维修费</w:t>
      </w:r>
      <w:r>
        <w:rPr>
          <w:rFonts w:ascii="Times New Roman" w:hAnsi="Times New Roman" w:eastAsia="仿宋_GB2312" w:cs="Times New Roman"/>
          <w:color w:val="000000" w:themeColor="text1"/>
          <w:kern w:val="0"/>
          <w:szCs w:val="21"/>
        </w:rPr>
        <w:t>。</w:t>
      </w:r>
    </w:p>
    <w:p w14:paraId="71AE5E1E">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szCs w:val="21"/>
        </w:rPr>
        <w:t>2.制度建设及执行状况：</w:t>
      </w:r>
    </w:p>
    <w:p w14:paraId="44C1B7C3">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对公务外出差旅费、公务接待费提出了具体标准和要求，对会议费等公用费用进一步规范审批流程，不断规范费用管理。</w:t>
      </w:r>
    </w:p>
    <w:p w14:paraId="1A1E3D13">
      <w:pPr>
        <w:widowControl/>
        <w:shd w:val="clear" w:color="auto" w:fill="FFFFFF"/>
        <w:spacing w:line="52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日常公用经费管理能严格执行相关制度，费用报销按照报账流程审核审批，由分管领导、归口管理处室、财务人员按费用性质、类别最后把关审批。</w:t>
      </w:r>
    </w:p>
    <w:p w14:paraId="6DD7A702">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（六）政府采购情况。</w:t>
      </w:r>
    </w:p>
    <w:p w14:paraId="30182517">
      <w:pPr>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编制年初采购预算</w:t>
      </w:r>
      <w:r>
        <w:rPr>
          <w:rFonts w:hint="eastAsia" w:ascii="Times New Roman" w:hAnsi="Times New Roman" w:eastAsia="仿宋_GB2312" w:cs="Times New Roman"/>
          <w:color w:val="000000" w:themeColor="text1"/>
          <w:szCs w:val="32"/>
          <w:lang w:val="en-US" w:eastAsia="zh-CN"/>
        </w:rPr>
        <w:t>0</w:t>
      </w:r>
      <w:r>
        <w:rPr>
          <w:rFonts w:ascii="Times New Roman" w:hAnsi="Times New Roman" w:eastAsia="仿宋_GB2312" w:cs="Times New Roman"/>
          <w:color w:val="000000" w:themeColor="text1"/>
          <w:szCs w:val="32"/>
        </w:rPr>
        <w:t>万元，寻甸回族彝族自治县</w:t>
      </w:r>
      <w:r>
        <w:rPr>
          <w:rFonts w:hint="eastAsia" w:ascii="Times New Roman" w:hAnsi="Times New Roman" w:eastAsia="仿宋_GB2312" w:cs="Times New Roman"/>
          <w:color w:val="000000" w:themeColor="text1"/>
          <w:szCs w:val="32"/>
        </w:rPr>
        <w:t>融媒体中心</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年政府采购</w:t>
      </w:r>
      <w:r>
        <w:rPr>
          <w:rFonts w:hint="eastAsia" w:ascii="Times New Roman" w:hAnsi="Times New Roman" w:eastAsia="仿宋_GB2312" w:cs="Times New Roman"/>
          <w:color w:val="000000" w:themeColor="text1"/>
          <w:szCs w:val="32"/>
          <w:lang w:val="en-US" w:eastAsia="zh-CN"/>
        </w:rPr>
        <w:t>1.396</w:t>
      </w:r>
      <w:r>
        <w:rPr>
          <w:rFonts w:hint="eastAsia" w:ascii="Times New Roman" w:hAnsi="Times New Roman" w:eastAsia="仿宋_GB2312" w:cs="Times New Roman"/>
          <w:color w:val="000000" w:themeColor="text1"/>
          <w:szCs w:val="32"/>
        </w:rPr>
        <w:t>万元。</w:t>
      </w:r>
    </w:p>
    <w:p w14:paraId="13C9CF08">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（七）固定资产情况。</w:t>
      </w:r>
    </w:p>
    <w:p w14:paraId="23DC0AB7">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截至</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年12月31日，寻甸回族彝族自治县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总资产年末数为</w:t>
      </w:r>
      <w:r>
        <w:rPr>
          <w:rFonts w:hint="eastAsia" w:ascii="Times New Roman" w:hAnsi="Times New Roman" w:eastAsia="仿宋_GB2312" w:cs="Times New Roman"/>
          <w:color w:val="000000" w:themeColor="text1"/>
          <w:szCs w:val="32"/>
          <w:lang w:val="en-US" w:eastAsia="zh-CN"/>
        </w:rPr>
        <w:t>1853.22</w:t>
      </w:r>
      <w:r>
        <w:rPr>
          <w:rFonts w:ascii="Times New Roman" w:hAnsi="Times New Roman" w:eastAsia="仿宋_GB2312" w:cs="Times New Roman"/>
          <w:color w:val="000000" w:themeColor="text1"/>
          <w:szCs w:val="32"/>
        </w:rPr>
        <w:t>万元，流动资产年末数为</w:t>
      </w:r>
      <w:r>
        <w:rPr>
          <w:rFonts w:hint="eastAsia" w:ascii="Times New Roman" w:hAnsi="Times New Roman" w:eastAsia="仿宋_GB2312" w:cs="Times New Roman"/>
          <w:color w:val="000000" w:themeColor="text1"/>
          <w:szCs w:val="32"/>
          <w:lang w:val="en-US" w:eastAsia="zh-CN"/>
        </w:rPr>
        <w:t>44.83</w:t>
      </w:r>
      <w:r>
        <w:rPr>
          <w:rFonts w:ascii="Times New Roman" w:hAnsi="Times New Roman" w:eastAsia="仿宋_GB2312" w:cs="Times New Roman"/>
          <w:color w:val="000000" w:themeColor="text1"/>
          <w:szCs w:val="32"/>
        </w:rPr>
        <w:t>万元，其中库存现金年末数为</w:t>
      </w:r>
      <w:r>
        <w:rPr>
          <w:rFonts w:hint="eastAsia" w:ascii="Times New Roman" w:hAnsi="Times New Roman" w:eastAsia="仿宋_GB2312" w:cs="Times New Roman"/>
          <w:color w:val="000000" w:themeColor="text1"/>
          <w:szCs w:val="32"/>
        </w:rPr>
        <w:t>0</w:t>
      </w:r>
      <w:r>
        <w:rPr>
          <w:rFonts w:ascii="Times New Roman" w:hAnsi="Times New Roman" w:eastAsia="仿宋_GB2312" w:cs="Times New Roman"/>
          <w:color w:val="000000" w:themeColor="text1"/>
          <w:szCs w:val="32"/>
        </w:rPr>
        <w:t>万元，银行存款年末数为</w:t>
      </w:r>
      <w:r>
        <w:rPr>
          <w:rFonts w:hint="eastAsia" w:ascii="Times New Roman" w:hAnsi="Times New Roman" w:eastAsia="仿宋_GB2312" w:cs="Times New Roman"/>
          <w:color w:val="000000" w:themeColor="text1"/>
          <w:szCs w:val="32"/>
          <w:lang w:val="en-US" w:eastAsia="zh-CN"/>
        </w:rPr>
        <w:t>44.78</w:t>
      </w:r>
      <w:r>
        <w:rPr>
          <w:rFonts w:ascii="Times New Roman" w:hAnsi="Times New Roman" w:eastAsia="仿宋_GB2312" w:cs="Times New Roman"/>
          <w:color w:val="000000" w:themeColor="text1"/>
          <w:szCs w:val="32"/>
        </w:rPr>
        <w:t>万元，其他应</w:t>
      </w:r>
      <w:r>
        <w:rPr>
          <w:rFonts w:hint="eastAsia" w:ascii="Times New Roman" w:hAnsi="Times New Roman" w:eastAsia="仿宋_GB2312" w:cs="Times New Roman"/>
          <w:color w:val="000000" w:themeColor="text1"/>
          <w:szCs w:val="32"/>
          <w:lang w:eastAsia="zh-CN"/>
        </w:rPr>
        <w:t>交税费</w:t>
      </w:r>
      <w:r>
        <w:rPr>
          <w:rFonts w:ascii="Times New Roman" w:hAnsi="Times New Roman" w:eastAsia="仿宋_GB2312" w:cs="Times New Roman"/>
          <w:color w:val="000000" w:themeColor="text1"/>
          <w:szCs w:val="32"/>
        </w:rPr>
        <w:t>年末数为</w:t>
      </w:r>
      <w:r>
        <w:rPr>
          <w:rFonts w:hint="eastAsia" w:ascii="Times New Roman" w:hAnsi="Times New Roman" w:eastAsia="仿宋_GB2312" w:cs="Times New Roman"/>
          <w:color w:val="000000" w:themeColor="text1"/>
          <w:szCs w:val="32"/>
          <w:lang w:val="en-US" w:eastAsia="zh-CN"/>
        </w:rPr>
        <w:t>2.82</w:t>
      </w:r>
      <w:r>
        <w:rPr>
          <w:rFonts w:ascii="Times New Roman" w:hAnsi="Times New Roman" w:eastAsia="仿宋_GB2312" w:cs="Times New Roman"/>
          <w:color w:val="000000" w:themeColor="text1"/>
          <w:szCs w:val="32"/>
        </w:rPr>
        <w:t>万元，</w:t>
      </w:r>
      <w:r>
        <w:rPr>
          <w:rFonts w:hint="eastAsia" w:ascii="Times New Roman" w:hAnsi="Times New Roman" w:eastAsia="仿宋_GB2312" w:cs="Times New Roman"/>
          <w:color w:val="000000" w:themeColor="text1"/>
          <w:szCs w:val="32"/>
          <w:lang w:eastAsia="zh-CN"/>
        </w:rPr>
        <w:t>应交财政款</w:t>
      </w:r>
      <w:r>
        <w:rPr>
          <w:rFonts w:hint="eastAsia" w:ascii="Times New Roman" w:hAnsi="Times New Roman" w:eastAsia="仿宋_GB2312" w:cs="Times New Roman"/>
          <w:color w:val="000000" w:themeColor="text1"/>
          <w:szCs w:val="32"/>
          <w:lang w:val="en-US" w:eastAsia="zh-CN"/>
        </w:rPr>
        <w:t>41.53万元，</w:t>
      </w:r>
      <w:r>
        <w:rPr>
          <w:rFonts w:ascii="Times New Roman" w:hAnsi="Times New Roman" w:eastAsia="仿宋_GB2312" w:cs="Times New Roman"/>
          <w:color w:val="000000" w:themeColor="text1"/>
          <w:szCs w:val="32"/>
        </w:rPr>
        <w:t>固定资产</w:t>
      </w:r>
      <w:r>
        <w:rPr>
          <w:rFonts w:hint="eastAsia" w:ascii="Times New Roman" w:hAnsi="Times New Roman" w:eastAsia="仿宋_GB2312" w:cs="Times New Roman"/>
          <w:color w:val="000000" w:themeColor="text1"/>
          <w:szCs w:val="32"/>
        </w:rPr>
        <w:t>净值</w:t>
      </w:r>
      <w:r>
        <w:rPr>
          <w:rFonts w:ascii="Times New Roman" w:hAnsi="Times New Roman" w:eastAsia="仿宋_GB2312" w:cs="Times New Roman"/>
          <w:color w:val="000000" w:themeColor="text1"/>
          <w:szCs w:val="32"/>
        </w:rPr>
        <w:t>年末数为</w:t>
      </w:r>
      <w:r>
        <w:rPr>
          <w:rFonts w:hint="eastAsia" w:ascii="Times New Roman" w:hAnsi="Times New Roman" w:eastAsia="仿宋_GB2312" w:cs="Times New Roman"/>
          <w:color w:val="000000" w:themeColor="text1"/>
          <w:szCs w:val="32"/>
          <w:lang w:val="en-US" w:eastAsia="zh-CN"/>
        </w:rPr>
        <w:t>1787.51</w:t>
      </w:r>
      <w:r>
        <w:rPr>
          <w:rFonts w:ascii="Times New Roman" w:hAnsi="Times New Roman" w:eastAsia="仿宋_GB2312" w:cs="Times New Roman"/>
          <w:color w:val="000000" w:themeColor="text1"/>
          <w:szCs w:val="32"/>
        </w:rPr>
        <w:t>万元，负债年末数为</w:t>
      </w:r>
      <w:r>
        <w:rPr>
          <w:rFonts w:hint="eastAsia" w:ascii="Times New Roman" w:hAnsi="Times New Roman" w:eastAsia="仿宋_GB2312" w:cs="Times New Roman"/>
          <w:color w:val="000000" w:themeColor="text1"/>
          <w:szCs w:val="32"/>
          <w:lang w:val="en-US" w:eastAsia="zh-CN"/>
        </w:rPr>
        <w:t>996.16</w:t>
      </w:r>
      <w:r>
        <w:rPr>
          <w:rFonts w:ascii="Times New Roman" w:hAnsi="Times New Roman" w:eastAsia="仿宋_GB2312" w:cs="Times New Roman"/>
          <w:color w:val="000000" w:themeColor="text1"/>
          <w:szCs w:val="32"/>
        </w:rPr>
        <w:t>万元。资产分为流动资产和固定资产，具体包括：库存现金、银行存款、其他应收款和固定资产。固定资产、办公家具和用品严格按照《</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财务管理</w:t>
      </w:r>
      <w:r>
        <w:rPr>
          <w:rFonts w:hint="eastAsia" w:ascii="Times New Roman" w:hAnsi="Times New Roman" w:eastAsia="仿宋_GB2312" w:cs="Times New Roman"/>
          <w:color w:val="000000" w:themeColor="text1"/>
          <w:szCs w:val="32"/>
        </w:rPr>
        <w:t>办法</w:t>
      </w: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《寻甸回族彝族自治县融媒体中心工作制度》、《寻回族彝族自治县融媒体中心职务责任》</w:t>
      </w:r>
      <w:r>
        <w:rPr>
          <w:rFonts w:ascii="Times New Roman" w:hAnsi="Times New Roman" w:eastAsia="仿宋_GB2312" w:cs="Times New Roman"/>
          <w:color w:val="000000" w:themeColor="text1"/>
          <w:szCs w:val="32"/>
        </w:rPr>
        <w:t>进行配置和处置。严格按照财务管理的相关要求，建立了固定资产和办公用品使用、审批、稽核等内部管理规范。</w:t>
      </w:r>
    </w:p>
    <w:p w14:paraId="11F03DFC">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二、绩效目标</w:t>
      </w:r>
    </w:p>
    <w:p w14:paraId="50018CD6">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（一）部门总目标。</w:t>
      </w:r>
    </w:p>
    <w:p w14:paraId="32EE0E88">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在县委县政府的领导下，大力推进法制建设、</w:t>
      </w:r>
      <w:r>
        <w:rPr>
          <w:rFonts w:hint="eastAsia" w:ascii="Times New Roman" w:hAnsi="Times New Roman" w:eastAsia="仿宋_GB2312" w:cs="Times New Roman"/>
          <w:color w:val="000000" w:themeColor="text1"/>
          <w:szCs w:val="32"/>
        </w:rPr>
        <w:t>新闻记者</w:t>
      </w:r>
      <w:r>
        <w:rPr>
          <w:rFonts w:ascii="Times New Roman" w:hAnsi="Times New Roman" w:eastAsia="仿宋_GB2312" w:cs="Times New Roman"/>
          <w:color w:val="000000" w:themeColor="text1"/>
          <w:szCs w:val="32"/>
        </w:rPr>
        <w:t>队伍建设、基础设施建设，不断强化社会服务意识，提高服务水平，</w:t>
      </w:r>
      <w:r>
        <w:rPr>
          <w:rFonts w:hint="eastAsia" w:ascii="Times New Roman" w:hAnsi="Times New Roman" w:eastAsia="仿宋_GB2312" w:cs="Times New Roman"/>
          <w:color w:val="000000" w:themeColor="text1"/>
          <w:szCs w:val="32"/>
        </w:rPr>
        <w:t>做好广播电视节目的采集、编辑、制作和播出;做好县级新媒体信息的采集、编辑、制作和传播;做好公益广告的策划、制作及播出;做好全县通联工作，及时向上级新闻媒体提供全县有报道价值的新闻线索，抓好通讯员队伍、网点建设，做好新闻工作者的思想政治工作;做好组织参加各类媒体协会的新闻评奖、评优活动。</w:t>
      </w:r>
      <w:r>
        <w:rPr>
          <w:rFonts w:ascii="Times New Roman" w:hAnsi="Times New Roman" w:eastAsia="仿宋_GB2312" w:cs="Times New Roman"/>
          <w:color w:val="000000" w:themeColor="text1"/>
          <w:szCs w:val="32"/>
        </w:rPr>
        <w:t>围绕目标责任书下达的目标责任开展工作，确保目标责任全面完成。</w:t>
      </w:r>
    </w:p>
    <w:p w14:paraId="3C80F76D">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（二）部门项目具体计划目标。</w:t>
      </w:r>
    </w:p>
    <w:p w14:paraId="0C7332A8">
      <w:pPr>
        <w:shd w:val="clear" w:color="auto" w:fill="FFFFFF"/>
        <w:spacing w:before="100" w:beforeAutospacing="1" w:after="100" w:afterAutospacing="1" w:line="320" w:lineRule="atLeast"/>
        <w:ind w:left="-69" w:right="-65" w:firstLine="420" w:firstLineChars="200"/>
        <w:rPr>
          <w:rFonts w:ascii="仿宋_GB2312" w:hAnsi="宋体" w:eastAsia="仿宋_GB2312"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1</w:t>
      </w:r>
      <w:r>
        <w:rPr>
          <w:rFonts w:ascii="Times New Roman" w:hAnsi="Times New Roman" w:eastAsia="仿宋_GB2312" w:cs="Times New Roman"/>
          <w:color w:val="000000" w:themeColor="text1"/>
          <w:szCs w:val="32"/>
        </w:rPr>
        <w:t>）</w:t>
      </w:r>
      <w:r>
        <w:rPr>
          <w:rFonts w:hint="eastAsia" w:ascii="仿宋_GB2312" w:eastAsia="仿宋_GB2312"/>
        </w:rPr>
        <w:t>加强舆论引导，抓好主题宣传</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突出重大新闻选题的策划，突出报道方式的创新，突出与全媒体的融合，完善节目评审工作机制；</w:t>
      </w:r>
    </w:p>
    <w:p w14:paraId="5797E63F">
      <w:pPr>
        <w:spacing w:before="100" w:beforeAutospacing="1" w:after="100" w:afterAutospacing="1" w:line="390" w:lineRule="atLeast"/>
        <w:ind w:firstLine="315" w:firstLineChars="150"/>
        <w:rPr>
          <w:rFonts w:ascii="宋体" w:hAnsi="宋体" w:eastAsia="宋体"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2</w:t>
      </w:r>
      <w:r>
        <w:rPr>
          <w:rFonts w:ascii="Times New Roman" w:hAnsi="Times New Roman" w:eastAsia="仿宋_GB2312" w:cs="Times New Roman"/>
          <w:color w:val="000000" w:themeColor="text1"/>
          <w:szCs w:val="32"/>
        </w:rPr>
        <w:t>）</w:t>
      </w:r>
      <w:r>
        <w:rPr>
          <w:rFonts w:hint="eastAsia" w:ascii="仿宋_GB2312" w:eastAsia="仿宋_GB2312"/>
        </w:rPr>
        <w:t>深化广播电视的供给侧改革</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深化绩效管理改革，突出绩与效、责权利的正相比关系；实施“双低节目”淘汰机制。</w:t>
      </w:r>
    </w:p>
    <w:p w14:paraId="2F3E2434">
      <w:pPr>
        <w:spacing w:before="100" w:beforeAutospacing="1" w:after="100" w:afterAutospacing="1" w:line="390" w:lineRule="atLeast"/>
        <w:ind w:firstLine="315" w:firstLineChars="150"/>
        <w:rPr>
          <w:rFonts w:ascii="仿宋_GB2312" w:hAnsi="宋体" w:eastAsia="仿宋_GB2312"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3</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提升机关效能优化人力资源。建立常态化督办机制，提升机关服务能力；在综合管理部门和基础支持部门全面推行岗位管理。</w:t>
      </w:r>
    </w:p>
    <w:p w14:paraId="38D10CCD">
      <w:pPr>
        <w:spacing w:before="100" w:beforeAutospacing="1" w:after="100" w:afterAutospacing="1" w:line="390" w:lineRule="atLeas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（4）</w:t>
      </w:r>
      <w:r>
        <w:rPr>
          <w:rFonts w:hint="eastAsia" w:ascii="仿宋_GB2312" w:eastAsia="仿宋_GB2312"/>
        </w:rPr>
        <w:t>落实党风廉政建设责任制，加强队伍建设，提高干部廉洁自律意识。</w:t>
      </w:r>
      <w:r>
        <w:rPr>
          <w:rFonts w:hint="eastAsia" w:ascii="仿宋_GB2312" w:hAnsi="宋体" w:eastAsia="仿宋_GB2312" w:cs="宋体"/>
          <w:kern w:val="0"/>
          <w:szCs w:val="21"/>
        </w:rPr>
        <w:t>利用广电大讲堂、微信平台、办公网等，抓好干部职工廉政教育，突出行业特点，落实“一岗双责”。</w:t>
      </w:r>
    </w:p>
    <w:p w14:paraId="7755C035">
      <w:pPr>
        <w:spacing w:before="100" w:beforeAutospacing="1" w:after="100" w:afterAutospacing="1" w:line="390" w:lineRule="atLeast"/>
        <w:ind w:firstLine="315" w:firstLineChars="150"/>
        <w:rPr>
          <w:rFonts w:ascii="仿宋_GB2312" w:hAnsi="宋体" w:eastAsia="仿宋_GB2312" w:cs="宋体"/>
          <w:kern w:val="0"/>
          <w:szCs w:val="21"/>
        </w:rPr>
      </w:pPr>
      <w:r>
        <w:rPr>
          <w:rFonts w:hint="eastAsia" w:ascii="仿宋_GB2312" w:hAnsi="宋体" w:eastAsia="仿宋_GB2312" w:cs="宋体"/>
          <w:kern w:val="0"/>
          <w:szCs w:val="21"/>
        </w:rPr>
        <w:t>（5）</w:t>
      </w:r>
      <w:r>
        <w:rPr>
          <w:rFonts w:hint="eastAsia" w:ascii="仿宋_GB2312" w:eastAsia="仿宋_GB2312"/>
        </w:rPr>
        <w:t>开展党建活动，抓好党员“两学一做”学习教育，夯实基层党组织。</w:t>
      </w:r>
      <w:r>
        <w:rPr>
          <w:rFonts w:hint="eastAsia" w:ascii="仿宋_GB2312" w:hAnsi="宋体" w:eastAsia="仿宋_GB2312" w:cs="宋体"/>
          <w:kern w:val="0"/>
          <w:szCs w:val="21"/>
        </w:rPr>
        <w:t>完善党建工作制度，推进党群活动常态化，加大党务工作与业务工作融合力度。</w:t>
      </w:r>
    </w:p>
    <w:p w14:paraId="122BB5C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仿宋_GB2312" w:hAnsi="宋体" w:eastAsia="仿宋_GB2312" w:cs="宋体"/>
          <w:kern w:val="0"/>
          <w:szCs w:val="21"/>
        </w:rPr>
        <w:t>（6）</w:t>
      </w:r>
      <w:r>
        <w:rPr>
          <w:rFonts w:hint="eastAsia" w:ascii="仿宋_GB2312" w:eastAsia="仿宋_GB2312"/>
        </w:rPr>
        <w:t>核算成本，加强创收经营管理。</w:t>
      </w:r>
      <w:r>
        <w:rPr>
          <w:rFonts w:hint="eastAsia" w:ascii="仿宋_GB2312" w:hAnsi="宋体" w:eastAsia="仿宋_GB2312" w:cs="宋体"/>
          <w:kern w:val="0"/>
          <w:szCs w:val="21"/>
        </w:rPr>
        <w:t>完成全年财务收入目标，推行预算管理，确保收支平衡，制定“开源节流”工作管理办法，在抓好资金管理的同时，加强资产管理。</w:t>
      </w:r>
      <w:r>
        <w:rPr>
          <w:rFonts w:ascii="仿宋_GB2312" w:hAnsi="宋体" w:eastAsia="仿宋_GB2312" w:cs="宋体"/>
          <w:kern w:val="0"/>
          <w:szCs w:val="21"/>
        </w:rPr>
        <w:t>A</w:t>
      </w:r>
      <w:r>
        <w:rPr>
          <w:rFonts w:hint="eastAsia" w:ascii="仿宋_GB2312" w:hAnsi="宋体" w:eastAsia="仿宋_GB2312" w:cs="宋体"/>
          <w:kern w:val="0"/>
          <w:szCs w:val="21"/>
        </w:rPr>
        <w:t>.</w:t>
      </w:r>
      <w:r>
        <w:rPr>
          <w:rFonts w:ascii="Times New Roman" w:hAnsi="Times New Roman" w:eastAsia="仿宋_GB2312" w:cs="Times New Roman"/>
          <w:color w:val="000000" w:themeColor="text1"/>
          <w:szCs w:val="32"/>
        </w:rPr>
        <w:t xml:space="preserve"> 预决算公开：</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按照政府统一部署</w:t>
      </w:r>
      <w:r>
        <w:rPr>
          <w:rFonts w:hint="eastAsia" w:ascii="Times New Roman" w:hAnsi="Times New Roman" w:eastAsia="仿宋_GB2312" w:cs="Times New Roman"/>
          <w:color w:val="000000" w:themeColor="text1"/>
          <w:szCs w:val="32"/>
        </w:rPr>
        <w:t>，</w:t>
      </w:r>
      <w:r>
        <w:rPr>
          <w:rFonts w:ascii="Times New Roman" w:hAnsi="Times New Roman" w:eastAsia="仿宋_GB2312" w:cs="Times New Roman"/>
          <w:color w:val="000000" w:themeColor="text1"/>
          <w:szCs w:val="32"/>
        </w:rPr>
        <w:t>在规定时间内在县人民政府网站上进行了</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w:t>
      </w:r>
      <w:r>
        <w:rPr>
          <w:rFonts w:hint="eastAsia" w:ascii="Times New Roman" w:hAnsi="Times New Roman" w:eastAsia="仿宋_GB2312" w:cs="Times New Roman"/>
          <w:color w:val="000000" w:themeColor="text1"/>
          <w:szCs w:val="32"/>
        </w:rPr>
        <w:t>度</w:t>
      </w:r>
      <w:r>
        <w:rPr>
          <w:rFonts w:ascii="Times New Roman" w:hAnsi="Times New Roman" w:eastAsia="仿宋_GB2312" w:cs="Times New Roman"/>
          <w:color w:val="000000" w:themeColor="text1"/>
          <w:szCs w:val="32"/>
        </w:rPr>
        <w:t>预算公开。B</w:t>
      </w:r>
      <w:r>
        <w:rPr>
          <w:rFonts w:hint="eastAsia" w:ascii="Times New Roman" w:hAnsi="Times New Roman" w:eastAsia="仿宋_GB2312" w:cs="Times New Roman"/>
          <w:color w:val="000000" w:themeColor="text1"/>
          <w:szCs w:val="32"/>
        </w:rPr>
        <w:t>.</w:t>
      </w:r>
      <w:r>
        <w:rPr>
          <w:rFonts w:ascii="Times New Roman" w:hAnsi="Times New Roman" w:eastAsia="仿宋_GB2312" w:cs="Times New Roman"/>
          <w:color w:val="000000" w:themeColor="text1"/>
          <w:szCs w:val="32"/>
        </w:rPr>
        <w:t>资金资产管理：资产管理按照我单位制定的《寻甸回族彝族自治县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国有资产管理办法》进行，建立了完整合规的固定资产台帐，合理有效使用固定资产，安全运行。</w:t>
      </w:r>
    </w:p>
    <w:p w14:paraId="0574683A">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三、评价思路和过程</w:t>
      </w:r>
    </w:p>
    <w:p w14:paraId="46B7F7A0">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楷体" w:cs="Times New Roman"/>
          <w:color w:val="000000" w:themeColor="text1"/>
          <w:szCs w:val="32"/>
        </w:rPr>
        <w:t>（一）评价思路：</w:t>
      </w:r>
      <w:r>
        <w:rPr>
          <w:rFonts w:ascii="Times New Roman" w:hAnsi="Times New Roman" w:eastAsia="仿宋_GB2312" w:cs="Times New Roman"/>
          <w:color w:val="000000" w:themeColor="text1"/>
          <w:szCs w:val="32"/>
        </w:rPr>
        <w:t>确认当年度部门整体支出的绩效目标→梳理部门内部管理制度及存量资源→分析确定当年度部门整体支出的评价重点→构建绩效评价指标体系。</w:t>
      </w:r>
    </w:p>
    <w:p w14:paraId="589E1894">
      <w:pPr>
        <w:topLinePunct/>
        <w:spacing w:line="520" w:lineRule="exact"/>
        <w:ind w:firstLine="420" w:firstLineChars="200"/>
        <w:rPr>
          <w:rFonts w:ascii="Times New Roman" w:hAnsi="Times New Roman" w:eastAsia="仿宋_GB2312" w:cs="Times New Roman"/>
          <w:color w:val="000000" w:themeColor="text1"/>
          <w:sz w:val="28"/>
          <w:szCs w:val="28"/>
        </w:rPr>
      </w:pPr>
      <w:r>
        <w:rPr>
          <w:rFonts w:ascii="Times New Roman" w:hAnsi="Times New Roman" w:eastAsia="楷体" w:cs="Times New Roman"/>
          <w:color w:val="000000" w:themeColor="text1"/>
          <w:szCs w:val="32"/>
        </w:rPr>
        <w:t>（二）评价目的。</w:t>
      </w:r>
      <w:r>
        <w:rPr>
          <w:rFonts w:ascii="Times New Roman" w:hAnsi="Times New Roman" w:eastAsia="仿宋_GB2312" w:cs="Times New Roman"/>
          <w:color w:val="000000" w:themeColor="text1"/>
          <w:kern w:val="0"/>
          <w:szCs w:val="32"/>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282FA499">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（三）评价依据。</w:t>
      </w:r>
    </w:p>
    <w:p w14:paraId="7CAE7511">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1.《中华人民共和国预算法》；2.《财政部关于印发〈财政支出绩效评价管理暂行办法〉的通知》（财预〔2011〕285号）；3.《昆明市人民政府办公厅关于全面推进预算绩效管理的实施意见》（昆政办〔2013〕72号）；4.《昆明市人民政府关于全面推进预算绩效管理改革的实施意见》（昆政发〔2016〕12号）；5.《寻甸回族彝族自治县财政局关于印发《寻甸回族彝族自治县本级部门预算绩效自评管理暂行办法》的通知》（寻财绩〔2019〕9号）；6.《寻甸回族彝族自治县财政局关于印发《寻甸回族彝族自治县县本级财政支出预算事前绩效评估管理暂行办法》的通知》（寻财〔2019〕30号）；7.《寻甸回族彝族自治县财政局关于印发寻甸回族彝族自治县县本级预算绩效跟踪管理暂行办法的通知》（寻财绩〔2019〕1号）；8.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提供的基础资料；9.评价工作人员通过现场调查、核实等获得的资料等。</w:t>
      </w:r>
    </w:p>
    <w:p w14:paraId="5DD2C2EB">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（四）评价对象及评价时段。</w:t>
      </w:r>
    </w:p>
    <w:p w14:paraId="7329D650">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本次评价对象为寻甸回族彝族自治县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部门整体支出，评价时段为</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年1月1日至</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年12月31日。</w:t>
      </w:r>
    </w:p>
    <w:p w14:paraId="386A3F7D">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四、评价结论和绩效分析</w:t>
      </w:r>
    </w:p>
    <w:p w14:paraId="167AB5E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（一）</w:t>
      </w:r>
      <w:r>
        <w:rPr>
          <w:rFonts w:ascii="Times New Roman" w:hAnsi="Times New Roman" w:eastAsia="仿宋_GB2312" w:cs="Times New Roman"/>
          <w:color w:val="000000" w:themeColor="text1"/>
          <w:szCs w:val="32"/>
        </w:rPr>
        <w:t>评价结果。</w:t>
      </w:r>
    </w:p>
    <w:p w14:paraId="0ADFE7FA">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认真落实县委县政府决策部署，按照保进度、重质量、求实效的要求，全面推进各项重点工作，较好地完成了各项目标任务。根据《寻甸回族彝族自治县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部门整体支出绩效评价指标体系》评分，寻甸回族彝族自治县融媒体中心得分</w:t>
      </w:r>
      <w:r>
        <w:rPr>
          <w:rFonts w:hint="eastAsia" w:ascii="Times New Roman" w:hAnsi="Times New Roman" w:eastAsia="仿宋_GB2312" w:cs="Times New Roman"/>
          <w:color w:val="auto"/>
          <w:szCs w:val="32"/>
          <w:lang w:val="en-US" w:eastAsia="zh-CN"/>
        </w:rPr>
        <w:t>93.56</w:t>
      </w:r>
      <w:r>
        <w:rPr>
          <w:rFonts w:ascii="Times New Roman" w:hAnsi="Times New Roman" w:eastAsia="仿宋_GB2312" w:cs="Times New Roman"/>
          <w:szCs w:val="32"/>
        </w:rPr>
        <w:t>分，部门整体支出绩效为“优秀”。</w:t>
      </w:r>
    </w:p>
    <w:p w14:paraId="128C3716">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（二）</w:t>
      </w:r>
      <w:r>
        <w:rPr>
          <w:rFonts w:ascii="Times New Roman" w:hAnsi="Times New Roman" w:eastAsia="仿宋_GB2312" w:cs="Times New Roman"/>
          <w:color w:val="000000" w:themeColor="text1"/>
          <w:szCs w:val="32"/>
        </w:rPr>
        <w:t>主要绩效</w:t>
      </w:r>
      <w:r>
        <w:rPr>
          <w:rFonts w:hint="eastAsia" w:ascii="Times New Roman" w:hAnsi="Times New Roman" w:eastAsia="仿宋_GB2312" w:cs="Times New Roman"/>
          <w:color w:val="000000" w:themeColor="text1"/>
          <w:szCs w:val="32"/>
        </w:rPr>
        <w:t>分析</w:t>
      </w:r>
      <w:r>
        <w:rPr>
          <w:rFonts w:ascii="Times New Roman" w:hAnsi="Times New Roman" w:eastAsia="仿宋_GB2312" w:cs="Times New Roman"/>
          <w:color w:val="000000" w:themeColor="text1"/>
          <w:szCs w:val="32"/>
        </w:rPr>
        <w:t>。</w:t>
      </w:r>
    </w:p>
    <w:p w14:paraId="643752C4">
      <w:pPr>
        <w:widowControl/>
        <w:shd w:val="clear" w:color="auto" w:fill="FFFFFF"/>
        <w:spacing w:before="100" w:beforeAutospacing="1" w:after="300" w:line="525"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预算配置方面：</w:t>
      </w:r>
    </w:p>
    <w:p w14:paraId="657219E6">
      <w:pPr>
        <w:widowControl/>
        <w:shd w:val="clear" w:color="auto" w:fill="FFFFFF"/>
        <w:spacing w:before="100" w:beforeAutospacing="1" w:after="300" w:line="525" w:lineRule="atLeast"/>
        <w:jc w:val="left"/>
        <w:rPr>
          <w:rFonts w:ascii="仿宋_GB2312" w:hAnsi="微软雅黑" w:eastAsia="仿宋_GB2312" w:cs="宋体"/>
          <w:color w:val="333333"/>
          <w:kern w:val="0"/>
          <w:szCs w:val="21"/>
        </w:rPr>
      </w:pPr>
      <w:r>
        <w:rPr>
          <w:rFonts w:hint="eastAsia" w:ascii="仿宋_GB2312" w:hAnsi="微软雅黑" w:eastAsia="仿宋_GB2312" w:cs="宋体"/>
          <w:color w:val="434343"/>
          <w:kern w:val="0"/>
          <w:szCs w:val="21"/>
        </w:rPr>
        <w:t>　　1、在职人员控制率，</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年融媒体中心编制人数为28人，年末实有在编人数为</w:t>
      </w:r>
      <w:r>
        <w:rPr>
          <w:rFonts w:hint="eastAsia" w:ascii="仿宋_GB2312" w:hAnsi="微软雅黑" w:eastAsia="仿宋_GB2312" w:cs="宋体"/>
          <w:color w:val="434343"/>
          <w:kern w:val="0"/>
          <w:szCs w:val="21"/>
          <w:lang w:val="en-US" w:eastAsia="zh-CN"/>
        </w:rPr>
        <w:t>23</w:t>
      </w:r>
      <w:r>
        <w:rPr>
          <w:rFonts w:hint="eastAsia" w:ascii="仿宋_GB2312" w:hAnsi="微软雅黑" w:eastAsia="仿宋_GB2312" w:cs="宋体"/>
          <w:color w:val="434343"/>
          <w:kern w:val="0"/>
          <w:szCs w:val="21"/>
        </w:rPr>
        <w:t>人，没有超编现象。2、三公经费变动率，</w:t>
      </w:r>
      <w:r>
        <w:rPr>
          <w:rFonts w:hint="eastAsia" w:ascii="仿宋_GB2312" w:hAnsi="微软雅黑" w:eastAsia="仿宋_GB2312" w:cs="宋体"/>
          <w:color w:val="434343"/>
          <w:kern w:val="0"/>
          <w:szCs w:val="21"/>
          <w:lang w:eastAsia="zh-CN"/>
        </w:rPr>
        <w:t>202</w:t>
      </w:r>
      <w:r>
        <w:rPr>
          <w:rFonts w:hint="eastAsia" w:ascii="仿宋_GB2312" w:hAnsi="微软雅黑" w:eastAsia="仿宋_GB2312" w:cs="宋体"/>
          <w:color w:val="434343"/>
          <w:kern w:val="0"/>
          <w:szCs w:val="21"/>
          <w:lang w:val="en-US" w:eastAsia="zh-CN"/>
        </w:rPr>
        <w:t>2</w:t>
      </w:r>
      <w:r>
        <w:rPr>
          <w:rFonts w:hint="eastAsia" w:ascii="仿宋_GB2312" w:hAnsi="微软雅黑" w:eastAsia="仿宋_GB2312" w:cs="宋体"/>
          <w:color w:val="434343"/>
          <w:kern w:val="0"/>
          <w:szCs w:val="21"/>
        </w:rPr>
        <w:t>年三公经费为</w:t>
      </w:r>
      <w:r>
        <w:rPr>
          <w:rFonts w:hint="eastAsia" w:ascii="仿宋_GB2312" w:hAnsi="微软雅黑" w:eastAsia="仿宋_GB2312" w:cs="宋体"/>
          <w:color w:val="434343"/>
          <w:kern w:val="0"/>
          <w:szCs w:val="21"/>
          <w:lang w:val="en-US" w:eastAsia="zh-CN"/>
        </w:rPr>
        <w:t>2.62</w:t>
      </w:r>
      <w:r>
        <w:rPr>
          <w:rFonts w:hint="eastAsia" w:ascii="仿宋_GB2312" w:hAnsi="微软雅黑" w:eastAsia="仿宋_GB2312" w:cs="宋体"/>
          <w:color w:val="434343"/>
          <w:kern w:val="0"/>
          <w:szCs w:val="21"/>
        </w:rPr>
        <w:t>万元，</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年三公经费为</w:t>
      </w:r>
      <w:r>
        <w:rPr>
          <w:rFonts w:hint="eastAsia" w:ascii="仿宋_GB2312" w:hAnsi="微软雅黑" w:eastAsia="仿宋_GB2312" w:cs="宋体"/>
          <w:color w:val="434343"/>
          <w:kern w:val="0"/>
          <w:szCs w:val="21"/>
          <w:lang w:val="en-US" w:eastAsia="zh-CN"/>
        </w:rPr>
        <w:t>2.4</w:t>
      </w:r>
      <w:r>
        <w:rPr>
          <w:rFonts w:hint="eastAsia" w:ascii="仿宋_GB2312" w:hAnsi="微软雅黑" w:eastAsia="仿宋_GB2312" w:cs="宋体"/>
          <w:color w:val="434343"/>
          <w:kern w:val="0"/>
          <w:szCs w:val="21"/>
        </w:rPr>
        <w:t>万元</w:t>
      </w:r>
      <w:r>
        <w:rPr>
          <w:rFonts w:hint="eastAsia" w:ascii="仿宋_GB2312" w:hAnsi="微软雅黑" w:eastAsia="仿宋_GB2312" w:cs="宋体"/>
          <w:color w:val="434343"/>
          <w:kern w:val="0"/>
          <w:szCs w:val="21"/>
          <w:lang w:eastAsia="zh-CN"/>
        </w:rPr>
        <w:t>，减少的原因是公务用车维修费减少</w:t>
      </w:r>
      <w:r>
        <w:rPr>
          <w:rFonts w:hint="eastAsia" w:ascii="仿宋_GB2312" w:hAnsi="微软雅黑" w:eastAsia="仿宋_GB2312" w:cs="宋体"/>
          <w:color w:val="434343"/>
          <w:kern w:val="0"/>
          <w:szCs w:val="21"/>
        </w:rPr>
        <w:t>。严格控制“三公经费”不逐年增加。</w:t>
      </w:r>
    </w:p>
    <w:p w14:paraId="2D0B7EBC">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预算执行情况</w:t>
      </w:r>
      <w:r>
        <w:rPr>
          <w:rFonts w:hint="eastAsia" w:ascii="仿宋_GB2312" w:hAnsi="微软雅黑" w:eastAsia="仿宋_GB2312" w:cs="宋体"/>
          <w:color w:val="434343"/>
          <w:kern w:val="0"/>
          <w:szCs w:val="21"/>
        </w:rPr>
        <w:t>：（1）</w:t>
      </w:r>
      <w:r>
        <w:rPr>
          <w:rFonts w:hint="eastAsia" w:ascii="仿宋_GB2312" w:hAnsi="微软雅黑" w:eastAsia="仿宋_GB2312" w:cs="宋体"/>
          <w:color w:val="333333"/>
          <w:kern w:val="0"/>
          <w:szCs w:val="21"/>
        </w:rPr>
        <w:t>工资、津补贴等其他经费已按政策发放到位。</w:t>
      </w:r>
      <w:r>
        <w:rPr>
          <w:rFonts w:hint="eastAsia" w:ascii="仿宋_GB2312" w:hAnsi="微软雅黑" w:eastAsia="仿宋_GB2312" w:cs="宋体"/>
          <w:color w:val="000000"/>
          <w:kern w:val="0"/>
          <w:szCs w:val="21"/>
        </w:rPr>
        <w:t>（2）融媒体中心严格按要求，切实加强部门预算支出执行管理工作，努力提高财政资金使用绩效。6月末融媒体中心部门预算执行进度达到60.46%，9月末达到76.19%，11月末达到85.17%，全年执行进度为98%。未执行完成的原因:部分项目招标完成并正在实施，按合同约定需跨年度支付设备尾款及质保金。</w:t>
      </w:r>
    </w:p>
    <w:p w14:paraId="305B9CB3">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预算管理情况</w:t>
      </w:r>
      <w:r>
        <w:rPr>
          <w:rFonts w:hint="eastAsia" w:ascii="仿宋_GB2312" w:hAnsi="微软雅黑" w:eastAsia="仿宋_GB2312" w:cs="宋体"/>
          <w:color w:val="000000"/>
          <w:kern w:val="0"/>
          <w:szCs w:val="21"/>
        </w:rPr>
        <w:t>:(1)</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融媒体中心制定了财务管理制度和会计核算等管理制度，制定财务职责，制定了厉行节约制度，管理制度依照相关国家的法律、法规而制定的，具有合法性、合规性、完整性；相关管理制度得到认真执行。（2）资金使用合规性，一切支出按照国家财经法规和财务管理制度规定以及专项资金管理办法的规定办理，财务人员认真审核算每笔业务的合法性、真实性、手续完整性和资料的准确性。健全会计核算，按照国家统一会计制度的规定设置会计账簿，依照规定进行会计处理，保证会计指标的口径一致。资金拨付有完善的审批程序和手续，支出符部门预算批复的用途，资金使用无截留、挤占挪用、虚列支出等情况。（3）预决算信息公开性，按照规定的内容、时间公开预算信息，做到基础数据信息和会计资料真实、完整、准确。</w:t>
      </w:r>
    </w:p>
    <w:p w14:paraId="2613DE18">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职责履行</w:t>
      </w:r>
      <w:r>
        <w:rPr>
          <w:rFonts w:hint="eastAsia" w:ascii="仿宋_GB2312" w:hAnsi="微软雅黑" w:eastAsia="仿宋_GB2312" w:cs="宋体"/>
          <w:color w:val="434343"/>
          <w:kern w:val="0"/>
          <w:szCs w:val="21"/>
        </w:rPr>
        <w:t>：各项工作实际完成情况，我中心坚持正确的舆论导向，努力提高新闻宣传质量，继续巩固、加强节目形态和样式的创新，加强节目策划，加大对社会焦点、热点、难点问题的正面引导，开展积极有效的舆论监督，做大做强做优广播电视节目。努力挖掘和弘扬我县丰厚的地域文、着力开办一些具有鲜明特色，内容贴近群贴近实际、贴近生活，群众喜闻乐见的优秀广播电视文艺作品，全面提升广播电视节目的收听收视率和社会影响力。</w:t>
      </w:r>
    </w:p>
    <w:p w14:paraId="67BC13D3">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仿宋_GB2312" w:hAnsi="黑体" w:eastAsia="仿宋_GB2312" w:cs="仿宋"/>
          <w:color w:val="000000"/>
          <w:szCs w:val="21"/>
        </w:rPr>
      </w:pPr>
      <w:r>
        <w:rPr>
          <w:rFonts w:hint="eastAsia" w:ascii="仿宋_GB2312" w:hAnsi="微软雅黑" w:eastAsia="仿宋_GB2312" w:cs="宋体"/>
          <w:b/>
          <w:bCs/>
          <w:color w:val="434343"/>
          <w:kern w:val="0"/>
          <w:szCs w:val="21"/>
        </w:rPr>
        <w:t>履职效益</w:t>
      </w:r>
      <w:r>
        <w:rPr>
          <w:rFonts w:hint="eastAsia" w:ascii="仿宋_GB2312" w:hAnsi="微软雅黑" w:eastAsia="仿宋_GB2312" w:cs="宋体"/>
          <w:color w:val="434343"/>
          <w:kern w:val="0"/>
          <w:szCs w:val="21"/>
        </w:rPr>
        <w:t>：经济效益 ，社会效益：</w:t>
      </w:r>
      <w:r>
        <w:rPr>
          <w:rFonts w:hint="eastAsia" w:ascii="仿宋_GB2312" w:hAnsi="黑体" w:eastAsia="仿宋_GB2312" w:cs="仿宋"/>
          <w:color w:val="000000"/>
          <w:szCs w:val="21"/>
          <w:lang w:eastAsia="zh-CN"/>
        </w:rPr>
        <w:t>2024</w:t>
      </w:r>
      <w:r>
        <w:rPr>
          <w:rFonts w:hint="eastAsia" w:ascii="仿宋_GB2312" w:hAnsi="黑体" w:eastAsia="仿宋_GB2312" w:cs="仿宋"/>
          <w:color w:val="000000"/>
          <w:szCs w:val="21"/>
        </w:rPr>
        <w:t>年，县融媒体中心切实转变作风，主动担当作为，认真履职尽责，全力抓好新闻宣传服务。在《寻甸新闻》的编发上创新方式强服务，加强与县级其他单位和各乡镇（街道）的对接工作。对时政新闻以外的宣传报道尽可能地通过通讯员采集，减少文字内容的描述，更多通过精美的图片和小视频吸引观众眼球，有效提高媒体关注度和点击率。同时，加强与各部门间的宣传配合，主动与其他单位、企业强化联系，寻找优质宣传素材，积极主动行使宣传职能。主动联系并深入基层一线开展报道工作，采写基层鲜活新闻、反映群众呼声、打通新闻宣传服务群众“最后一公里”，提高宣传工作者的“四力”践行力。在今年的宣传报道中，主要围绕乡村振兴、产业发展、文化旅游、“创文”成果、“三变改革”等县委、县政府中心工作，在电视端《寻甸新闻》中全面展示我县重点工作推进、经验成效、特色亮点。</w:t>
      </w:r>
      <w:r>
        <w:rPr>
          <w:rFonts w:hint="eastAsia" w:ascii="仿宋_GB2312" w:hAnsi="黑体" w:eastAsia="仿宋_GB2312" w:cs="仿宋"/>
          <w:color w:val="000000"/>
          <w:szCs w:val="21"/>
          <w:lang w:val="en-US" w:eastAsia="zh-CN"/>
        </w:rPr>
        <w:t>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2024年，县融媒体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250CD982">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履职效益</w:t>
      </w:r>
      <w:r>
        <w:rPr>
          <w:rFonts w:hint="eastAsia" w:ascii="仿宋_GB2312" w:hAnsi="微软雅黑" w:eastAsia="仿宋_GB2312" w:cs="宋体"/>
          <w:color w:val="434343"/>
          <w:kern w:val="0"/>
          <w:szCs w:val="21"/>
        </w:rPr>
        <w:t>：（1）行政效能，我中心高度重视行政效能建设工作，深入贯彻落实科学发展观，制定方案，明确工作职责。推进政务公开透明度，方便人民群众；明确相关部门的职责，端正工作态度，转变机关作风。认真履行好各自职责，来人、来电要热情；进一步精简、规范审批程序；加强经费及资产管理；充分利用网络提高办公效率，降低行政运行成本。（2）社会公众或服务对象满意度，</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年我中心在县委县政府正确领导下，通过一年的努力工作，全中心上下全体干部职工切实转变工作作风，办事更积极，态度更热情，使广大群众和服务对象更满意，满意率达到百分之九十以上。</w:t>
      </w:r>
    </w:p>
    <w:p w14:paraId="030FA480">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五、主要经验做法</w:t>
      </w:r>
    </w:p>
    <w:p w14:paraId="39CF2EBF">
      <w:pPr>
        <w:widowControl/>
        <w:shd w:val="clear" w:color="auto" w:fill="FFFFFF"/>
        <w:spacing w:before="100" w:beforeAutospacing="1" w:after="300" w:line="540" w:lineRule="atLeast"/>
        <w:ind w:firstLine="465"/>
        <w:jc w:val="left"/>
        <w:rPr>
          <w:rFonts w:hint="eastAsia" w:ascii="仿宋_GB2312" w:hAnsi="微软雅黑" w:eastAsia="仿宋_GB2312" w:cs="宋体"/>
          <w:color w:val="434343"/>
          <w:kern w:val="0"/>
          <w:szCs w:val="21"/>
          <w:lang w:val="en-US" w:eastAsia="zh-CN"/>
        </w:rPr>
      </w:pPr>
      <w:r>
        <w:rPr>
          <w:rFonts w:hint="eastAsia" w:ascii="仿宋_GB2312" w:hAnsi="微软雅黑" w:eastAsia="仿宋_GB2312" w:cs="宋体"/>
          <w:color w:val="434343"/>
          <w:kern w:val="0"/>
          <w:szCs w:val="21"/>
        </w:rPr>
        <w:t>(一)</w:t>
      </w:r>
      <w:r>
        <w:rPr>
          <w:rFonts w:hint="eastAsia" w:ascii="仿宋_GB2312" w:hAnsi="微软雅黑" w:eastAsia="仿宋_GB2312" w:cs="宋体"/>
          <w:color w:val="434343"/>
          <w:kern w:val="0"/>
          <w:szCs w:val="21"/>
          <w:lang w:val="en-US" w:eastAsia="zh-CN"/>
        </w:rPr>
        <w:t>提高技术，狠抓安全播出。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w:t>
      </w:r>
      <w:bookmarkStart w:id="2" w:name="_GoBack"/>
      <w:bookmarkEnd w:id="2"/>
      <w:r>
        <w:rPr>
          <w:rFonts w:hint="eastAsia" w:ascii="仿宋_GB2312" w:hAnsi="微软雅黑" w:eastAsia="仿宋_GB2312" w:cs="宋体"/>
          <w:color w:val="434343"/>
          <w:kern w:val="0"/>
          <w:szCs w:val="21"/>
          <w:lang w:val="en-US" w:eastAsia="zh-CN"/>
        </w:rPr>
        <w:t>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16431E7B">
      <w:pPr>
        <w:widowControl/>
        <w:shd w:val="clear" w:color="auto" w:fill="FFFFFF"/>
        <w:spacing w:before="100" w:beforeAutospacing="1" w:after="300" w:line="540" w:lineRule="atLeast"/>
        <w:ind w:firstLine="465"/>
        <w:jc w:val="left"/>
        <w:rPr>
          <w:rFonts w:hint="eastAsia" w:ascii="仿宋_GB2312" w:hAnsi="微软雅黑" w:eastAsia="仿宋_GB2312" w:cs="宋体"/>
          <w:color w:val="434343"/>
          <w:kern w:val="0"/>
          <w:szCs w:val="21"/>
          <w:lang w:val="en-US" w:eastAsia="zh-CN"/>
        </w:rPr>
      </w:pPr>
      <w:r>
        <w:rPr>
          <w:rFonts w:hint="eastAsia" w:ascii="仿宋_GB2312" w:hAnsi="微软雅黑" w:eastAsia="仿宋_GB2312" w:cs="宋体"/>
          <w:color w:val="434343"/>
          <w:kern w:val="0"/>
          <w:szCs w:val="21"/>
        </w:rPr>
        <w:t>(二)</w:t>
      </w:r>
      <w:r>
        <w:rPr>
          <w:rFonts w:hint="eastAsia" w:ascii="仿宋_GB2312" w:hAnsi="微软雅黑" w:eastAsia="仿宋_GB2312" w:cs="宋体"/>
          <w:color w:val="434343"/>
          <w:kern w:val="0"/>
          <w:szCs w:val="21"/>
          <w:lang w:val="en-US" w:eastAsia="zh-CN"/>
        </w:rPr>
        <w:t>强化思想，服务大局。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3D631203">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黑体" w:cs="Times New Roman"/>
          <w:color w:val="000000" w:themeColor="text1"/>
          <w:szCs w:val="32"/>
        </w:rPr>
        <w:t>六、存在的问题</w:t>
      </w:r>
    </w:p>
    <w:p w14:paraId="10EB61D2">
      <w:pPr>
        <w:spacing w:line="600" w:lineRule="exact"/>
        <w:ind w:firstLine="420" w:firstLineChars="200"/>
        <w:jc w:val="left"/>
        <w:rPr>
          <w:rFonts w:hint="eastAsia" w:ascii="仿宋_GB2312" w:hAnsi="华文楷体" w:eastAsia="仿宋_GB2312" w:cs="楷体"/>
          <w:bCs/>
          <w:szCs w:val="21"/>
        </w:rPr>
      </w:pPr>
      <w:r>
        <w:rPr>
          <w:rFonts w:hint="eastAsia" w:ascii="仿宋_GB2312" w:hAnsi="华文楷体" w:eastAsia="仿宋_GB2312" w:cs="楷体"/>
          <w:bCs/>
          <w:szCs w:val="21"/>
        </w:rPr>
        <w:t>(一)制度还不够完善。</w:t>
      </w:r>
      <w:r>
        <w:rPr>
          <w:rFonts w:hint="eastAsia" w:ascii="仿宋_GB2312" w:hAnsi="华文楷体" w:eastAsia="仿宋_GB2312" w:cs="楷体"/>
          <w:bCs/>
          <w:szCs w:val="21"/>
          <w:lang w:eastAsia="zh-CN"/>
        </w:rPr>
        <w:t>多年</w:t>
      </w:r>
      <w:r>
        <w:rPr>
          <w:rFonts w:hint="eastAsia" w:ascii="仿宋_GB2312" w:hAnsi="华文楷体" w:eastAsia="仿宋_GB2312" w:cs="楷体"/>
          <w:bCs/>
          <w:szCs w:val="21"/>
        </w:rPr>
        <w:t>来，融媒体中心管理工作朝着制度化、规范化、科学化方向做了很多的努力，但还是存在制度不全面的问题，目前没有细致的制定出针对每个环节步骤方面的规章制度，单位管理制度不健全，经验管理仍然占有比重，甚至有时居于主导地位，“无法可依”和“有法可依”两种现象同时并存管理。同时在制度制定的程序不尽合理，整个制度建设缺乏规划性，制度的整体性不强，整体效益不高。</w:t>
      </w:r>
    </w:p>
    <w:p w14:paraId="2437160E">
      <w:pPr>
        <w:spacing w:line="600" w:lineRule="exact"/>
        <w:ind w:firstLine="420" w:firstLineChars="200"/>
        <w:jc w:val="left"/>
        <w:rPr>
          <w:rFonts w:hint="eastAsia" w:ascii="仿宋_GB2312" w:hAnsi="华文楷体" w:eastAsia="仿宋_GB2312" w:cs="楷体"/>
          <w:bCs/>
          <w:szCs w:val="21"/>
        </w:rPr>
      </w:pPr>
      <w:r>
        <w:rPr>
          <w:rFonts w:hint="eastAsia" w:ascii="仿宋_GB2312" w:hAnsi="华文楷体" w:eastAsia="仿宋_GB2312" w:cs="楷体"/>
          <w:bCs/>
          <w:szCs w:val="21"/>
        </w:rPr>
        <w:t>(二)激励机制</w:t>
      </w:r>
      <w:r>
        <w:rPr>
          <w:rFonts w:hint="eastAsia" w:ascii="仿宋_GB2312" w:hAnsi="华文楷体" w:eastAsia="仿宋_GB2312" w:cs="楷体"/>
          <w:bCs/>
          <w:szCs w:val="21"/>
          <w:lang w:eastAsia="zh-CN"/>
        </w:rPr>
        <w:t>不完善</w:t>
      </w:r>
      <w:r>
        <w:rPr>
          <w:rFonts w:hint="eastAsia" w:ascii="仿宋_GB2312" w:hAnsi="华文楷体" w:eastAsia="仿宋_GB2312" w:cs="楷体"/>
          <w:bCs/>
          <w:szCs w:val="21"/>
        </w:rPr>
        <w:t>，工作积极性不能有效调动。由于受制度和收入的限制，融媒体中心没有建立切实有效的激励机制，没能按照“按劳分配、奖优惩劣”的原则建立起更加灵活的分配机制和奖励机制，这导致很多编制外的同事工作积极性不高，个人的主动性和创造性没有得到充分的发挥。虽然单位也建立了考核机制，但是一方面讲义的资金没有来源，想发也发不了；另外一方面，即使有钱政策不支持发放，这样的机制，不利于激发他们工作的积极性，更不利于激发他们工作的创造性。</w:t>
      </w:r>
    </w:p>
    <w:p w14:paraId="4CCD535C">
      <w:pPr>
        <w:spacing w:line="600" w:lineRule="exact"/>
        <w:ind w:firstLine="420" w:firstLineChars="200"/>
        <w:jc w:val="left"/>
        <w:rPr>
          <w:rFonts w:ascii="仿宋_GB2312" w:hAnsi="仿宋" w:eastAsia="仿宋_GB2312"/>
          <w:color w:val="000000"/>
          <w:sz w:val="32"/>
          <w:szCs w:val="32"/>
        </w:rPr>
      </w:pPr>
      <w:r>
        <w:rPr>
          <w:rFonts w:hint="eastAsia" w:ascii="仿宋_GB2312" w:hAnsi="华文楷体" w:eastAsia="仿宋_GB2312" w:cs="楷体"/>
          <w:bCs/>
          <w:szCs w:val="21"/>
        </w:rPr>
        <w:t>（三）寻甸融媒APP使用效率不高，发挥效用不理想。寻甸融媒APP作为中心真正意义上的“自己的平台”，希望能实现直播、市民爆料、市民生活资讯等多功能，但是受制于技术等因素，还是实现不了与市民的良好互动，很多想做的事还是做不了。所以寻甸融媒APP现在总体下载量不高，影响力不大，发挥作用不明显。</w:t>
      </w:r>
    </w:p>
    <w:p w14:paraId="66E938D9">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七、改进措施及建议</w:t>
      </w:r>
    </w:p>
    <w:p w14:paraId="6225D9D3">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建议：加强与各单位的联系和协作，发挥社会参与功能，整合社会资源，优化资源配置，建立监督机制，加大奖惩力度；加强对单位的队伍建设和业务指导，培养项目和部门的绩效管理人员，建立绩效评价的长期机制。</w:t>
      </w:r>
    </w:p>
    <w:p w14:paraId="0DB11147">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1</w:t>
      </w:r>
    </w:p>
    <w:p w14:paraId="4B31CBD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成本效益分析报告</w:t>
      </w:r>
    </w:p>
    <w:p w14:paraId="373890FD">
      <w:pPr>
        <w:topLinePunct/>
        <w:spacing w:line="560" w:lineRule="exact"/>
        <w:ind w:firstLine="525" w:firstLineChars="250"/>
        <w:rPr>
          <w:rFonts w:ascii="Times New Roman" w:hAnsi="Times New Roman" w:eastAsia="仿宋" w:cs="Times New Roman"/>
          <w:szCs w:val="32"/>
        </w:rPr>
      </w:pPr>
      <w:r>
        <w:rPr>
          <w:rFonts w:ascii="Times New Roman" w:hAnsi="Times New Roman" w:eastAsia="仿宋" w:cs="Times New Roman"/>
          <w:szCs w:val="32"/>
        </w:rPr>
        <w:t>1.经济性分析</w:t>
      </w:r>
    </w:p>
    <w:p w14:paraId="7D718457">
      <w:pPr>
        <w:topLinePunct/>
        <w:spacing w:line="560" w:lineRule="exact"/>
        <w:ind w:firstLine="525" w:firstLineChars="250"/>
        <w:rPr>
          <w:rFonts w:ascii="Times New Roman" w:hAnsi="Times New Roman" w:eastAsia="仿宋" w:cs="Times New Roman"/>
          <w:szCs w:val="32"/>
        </w:rPr>
      </w:pPr>
      <w:r>
        <w:rPr>
          <w:rFonts w:ascii="Times New Roman" w:hAnsi="Times New Roman" w:eastAsia="仿宋" w:cs="Times New Roman"/>
          <w:szCs w:val="32"/>
        </w:rPr>
        <w:t>寻甸回族彝族自治县</w:t>
      </w:r>
      <w:r>
        <w:rPr>
          <w:rFonts w:hint="eastAsia" w:ascii="Times New Roman" w:hAnsi="Times New Roman" w:eastAsia="仿宋" w:cs="Times New Roman"/>
          <w:szCs w:val="32"/>
        </w:rPr>
        <w:t>融媒体中心</w:t>
      </w:r>
      <w:r>
        <w:rPr>
          <w:rFonts w:ascii="Times New Roman" w:hAnsi="Times New Roman" w:eastAsia="仿宋" w:cs="Times New Roman"/>
          <w:szCs w:val="32"/>
        </w:rPr>
        <w:t>依据实有在编人员并参照上年度目标责任下达的目标任务和</w:t>
      </w:r>
      <w:r>
        <w:rPr>
          <w:rFonts w:hint="eastAsia" w:ascii="Times New Roman" w:hAnsi="Times New Roman" w:eastAsia="仿宋" w:cs="Times New Roman"/>
          <w:szCs w:val="32"/>
          <w:lang w:eastAsia="zh-CN"/>
        </w:rPr>
        <w:t>2024</w:t>
      </w:r>
      <w:r>
        <w:rPr>
          <w:rFonts w:ascii="Times New Roman" w:hAnsi="Times New Roman" w:eastAsia="仿宋" w:cs="Times New Roman"/>
          <w:szCs w:val="32"/>
        </w:rPr>
        <w:t>年度工作计划编制预算，确保预算编制合理。</w:t>
      </w:r>
    </w:p>
    <w:p w14:paraId="379E447F">
      <w:pPr>
        <w:pStyle w:val="3"/>
        <w:spacing w:line="580" w:lineRule="exact"/>
        <w:ind w:firstLine="420" w:firstLineChars="200"/>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lang w:eastAsia="zh-CN"/>
        </w:rPr>
        <w:t>（</w:t>
      </w:r>
      <w:r>
        <w:rPr>
          <w:rFonts w:hint="eastAsia" w:ascii="Times New Roman" w:hAnsi="Times New Roman" w:eastAsia="仿宋_GB2312" w:cs="Times New Roman"/>
          <w:color w:val="000000" w:themeColor="text1"/>
          <w:lang w:val="en-US" w:eastAsia="zh-CN"/>
        </w:rPr>
        <w:t>1</w:t>
      </w:r>
      <w:r>
        <w:rPr>
          <w:rFonts w:hint="eastAsia" w:ascii="Times New Roman" w:hAnsi="Times New Roman" w:eastAsia="仿宋_GB2312" w:cs="Times New Roman"/>
          <w:color w:val="000000" w:themeColor="text1"/>
          <w:lang w:eastAsia="zh-CN"/>
        </w:rPr>
        <w:t>）</w:t>
      </w:r>
      <w:r>
        <w:rPr>
          <w:rFonts w:ascii="Times New Roman" w:hAnsi="Times New Roman" w:eastAsia="仿宋_GB2312" w:cs="Times New Roman"/>
          <w:color w:val="000000" w:themeColor="text1"/>
        </w:rPr>
        <w:t>收入情况：</w:t>
      </w:r>
    </w:p>
    <w:p w14:paraId="01F3B007">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szCs w:val="21"/>
        </w:rPr>
        <w:t>万元。其中：县财政拨款</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szCs w:val="21"/>
        </w:rPr>
        <w:t>万元。</w:t>
      </w:r>
    </w:p>
    <w:p w14:paraId="3E162B83">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w:t>
      </w:r>
      <w:r>
        <w:rPr>
          <w:rFonts w:hint="eastAsia" w:ascii="Times New Roman" w:hAnsi="Times New Roman" w:eastAsia="仿宋_GB2312" w:cs="Times New Roman"/>
          <w:color w:val="000000" w:themeColor="text1"/>
          <w:szCs w:val="21"/>
          <w:lang w:val="en-US" w:eastAsia="zh-CN"/>
        </w:rPr>
        <w:t>2</w:t>
      </w:r>
      <w:r>
        <w:rPr>
          <w:rFonts w:hint="eastAsia" w:ascii="Times New Roman" w:hAnsi="Times New Roman" w:eastAsia="仿宋_GB2312" w:cs="Times New Roman"/>
          <w:color w:val="000000" w:themeColor="text1"/>
          <w:szCs w:val="21"/>
          <w:lang w:eastAsia="zh-CN"/>
        </w:rPr>
        <w:t>）</w:t>
      </w:r>
      <w:r>
        <w:rPr>
          <w:rFonts w:ascii="Times New Roman" w:hAnsi="Times New Roman" w:eastAsia="仿宋_GB2312" w:cs="Times New Roman"/>
          <w:color w:val="000000" w:themeColor="text1"/>
          <w:szCs w:val="21"/>
        </w:rPr>
        <w:t>支出情况：</w:t>
      </w:r>
    </w:p>
    <w:p w14:paraId="0A67BF9B">
      <w:pPr>
        <w:spacing w:line="580" w:lineRule="exact"/>
        <w:ind w:firstLine="420" w:firstLineChars="200"/>
        <w:rPr>
          <w:rFonts w:ascii="Times New Roman" w:hAnsi="Times New Roman" w:eastAsia="仿宋" w:cs="Times New Roman"/>
          <w:szCs w:val="32"/>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szCs w:val="21"/>
        </w:rPr>
        <w:t>万元。其中：</w:t>
      </w:r>
      <w:r>
        <w:rPr>
          <w:rFonts w:hint="eastAsia" w:ascii="Times New Roman" w:hAnsi="Times New Roman" w:eastAsia="仿宋_GB2312" w:cs="Times New Roman"/>
          <w:color w:val="000000" w:themeColor="text1"/>
          <w:szCs w:val="21"/>
        </w:rPr>
        <w:t>工资福利</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324.13</w:t>
      </w:r>
      <w:r>
        <w:rPr>
          <w:rFonts w:hint="eastAsia" w:ascii="Times New Roman" w:hAnsi="Times New Roman" w:eastAsia="仿宋_GB2312" w:cs="Times New Roman"/>
          <w:color w:val="000000" w:themeColor="text1"/>
          <w:szCs w:val="21"/>
        </w:rPr>
        <w:t>万</w:t>
      </w:r>
      <w:r>
        <w:rPr>
          <w:rFonts w:ascii="Times New Roman" w:hAnsi="Times New Roman" w:eastAsia="仿宋_GB2312" w:cs="Times New Roman"/>
          <w:color w:val="000000" w:themeColor="text1"/>
          <w:szCs w:val="21"/>
        </w:rPr>
        <w:t>元；</w:t>
      </w:r>
      <w:r>
        <w:rPr>
          <w:rFonts w:hint="eastAsia" w:ascii="Times New Roman" w:hAnsi="Times New Roman" w:eastAsia="仿宋_GB2312" w:cs="Times New Roman"/>
          <w:color w:val="000000" w:themeColor="text1"/>
          <w:szCs w:val="21"/>
        </w:rPr>
        <w:t>商品和服务</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52.09万元；对个人和家庭的补助78.95万元；资本性支出79.91万元。</w:t>
      </w:r>
    </w:p>
    <w:p w14:paraId="39125AED">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2.效率性分析</w:t>
      </w:r>
    </w:p>
    <w:p w14:paraId="2D11318F">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工资由县财政按月直接支付，商品和服务支出、对个人和家庭的补助按预算进度执行，预算执行率100%。</w:t>
      </w:r>
    </w:p>
    <w:p w14:paraId="7E0D40B9">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3.效益性分析</w:t>
      </w:r>
    </w:p>
    <w:p w14:paraId="065F60DE">
      <w:pPr>
        <w:topLinePunct/>
        <w:spacing w:line="560" w:lineRule="exact"/>
        <w:ind w:firstLine="525" w:firstLineChars="250"/>
        <w:rPr>
          <w:rFonts w:ascii="Times New Roman" w:hAnsi="Times New Roman" w:eastAsia="仿宋" w:cs="Times New Roman"/>
          <w:color w:val="000000" w:themeColor="text1"/>
          <w:szCs w:val="32"/>
        </w:rPr>
      </w:pPr>
      <w:r>
        <w:rPr>
          <w:rFonts w:hint="eastAsia" w:ascii="Times New Roman" w:hAnsi="Times New Roman" w:eastAsia="仿宋" w:cs="Times New Roman"/>
          <w:color w:val="000000" w:themeColor="text1"/>
          <w:szCs w:val="32"/>
          <w:lang w:eastAsia="zh-CN"/>
        </w:rPr>
        <w:t>2024</w:t>
      </w:r>
      <w:r>
        <w:rPr>
          <w:rFonts w:ascii="Times New Roman" w:hAnsi="Times New Roman" w:eastAsia="仿宋" w:cs="Times New Roman"/>
          <w:color w:val="000000" w:themeColor="text1"/>
          <w:szCs w:val="32"/>
        </w:rPr>
        <w:t>年寻甸回族彝族自治县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围绕目标责任开展工作，完善措施，狠抓管理，确保各项任务得以顺利完成，并取得了一定的经济效益和</w:t>
      </w:r>
      <w:r>
        <w:rPr>
          <w:rFonts w:hint="eastAsia" w:ascii="Times New Roman" w:hAnsi="Times New Roman" w:eastAsia="仿宋" w:cs="Times New Roman"/>
          <w:color w:val="000000" w:themeColor="text1"/>
          <w:szCs w:val="32"/>
        </w:rPr>
        <w:t>社会</w:t>
      </w:r>
      <w:r>
        <w:rPr>
          <w:rFonts w:ascii="Times New Roman" w:hAnsi="Times New Roman" w:eastAsia="仿宋" w:cs="Times New Roman"/>
          <w:color w:val="000000" w:themeColor="text1"/>
          <w:szCs w:val="32"/>
        </w:rPr>
        <w:t>效益。</w:t>
      </w:r>
    </w:p>
    <w:p w14:paraId="3CC31113">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（1）经济效益</w:t>
      </w:r>
    </w:p>
    <w:p w14:paraId="6DF2DB4B">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hint="eastAsia" w:ascii="仿宋" w:hAnsi="仿宋" w:eastAsia="仿宋" w:cs="Times New Roman"/>
          <w:color w:val="000000" w:themeColor="text1"/>
          <w:szCs w:val="21"/>
        </w:rPr>
        <w:t>及时宣传报道县内政治、经济、文化、社会、生态和党的建设等各方面工作中的新闻信息，</w:t>
      </w:r>
      <w:r>
        <w:rPr>
          <w:rFonts w:hint="eastAsia" w:ascii="Times New Roman" w:hAnsi="Times New Roman" w:eastAsia="仿宋" w:cs="Times New Roman"/>
          <w:color w:val="000000" w:themeColor="text1"/>
          <w:szCs w:val="32"/>
        </w:rPr>
        <w:t>广告</w:t>
      </w:r>
      <w:r>
        <w:rPr>
          <w:rFonts w:ascii="Times New Roman" w:hAnsi="Times New Roman" w:eastAsia="仿宋" w:cs="Times New Roman"/>
          <w:color w:val="000000" w:themeColor="text1"/>
          <w:szCs w:val="32"/>
        </w:rPr>
        <w:t>营业收入稳步增长。</w:t>
      </w:r>
    </w:p>
    <w:p w14:paraId="3F4FB3E6">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（2）社会效益</w:t>
      </w:r>
    </w:p>
    <w:p w14:paraId="25D8E0AD">
      <w:pPr>
        <w:topLinePunct/>
        <w:spacing w:line="560" w:lineRule="exact"/>
        <w:ind w:firstLine="525" w:firstLineChars="250"/>
        <w:rPr>
          <w:rFonts w:hint="eastAsia" w:ascii="仿宋_GB2312" w:eastAsia="仿宋_GB2312"/>
          <w:szCs w:val="21"/>
          <w:lang w:eastAsia="zh-CN"/>
        </w:rPr>
      </w:pPr>
      <w:r>
        <w:rPr>
          <w:rFonts w:hint="eastAsia" w:ascii="仿宋_GB2312" w:hAnsi="仿宋" w:eastAsia="仿宋_GB2312" w:cs="宋体"/>
          <w:color w:val="000000" w:themeColor="text1"/>
          <w:szCs w:val="21"/>
        </w:rPr>
        <w:t>①</w:t>
      </w:r>
      <w:r>
        <w:rPr>
          <w:rFonts w:hint="eastAsia" w:ascii="仿宋_GB2312" w:eastAsia="仿宋_GB2312"/>
          <w:szCs w:val="21"/>
          <w:lang w:eastAsia="zh-CN"/>
        </w:rPr>
        <w:t>在今年的宣传报道中，主要围绕乡村振兴、产业发展、文化旅游、“创文”成果、“三变改革”等县委、县政府中心工作，在电视端《寻甸新闻》中全面展示我县重点工作推进、经验成效、特色亮点。</w:t>
      </w:r>
      <w:r>
        <w:rPr>
          <w:rFonts w:hint="eastAsia" w:ascii="仿宋_GB2312" w:eastAsia="仿宋_GB2312"/>
          <w:szCs w:val="21"/>
          <w:lang w:val="en-US" w:eastAsia="zh-CN"/>
        </w:rPr>
        <w:t>截至10月25日，共播出新闻237组、采写新闻稿件1196篇</w:t>
      </w:r>
      <w:r>
        <w:rPr>
          <w:rFonts w:hint="eastAsia" w:ascii="仿宋_GB2312" w:eastAsia="仿宋_GB2312"/>
          <w:szCs w:val="21"/>
          <w:lang w:eastAsia="zh-CN"/>
        </w:rPr>
        <w:t>；</w:t>
      </w:r>
    </w:p>
    <w:p w14:paraId="30140228">
      <w:pPr>
        <w:topLinePunct/>
        <w:spacing w:line="560" w:lineRule="exact"/>
        <w:ind w:firstLine="525" w:firstLineChars="250"/>
        <w:rPr>
          <w:rFonts w:hint="eastAsia" w:ascii="仿宋_GB2312" w:eastAsia="仿宋_GB2312"/>
          <w:szCs w:val="21"/>
          <w:lang w:val="en-US" w:eastAsia="zh-CN"/>
        </w:rPr>
      </w:pPr>
      <w:r>
        <w:rPr>
          <w:rFonts w:hint="eastAsia" w:ascii="仿宋_GB2312" w:hAnsi="仿宋" w:eastAsia="仿宋_GB2312" w:cs="宋体"/>
          <w:color w:val="000000" w:themeColor="text1"/>
          <w:szCs w:val="21"/>
        </w:rPr>
        <w:t>②</w:t>
      </w:r>
      <w:r>
        <w:rPr>
          <w:rFonts w:hint="eastAsia" w:ascii="仿宋_GB2312" w:hAnsi="仿宋" w:eastAsia="仿宋_GB2312" w:cs="宋体"/>
          <w:color w:val="000000" w:themeColor="text1"/>
          <w:szCs w:val="21"/>
          <w:lang w:eastAsia="zh-CN"/>
        </w:rPr>
        <w:t>2024</w:t>
      </w:r>
      <w:r>
        <w:rPr>
          <w:rFonts w:hint="eastAsia" w:ascii="仿宋_GB2312" w:hAnsi="仿宋" w:eastAsia="仿宋_GB2312" w:cs="宋体"/>
          <w:color w:val="000000" w:themeColor="text1"/>
          <w:szCs w:val="21"/>
        </w:rPr>
        <w:t>年度</w:t>
      </w:r>
      <w:r>
        <w:rPr>
          <w:rFonts w:hint="eastAsia" w:ascii="仿宋_GB2312" w:eastAsia="仿宋_GB2312"/>
          <w:szCs w:val="21"/>
          <w:lang w:eastAsia="zh-CN"/>
        </w:rPr>
        <w:t>，</w:t>
      </w:r>
      <w:r>
        <w:rPr>
          <w:rFonts w:hint="eastAsia" w:ascii="仿宋_GB2312" w:eastAsia="仿宋_GB2312"/>
          <w:szCs w:val="21"/>
          <w:lang w:val="en-US" w:eastAsia="zh-CN"/>
        </w:rPr>
        <w:t>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w:t>
      </w:r>
    </w:p>
    <w:p w14:paraId="2E517121">
      <w:pPr>
        <w:topLinePunct/>
        <w:spacing w:line="560" w:lineRule="exact"/>
        <w:ind w:firstLine="525" w:firstLineChars="250"/>
        <w:rPr>
          <w:rFonts w:hint="eastAsia" w:ascii="仿宋_GB2312" w:hAnsi="仿宋" w:eastAsia="仿宋_GB2312" w:cs="宋体"/>
          <w:color w:val="000000" w:themeColor="text1"/>
          <w:szCs w:val="21"/>
          <w:lang w:eastAsia="zh-CN"/>
        </w:rPr>
      </w:pPr>
      <w:r>
        <w:rPr>
          <w:rFonts w:hint="eastAsia" w:ascii="仿宋_GB2312" w:hAnsi="仿宋" w:eastAsia="仿宋_GB2312" w:cs="宋体"/>
          <w:color w:val="000000" w:themeColor="text1"/>
          <w:szCs w:val="21"/>
        </w:rPr>
        <w:t>③</w:t>
      </w:r>
      <w:r>
        <w:rPr>
          <w:rFonts w:hint="eastAsia" w:ascii="仿宋_GB2312" w:hAnsi="仿宋" w:eastAsia="仿宋_GB2312" w:cs="宋体"/>
          <w:color w:val="000000" w:themeColor="text1"/>
          <w:szCs w:val="21"/>
          <w:lang w:eastAsia="zh-CN"/>
        </w:rPr>
        <w:t>今年县融媒体中心组织了1次安全播出演练学习，1次网络安全知识学习，2场次直播，完成两次索尼设备全面检修，完成各项设备的调试工作，完成各重保期重保任务，实现高标清同步播出，解决CCTCV1备用信号接入难题，新接入一路电信CCTV1备用信号；</w:t>
      </w:r>
    </w:p>
    <w:p w14:paraId="6EE9BBF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ascii="仿宋_GB2312" w:hAnsi="仿宋" w:eastAsia="仿宋_GB2312" w:cs="宋体"/>
          <w:color w:val="000000" w:themeColor="text1"/>
          <w:szCs w:val="21"/>
        </w:rPr>
      </w:pPr>
      <w:r>
        <w:rPr>
          <w:rFonts w:hint="eastAsia" w:ascii="仿宋_GB2312" w:hAnsi="仿宋" w:eastAsia="仿宋_GB2312" w:cs="宋体"/>
          <w:color w:val="000000" w:themeColor="text1"/>
          <w:szCs w:val="21"/>
        </w:rPr>
        <w:t>④</w:t>
      </w:r>
      <w:r>
        <w:rPr>
          <w:rFonts w:hint="eastAsia" w:ascii="仿宋_GB2312" w:hAnsi="仿宋" w:eastAsia="仿宋_GB2312" w:cs="宋体"/>
          <w:color w:val="000000" w:themeColor="text1"/>
          <w:szCs w:val="21"/>
          <w:lang w:val="en-US" w:eastAsia="zh-CN"/>
        </w:rPr>
        <w:t>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3A1ED5A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 w:eastAsia="仿宋_GB2312" w:cs="宋体"/>
          <w:color w:val="000000" w:themeColor="text1"/>
          <w:szCs w:val="21"/>
          <w:lang w:val="en-US" w:eastAsia="zh-CN"/>
        </w:rPr>
      </w:pPr>
      <w:r>
        <w:rPr>
          <w:rFonts w:hint="eastAsia" w:ascii="仿宋_GB2312" w:hAnsi="仿宋" w:eastAsia="仿宋_GB2312" w:cs="宋体"/>
          <w:color w:val="000000" w:themeColor="text1"/>
          <w:szCs w:val="21"/>
        </w:rPr>
        <w:t>⑤</w:t>
      </w:r>
      <w:r>
        <w:rPr>
          <w:rFonts w:hint="eastAsia" w:ascii="仿宋_GB2312" w:hAnsi="仿宋" w:eastAsia="仿宋_GB2312" w:cs="宋体"/>
          <w:color w:val="000000" w:themeColor="text1"/>
          <w:szCs w:val="21"/>
          <w:lang w:val="en-US" w:eastAsia="zh-CN"/>
        </w:rPr>
        <w:t>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526CB25A">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w:t>
      </w:r>
      <w:r>
        <w:rPr>
          <w:rFonts w:hint="eastAsia" w:ascii="Times New Roman" w:hAnsi="Times New Roman" w:eastAsia="仿宋" w:cs="Times New Roman"/>
          <w:color w:val="000000" w:themeColor="text1"/>
          <w:szCs w:val="32"/>
        </w:rPr>
        <w:t>3</w:t>
      </w:r>
      <w:r>
        <w:rPr>
          <w:rFonts w:ascii="Times New Roman" w:hAnsi="Times New Roman" w:eastAsia="仿宋" w:cs="Times New Roman"/>
          <w:color w:val="000000" w:themeColor="text1"/>
          <w:szCs w:val="32"/>
        </w:rPr>
        <w:t>）社会公众满意度</w:t>
      </w:r>
    </w:p>
    <w:p w14:paraId="438CAB77">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通过对</w:t>
      </w:r>
      <w:r>
        <w:rPr>
          <w:rFonts w:hint="eastAsia" w:ascii="Times New Roman" w:hAnsi="Times New Roman" w:eastAsia="仿宋" w:cs="Times New Roman"/>
          <w:color w:val="000000" w:themeColor="text1"/>
          <w:szCs w:val="32"/>
        </w:rPr>
        <w:t>50</w:t>
      </w:r>
      <w:r>
        <w:rPr>
          <w:rFonts w:ascii="Times New Roman" w:hAnsi="Times New Roman" w:eastAsia="仿宋" w:cs="Times New Roman"/>
          <w:color w:val="000000" w:themeColor="text1"/>
          <w:szCs w:val="32"/>
        </w:rPr>
        <w:t>份社会公众或服务对象满意度调查问卷统计分析，服务对象对寻甸回族彝族自治县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工作开展情况比较满意</w:t>
      </w:r>
      <w:r>
        <w:rPr>
          <w:rFonts w:ascii="Times New Roman" w:hAnsi="Times New Roman" w:eastAsia="仿宋" w:cs="Times New Roman"/>
          <w:color w:val="auto"/>
          <w:szCs w:val="32"/>
        </w:rPr>
        <w:t>，得分</w:t>
      </w:r>
      <w:r>
        <w:rPr>
          <w:rFonts w:hint="eastAsia" w:ascii="Times New Roman" w:hAnsi="Times New Roman" w:eastAsia="仿宋" w:cs="Times New Roman"/>
          <w:color w:val="auto"/>
          <w:szCs w:val="32"/>
          <w:lang w:val="en-US" w:eastAsia="zh-CN"/>
        </w:rPr>
        <w:t>98.67</w:t>
      </w:r>
      <w:r>
        <w:rPr>
          <w:rFonts w:ascii="Times New Roman" w:hAnsi="Times New Roman" w:eastAsia="仿宋" w:cs="Times New Roman"/>
          <w:szCs w:val="32"/>
        </w:rPr>
        <w:t>分。</w:t>
      </w:r>
    </w:p>
    <w:p w14:paraId="36A358BC">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4.可持续性分析</w:t>
      </w:r>
    </w:p>
    <w:p w14:paraId="28F2ABC5">
      <w:pPr>
        <w:topLinePunct/>
        <w:spacing w:line="520" w:lineRule="exact"/>
        <w:ind w:firstLine="420" w:firstLineChars="200"/>
        <w:rPr>
          <w:rFonts w:ascii="Times New Roman" w:hAnsi="Times New Roman" w:eastAsia="仿宋_GB2312" w:cs="Times New Roman"/>
          <w:color w:val="000000" w:themeColor="text1"/>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作为县政府工作部门，</w:t>
      </w:r>
      <w:r>
        <w:rPr>
          <w:rFonts w:hint="eastAsia" w:ascii="仿宋" w:hAnsi="仿宋" w:eastAsia="仿宋" w:cs="Times New Roman"/>
          <w:color w:val="000000" w:themeColor="text1"/>
          <w:szCs w:val="32"/>
        </w:rPr>
        <w:t>负责县级广播电视节目的采集、编辑、制作和播出;负责县级新媒体信息的采集、编辑、制作和传播;负责公益广告的策划、制作及播出;负责全县通联工作，及时向上级新闻媒体提供全县有报道价值的新闻线索，抓好通讯员队伍、网点建设，做好新闻工作者的思想政治工作;负责组织参加各类媒体协会的新闻评奖、评优活动。</w:t>
      </w:r>
      <w:r>
        <w:rPr>
          <w:rFonts w:ascii="Times New Roman" w:hAnsi="Times New Roman" w:eastAsia="仿宋" w:cs="Times New Roman"/>
          <w:color w:val="000000" w:themeColor="text1"/>
          <w:szCs w:val="32"/>
        </w:rPr>
        <w:t>在今后的工作中，</w:t>
      </w:r>
      <w:r>
        <w:rPr>
          <w:rFonts w:hint="eastAsia" w:ascii="Times New Roman" w:hAnsi="Times New Roman" w:eastAsia="仿宋" w:cs="Times New Roman"/>
          <w:color w:val="000000" w:themeColor="text1"/>
          <w:szCs w:val="32"/>
        </w:rPr>
        <w:t>工作</w:t>
      </w:r>
      <w:r>
        <w:rPr>
          <w:rFonts w:ascii="Times New Roman" w:hAnsi="Times New Roman" w:eastAsia="仿宋" w:cs="Times New Roman"/>
          <w:color w:val="000000" w:themeColor="text1"/>
          <w:szCs w:val="32"/>
        </w:rPr>
        <w:t>将进一步完善，相关工作仍将持续开展；因此，基本支出得以保障，有助于调动人员积极性，保障寻甸回族彝族自治县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日常工作得以顺利开展；项目支出得以保障，有助于完成特定的</w:t>
      </w:r>
      <w:r>
        <w:rPr>
          <w:rFonts w:hint="eastAsia" w:ascii="Times New Roman" w:hAnsi="Times New Roman" w:eastAsia="仿宋" w:cs="Times New Roman"/>
          <w:color w:val="000000" w:themeColor="text1"/>
          <w:szCs w:val="32"/>
        </w:rPr>
        <w:t>新闻</w:t>
      </w:r>
      <w:r>
        <w:rPr>
          <w:rFonts w:ascii="Times New Roman" w:hAnsi="Times New Roman" w:eastAsia="仿宋" w:cs="Times New Roman"/>
          <w:color w:val="000000" w:themeColor="text1"/>
          <w:szCs w:val="32"/>
        </w:rPr>
        <w:t>工作任务或事业发展目标，有助于各项政策得到进一步实施，将进一步有效促进社会持续和谐发展。</w:t>
      </w:r>
    </w:p>
    <w:p w14:paraId="17CCB465">
      <w:pPr>
        <w:spacing w:line="520" w:lineRule="exact"/>
        <w:rPr>
          <w:rFonts w:ascii="Times New Roman" w:hAnsi="Times New Roman" w:eastAsia="仿宋_GB2312" w:cs="Times New Roman"/>
          <w:color w:val="000000" w:themeColor="text1"/>
        </w:rPr>
      </w:pPr>
    </w:p>
    <w:p w14:paraId="2928C033">
      <w:pPr>
        <w:spacing w:line="520" w:lineRule="exact"/>
        <w:rPr>
          <w:rFonts w:ascii="Times New Roman" w:hAnsi="Times New Roman" w:eastAsia="仿宋_GB2312" w:cs="Times New Roman"/>
          <w:color w:val="000000" w:themeColor="text1"/>
        </w:rPr>
      </w:pPr>
    </w:p>
    <w:p w14:paraId="631CDBB9">
      <w:pPr>
        <w:spacing w:line="520" w:lineRule="exact"/>
        <w:rPr>
          <w:rFonts w:ascii="Times New Roman" w:hAnsi="Times New Roman" w:eastAsia="仿宋_GB2312" w:cs="Times New Roman"/>
          <w:color w:val="000000" w:themeColor="text1"/>
        </w:rPr>
      </w:pPr>
    </w:p>
    <w:p w14:paraId="4779EEC4">
      <w:pPr>
        <w:spacing w:line="520" w:lineRule="exac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2</w:t>
      </w:r>
    </w:p>
    <w:p w14:paraId="2FAA3920">
      <w:pPr>
        <w:spacing w:line="60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部门职能分解及</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年度工作完成情况</w:t>
      </w:r>
    </w:p>
    <w:p w14:paraId="3A41926E">
      <w:pPr>
        <w:spacing w:line="600" w:lineRule="exact"/>
        <w:ind w:firstLine="420" w:firstLineChars="200"/>
        <w:jc w:val="left"/>
        <w:rPr>
          <w:rFonts w:ascii="仿宋_GB2312" w:hAnsi="华文中宋" w:eastAsia="仿宋_GB2312"/>
          <w:szCs w:val="21"/>
        </w:rPr>
      </w:pPr>
      <w:r>
        <w:rPr>
          <w:rFonts w:hint="eastAsia" w:ascii="仿宋_GB2312" w:hAnsi="仿宋" w:eastAsia="仿宋_GB2312"/>
          <w:szCs w:val="21"/>
          <w:lang w:val="en-US" w:eastAsia="zh-CN"/>
        </w:rPr>
        <w:t>2024年，县融媒体中心在县委、县政府的正确领导下，以学习宣传贯彻党的二十大精神为主线，紧紧围绕县委、县政府中心工作，坚持正确的政治方向、舆论导向和价值取向，在实践中坚持融合、发展、管理并进，不断提高新闻信息生产、传播、服务能力，更好地发挥了舆论的引导功能，不断推动媒体融合向纵深发展，真正实现了“一次性采集、多渠道发布、快速度传播、广覆盖受众”格局。</w:t>
      </w:r>
      <w:r>
        <w:rPr>
          <w:rFonts w:hint="eastAsia" w:ascii="仿宋_GB2312" w:hAnsi="仿宋" w:eastAsia="仿宋_GB2312"/>
          <w:szCs w:val="21"/>
        </w:rPr>
        <w:t>现将</w:t>
      </w:r>
      <w:r>
        <w:rPr>
          <w:rFonts w:hint="eastAsia" w:ascii="仿宋_GB2312" w:hAnsi="仿宋" w:eastAsia="仿宋_GB2312"/>
          <w:szCs w:val="21"/>
          <w:lang w:eastAsia="zh-CN"/>
        </w:rPr>
        <w:t>2024</w:t>
      </w:r>
      <w:r>
        <w:rPr>
          <w:rFonts w:hint="eastAsia" w:ascii="仿宋_GB2312" w:hAnsi="仿宋" w:eastAsia="仿宋_GB2312"/>
          <w:szCs w:val="21"/>
        </w:rPr>
        <w:t>年工作总结如下：</w:t>
      </w:r>
      <w:r>
        <w:rPr>
          <w:rFonts w:hint="eastAsia" w:ascii="仿宋_GB2312" w:hAnsi="Times New Roman" w:eastAsia="仿宋_GB2312" w:cs="Times New Roman"/>
          <w:color w:val="000000" w:themeColor="text1"/>
          <w:szCs w:val="21"/>
        </w:rPr>
        <w:t xml:space="preserve"> </w:t>
      </w:r>
    </w:p>
    <w:p w14:paraId="598926A4">
      <w:pPr>
        <w:spacing w:line="600" w:lineRule="exact"/>
        <w:ind w:firstLine="420" w:firstLineChars="200"/>
        <w:jc w:val="left"/>
        <w:rPr>
          <w:rFonts w:ascii="仿宋_GB2312" w:hAnsi="黑体" w:eastAsia="仿宋_GB2312" w:cs="仿宋"/>
          <w:color w:val="000000"/>
          <w:szCs w:val="21"/>
        </w:rPr>
      </w:pPr>
      <w:r>
        <w:rPr>
          <w:rFonts w:hint="eastAsia" w:ascii="仿宋_GB2312" w:hAnsi="黑体" w:eastAsia="仿宋_GB2312" w:cs="仿宋"/>
          <w:color w:val="000000"/>
          <w:szCs w:val="21"/>
        </w:rPr>
        <w:t>工作完成情况：</w:t>
      </w:r>
    </w:p>
    <w:p w14:paraId="20D90693">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（一）</w:t>
      </w:r>
      <w:r>
        <w:rPr>
          <w:rFonts w:hint="eastAsia" w:ascii="仿宋_GB2312" w:eastAsia="仿宋_GB2312"/>
          <w:szCs w:val="21"/>
        </w:rPr>
        <w:t>守正创新，凝聚力量</w:t>
      </w:r>
    </w:p>
    <w:p w14:paraId="12E64408">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县融媒体中心紧扣全县工作大局，引领新舆论、唱响主旋律、弘扬正能量，为全县经济社会发展凝聚强大精神力量。精心策划，深入采访，推出一系列有深度、有影响力的电视新闻报道，并积极探索新媒体报道方式，通过微信公众号、微博、抖音等平台发布信息，以更加生动、直观的形式展现新闻内容，全面展示了寻甸重点工作推进、经验成效、特色亮点，以进一步全面深化改革引领高质量“五区一城”建设，为实现县委“55111”奋斗目标、谱写中国式现代化寻甸篇章提供强大舆论支持。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w:t>
      </w:r>
    </w:p>
    <w:p w14:paraId="24591324">
      <w:pPr>
        <w:spacing w:line="600" w:lineRule="exact"/>
        <w:ind w:firstLine="420" w:firstLineChars="200"/>
        <w:jc w:val="left"/>
        <w:rPr>
          <w:rFonts w:hint="eastAsia" w:ascii="仿宋_GB2312" w:eastAsia="仿宋_GB2312"/>
          <w:szCs w:val="21"/>
        </w:rPr>
      </w:pPr>
      <w:r>
        <w:rPr>
          <w:rFonts w:hint="eastAsia" w:ascii="仿宋_GB2312" w:eastAsia="仿宋_GB2312"/>
          <w:szCs w:val="21"/>
        </w:rPr>
        <w:t>（二）强化阵地管理，落实主体责任</w:t>
      </w:r>
    </w:p>
    <w:p w14:paraId="622105A0">
      <w:pPr>
        <w:spacing w:line="600" w:lineRule="exact"/>
        <w:ind w:firstLine="420" w:firstLineChars="200"/>
        <w:jc w:val="left"/>
        <w:rPr>
          <w:rFonts w:hint="eastAsia" w:ascii="仿宋_GB2312" w:eastAsia="仿宋_GB2312"/>
          <w:szCs w:val="21"/>
          <w:lang w:eastAsia="zh-CN"/>
        </w:rPr>
      </w:pPr>
      <w:r>
        <w:rPr>
          <w:rFonts w:hint="eastAsia" w:ascii="仿宋_GB2312" w:eastAsia="仿宋_GB2312"/>
          <w:szCs w:val="21"/>
          <w:lang w:val="en-US" w:eastAsia="zh-CN"/>
        </w:rPr>
        <w:t>1.贯彻落实意识形态责任制。</w:t>
      </w:r>
      <w:r>
        <w:rPr>
          <w:rFonts w:hint="eastAsia" w:ascii="仿宋_GB2312" w:eastAsia="仿宋_GB2312"/>
          <w:szCs w:val="21"/>
        </w:rPr>
        <w:t>中心高度重视意识形态工作，将意识形态工作纳入重要议事日程、纳入党建工作责任制、纳入干部目标管理，与主责主业同部署、同落实、同检查、同考核。切实落实意识形态工作主体责任，主要负责人履行“第一责任人”职责，分管负责人协助抓好统筹协调指导工作，严格执行“一岗双责”制度。</w:t>
      </w:r>
      <w:r>
        <w:rPr>
          <w:rFonts w:hint="eastAsia" w:ascii="仿宋_GB2312" w:eastAsia="仿宋_GB2312"/>
          <w:szCs w:val="21"/>
          <w:lang w:val="en-US" w:eastAsia="zh-CN"/>
        </w:rPr>
        <w:t>2.加强分析研判。</w:t>
      </w:r>
      <w:r>
        <w:rPr>
          <w:rFonts w:hint="eastAsia" w:ascii="仿宋_GB2312" w:eastAsia="仿宋_GB2312"/>
          <w:szCs w:val="21"/>
        </w:rPr>
        <w:t>严格落实《意识形态工作分析研判制度》，每</w:t>
      </w:r>
      <w:r>
        <w:rPr>
          <w:rFonts w:hint="eastAsia" w:ascii="仿宋_GB2312" w:eastAsia="仿宋_GB2312"/>
          <w:szCs w:val="21"/>
          <w:lang w:eastAsia="zh-CN"/>
        </w:rPr>
        <w:t>季度至少召开</w:t>
      </w:r>
      <w:r>
        <w:rPr>
          <w:rFonts w:hint="eastAsia" w:ascii="仿宋_GB2312" w:eastAsia="仿宋_GB2312"/>
          <w:szCs w:val="21"/>
          <w:lang w:val="en-US" w:eastAsia="zh-CN"/>
        </w:rPr>
        <w:t>1</w:t>
      </w:r>
      <w:r>
        <w:rPr>
          <w:rFonts w:hint="eastAsia" w:ascii="仿宋_GB2312" w:eastAsia="仿宋_GB2312"/>
          <w:szCs w:val="21"/>
        </w:rPr>
        <w:t>次专题研究部署。会上学习传达《习近平总书记关于意识形态工作的重要论述》等文件精神，阶段性总结当前意识形态工作开展情况，并开展研讨交流。同时，摸排意识形态领域三重包保方面存在的问题，围绕新闻导向、稿件审核、以职务身份在公开平台注册账号等方面开展自查自纠，全媒体平台均能严格落实播前三审、重播重审等制度等，严把节目审核关口</w:t>
      </w:r>
      <w:r>
        <w:rPr>
          <w:rFonts w:hint="eastAsia" w:ascii="仿宋_GB2312" w:eastAsia="仿宋_GB2312"/>
          <w:szCs w:val="21"/>
          <w:lang w:eastAsia="zh-CN"/>
        </w:rPr>
        <w:t>。</w:t>
      </w:r>
    </w:p>
    <w:p w14:paraId="14E2D265">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 xml:space="preserve">（三）立足本土，扩宽影响                                                                                                                                                                                                                                                                                                                                                                                                                                                                                                                                                                                                                                                                                                                                                                                                                                                                                                                                                                                                                                                                                                                                                                                                                                                                                                                                                                                                                                                                                                                                                                                                                                                                                                                   </w:t>
      </w:r>
    </w:p>
    <w:p w14:paraId="6BCC5F8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w:t>
      </w:r>
    </w:p>
    <w:p w14:paraId="39046CBC">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（四）强攻外宣，提升形象</w:t>
      </w:r>
    </w:p>
    <w:p w14:paraId="26CAB58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积极向中央和省、市级媒体推送寻甸选题、寻甸经验、寻甸亮点等外宣新闻稿件，随着信息科技发展速度的加快，传统媒体和新媒体逐步融合。县融媒体中心主动适应传播手段的变化，以优质内容为核心，以抢时效为抓手，提高宣传“速度”，做大做强寻甸融媒品牌。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w:t>
      </w:r>
    </w:p>
    <w:p w14:paraId="3CB11378">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（五）提高技术，狠抓安全播出</w:t>
      </w:r>
    </w:p>
    <w:p w14:paraId="3AA476AC">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2A59C3C3">
      <w:pPr>
        <w:spacing w:line="600" w:lineRule="exact"/>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（六）强化思想，服务大局</w:t>
      </w:r>
    </w:p>
    <w:p w14:paraId="0C69BE3F">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5F380B72">
      <w:pPr>
        <w:spacing w:line="600" w:lineRule="exact"/>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（七）扩宽渠道，强化“造血”</w:t>
      </w:r>
    </w:p>
    <w:p w14:paraId="2CA96DED">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6BA28458">
      <w:pPr>
        <w:spacing w:line="600" w:lineRule="exact"/>
        <w:ind w:firstLine="422" w:firstLineChars="200"/>
        <w:jc w:val="left"/>
        <w:rPr>
          <w:rFonts w:ascii="仿宋_GB2312" w:hAnsi="黑体" w:eastAsia="仿宋_GB2312" w:cs="黑体"/>
          <w:b/>
          <w:bCs/>
          <w:szCs w:val="21"/>
        </w:rPr>
      </w:pPr>
      <w:r>
        <w:rPr>
          <w:rFonts w:hint="eastAsia" w:ascii="仿宋_GB2312" w:hAnsi="黑体" w:eastAsia="仿宋_GB2312" w:cs="黑体"/>
          <w:b/>
          <w:bCs/>
          <w:szCs w:val="21"/>
        </w:rPr>
        <w:t>二、存在问题</w:t>
      </w:r>
    </w:p>
    <w:p w14:paraId="1C223940">
      <w:pPr>
        <w:spacing w:line="600" w:lineRule="exact"/>
        <w:ind w:firstLine="420" w:firstLineChars="200"/>
        <w:jc w:val="left"/>
        <w:rPr>
          <w:rFonts w:hint="eastAsia" w:ascii="仿宋_GB2312" w:eastAsia="仿宋_GB2312"/>
          <w:szCs w:val="21"/>
        </w:rPr>
      </w:pPr>
      <w:r>
        <w:rPr>
          <w:rFonts w:hint="eastAsia" w:ascii="仿宋_GB2312" w:eastAsia="仿宋_GB2312"/>
          <w:szCs w:val="21"/>
          <w:lang w:eastAsia="zh-CN"/>
        </w:rPr>
        <w:t>2024</w:t>
      </w:r>
      <w:r>
        <w:rPr>
          <w:rFonts w:hint="eastAsia" w:ascii="仿宋_GB2312" w:eastAsia="仿宋_GB2312"/>
          <w:szCs w:val="21"/>
        </w:rPr>
        <w:t>年，县融媒体中心在新闻宣传、安全播出、制度建设、运营创收等方面均取得了一定成绩，但仍然存在着一些不足，主要表现在媒体深度融合认识不足、学习和工作主动性不够；宣传力量尚显薄弱、平台影响力不均衡；队伍能力水平参差不齐，主动策划、创新意识不强；宣传机制和激励机制不够完善，无法有效调动工作积极性。在2024年，县融媒体中心将一如既往地坚持追求真实、客观、准确和有价值的新闻宣传报道，不断探索和创新报道方式，向受众全面展示寻甸发展成效，讲好寻甸故事。</w:t>
      </w:r>
    </w:p>
    <w:p w14:paraId="3732354B">
      <w:pPr>
        <w:spacing w:line="600" w:lineRule="exact"/>
        <w:ind w:firstLine="422" w:firstLineChars="200"/>
        <w:jc w:val="left"/>
        <w:rPr>
          <w:rFonts w:hint="eastAsia" w:ascii="仿宋_GB2312" w:hAnsi="黑体" w:eastAsia="仿宋_GB2312" w:cs="黑体"/>
          <w:b/>
          <w:bCs/>
          <w:szCs w:val="21"/>
        </w:rPr>
      </w:pPr>
      <w:r>
        <w:rPr>
          <w:rFonts w:hint="eastAsia" w:ascii="仿宋_GB2312" w:hAnsi="黑体" w:eastAsia="仿宋_GB2312" w:cs="黑体"/>
          <w:b/>
          <w:bCs/>
          <w:szCs w:val="21"/>
        </w:rPr>
        <w:t>三、</w:t>
      </w:r>
      <w:r>
        <w:rPr>
          <w:rFonts w:hint="eastAsia" w:ascii="仿宋_GB2312" w:hAnsi="黑体" w:eastAsia="仿宋_GB2312" w:cs="黑体"/>
          <w:b/>
          <w:bCs/>
          <w:szCs w:val="21"/>
          <w:lang w:eastAsia="zh-CN"/>
        </w:rPr>
        <w:t>2024</w:t>
      </w:r>
      <w:r>
        <w:rPr>
          <w:rFonts w:hint="eastAsia" w:ascii="仿宋_GB2312" w:hAnsi="黑体" w:eastAsia="仿宋_GB2312" w:cs="黑体"/>
          <w:b/>
          <w:bCs/>
          <w:szCs w:val="21"/>
        </w:rPr>
        <w:t>年工作打算</w:t>
      </w:r>
    </w:p>
    <w:p w14:paraId="311D56BF">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过去的一年，县融媒体中心以习近平新时代中国特色社会主义思想为指导，围绕县委、县政府及中心工作要求，把握正确舆论导向，筑牢意识形态主阵地，扎实抓好新闻宣传和舆论引导工作，各项工作稳步推进。在新的一年里，县融媒体中心将一如既往地坚持追求真实、客观、准确和有价值的宣传工作要求，不断探索和创新报道方式，向受众全面展示寻甸发展成效，讲好寻甸故事，为助力乡村振兴贡献力量。</w:t>
      </w:r>
    </w:p>
    <w:p w14:paraId="6E023561">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rPr>
        <w:t>（一）注重思想引领，加强意识形态教育。以习近平新时代中国特色社会主义思想为指导，全面贯彻落实党的二十大精神，从旗帜鲜明讲政治的高度全面推进意识形态责任制落实。</w:t>
      </w:r>
      <w:r>
        <w:rPr>
          <w:rFonts w:hint="eastAsia" w:ascii="仿宋_GB2312" w:eastAsia="仿宋_GB2312"/>
          <w:szCs w:val="21"/>
          <w:lang w:val="en-US"/>
        </w:rPr>
        <w:t>进一步完善落实安全播出、安全生产各项制度；加强安全播出、安全生产培训演练，排查安全隐患，提高职工安全保障意识和突发事件的应对处置能力；认真履行意识形态主体责任，增强“四个意识”、坚定“四个自信”、做到“两个维护”，严格执行“三审制”，严把政治导向关，做到不审不发、重播重审；加强新媒体管理，确保舆论导向正确。</w:t>
      </w:r>
    </w:p>
    <w:p w14:paraId="54F24E42">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二）注重宣传策划，提升媒体融合影响力。实施媒体矩阵构建工程，建设以“寻甸融媒”客户端和“寻甸融媒”微信公众号、“昆明寻甸发布”抖音号为引领，聚合引导各乡镇、县直单位、国有企业平台的新媒体宣传矩阵，第一时间获取新闻线索、丰富选题，建立媒体互动合作，进一步深化与全县各级各部门合作交流，实现资源共享、理念共享。坚持内容为王，继续实施微信公众号头条工程，用好关键时间节点、重要事件、重大主题，抓住热点，精心策划，争取2025年做到全年作品质量达到优良标准，作品在市级以上媒体发表数量同比增长5%；激发创新活力，鼓励团队创新思维，全年策划创新短视频，推出原创内容增加7%以上；拓宽宣传渠道，实现与微信、微博、抖音等平台的有效联动，提高全媒体传播效果；增强受众互动，通过线上线下活动，提高受众参与度，实现粉丝数量同比增长4%。</w:t>
      </w:r>
    </w:p>
    <w:p w14:paraId="28832C57">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三）提高业务水平，加大全媒体人才建设。全力推进机构改革固本、人才培养强基、考核管理创优工程，完善各项考核方案，建立健全中心奖励办法，推进全媒体人才队伍建设。不断完善人才培养内循环，打造“学习型”单位，做好新闻写作、视频拍摄、新技术使用等培训工作，以媒体融合“岗位大练兵业务大比武”为载体，以赛代练、以练促干，鼓励人才在不同平台、不同岗位之间交流学习，协作配合，推动全方位锻炼、全能型发展。着力提升新闻采编和发布能力，打造一支忠诚、干净、担当的新闻宣传队伍，通过加强内部培训和外部交流，提高全体干部职工的业务水平和综合素质，确保新闻报道的及时性、准确性和权威性，提升融媒体产品的质量和影响力。</w:t>
      </w:r>
    </w:p>
    <w:p w14:paraId="63D82CA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四）落实工作任务，坚决确保安全播出。警钟长鸣，安全保障。一是保障技术安全，坚持不懈抓制度保障，健全完善各类安播制度，不断加大应急处置执行力度，提高快速反应能力和处置突发事件的能力；明确岗位职责、层层落实，抓好硬件设施维护工作，落实应急广播及播出系统设备专业设备维护。二是保障新闻内容安全，严格执行“三审三校”制度，规范采、编、制、审、播流程。三是强化重要时段安全保障，不断完善安全刊播防控体系建设，坚决确保媒体安全、优质刊播。</w:t>
      </w:r>
    </w:p>
    <w:p w14:paraId="1C0CC8B7">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五）推进产业发展，提升自我造血机能。2025年，县融媒体中心坚持以习近平新时代中国特色社会主义思想为指导，深入学习贯彻党的二十大精神，紧紧围绕县委、县政府中心工作，充分发挥融县媒体中心外联部的作用，努力实现高质量发展。以服务大局、服务群众为宗旨，积极拓展宣传渠道，提升传播效果，为全县经济社会发展营造良好舆论氛围。以创新为动力，强化内部管理，提升团队素质，打造一支高素质、专业化的外联队伍。将继续对接老客户，拓展新客户，增强“造血”功能，力争创收在去年基础上增长6%以上，实现经营创收和新闻宣传两驾马车良性循环发展。加大人员业务能力培训，提升摄影摄像剪辑技术水平，紧跟时代步伐，满足客户需求，做好服务保障大局工作。</w:t>
      </w:r>
    </w:p>
    <w:p w14:paraId="7831303E">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六）拉高标杆，管理运行持续进步。在接下来的工作中，县融媒体中心将继续深入学习贯彻党的二十大精神和习近平新时代中国特色社会主义思想，不仅将其作为各项工作的根本遵循和行动指南，更要在实际工作中不断践行和体现这些精神与思想的核心要义。围绕县委、县政府的工作部署，充分发挥作为地方主流媒体和新闻宣传阵地的职能作用，通过创新报道形式、丰富报道内容、拓宽传播渠道等方式，全面推动媒体融合发展，确保新闻宣传工作的正确方向和有效传播。同时，中心将严格落实各项管理制度，加强对干部职工的监督和管理，确保各项工作依法依规进行，积极开展党风廉政教育活动，增强干部职工的廉洁自律意识，加强党风廉政建设营造风清气正的工作氛围。始终坚持党建引领，强化政治机关意识，把党的政治建设摆在首位，确保融媒体工作的正确政治方向。不断完善党建工作机制，加强党员队伍建设，提高党组织的凝聚力和战斗力，为推动媒体融合发展提供坚强的政治保障。</w:t>
      </w:r>
    </w:p>
    <w:p w14:paraId="78FEBB11">
      <w:pPr>
        <w:spacing w:line="600" w:lineRule="exact"/>
        <w:ind w:firstLine="420" w:firstLineChars="200"/>
        <w:jc w:val="left"/>
        <w:rPr>
          <w:rFonts w:hint="eastAsia" w:ascii="仿宋_GB2312" w:eastAsia="仿宋_GB2312"/>
          <w:szCs w:val="21"/>
          <w:lang w:val="en-US" w:eastAsia="zh-CN"/>
        </w:rPr>
      </w:pPr>
    </w:p>
    <w:p w14:paraId="101D622E">
      <w:pPr>
        <w:spacing w:line="600" w:lineRule="exact"/>
        <w:ind w:firstLine="420" w:firstLineChars="200"/>
        <w:jc w:val="left"/>
        <w:rPr>
          <w:rFonts w:hint="eastAsia" w:ascii="仿宋_GB2312" w:eastAsia="仿宋_GB2312"/>
          <w:szCs w:val="21"/>
          <w:lang w:val="en-US" w:eastAsia="zh-CN"/>
        </w:rPr>
      </w:pPr>
    </w:p>
    <w:p w14:paraId="6566C158">
      <w:pPr>
        <w:spacing w:line="600" w:lineRule="exact"/>
        <w:ind w:firstLine="420" w:firstLineChars="200"/>
        <w:jc w:val="left"/>
        <w:rPr>
          <w:rFonts w:hint="eastAsia" w:ascii="仿宋_GB2312" w:eastAsia="仿宋_GB2312"/>
          <w:szCs w:val="21"/>
          <w:lang w:val="en-US" w:eastAsia="zh-CN"/>
        </w:rPr>
      </w:pPr>
    </w:p>
    <w:p w14:paraId="639F349E">
      <w:pPr>
        <w:spacing w:line="600" w:lineRule="exact"/>
        <w:ind w:firstLine="420" w:firstLineChars="200"/>
        <w:jc w:val="left"/>
        <w:rPr>
          <w:rFonts w:hint="eastAsia" w:ascii="仿宋_GB2312" w:eastAsia="仿宋_GB2312"/>
          <w:szCs w:val="21"/>
          <w:lang w:val="en-US" w:eastAsia="zh-CN"/>
        </w:rPr>
      </w:pPr>
    </w:p>
    <w:p w14:paraId="7BBB6064">
      <w:pPr>
        <w:spacing w:line="600" w:lineRule="exact"/>
        <w:ind w:firstLine="420" w:firstLineChars="200"/>
        <w:jc w:val="left"/>
        <w:rPr>
          <w:rFonts w:hint="eastAsia" w:ascii="仿宋_GB2312" w:eastAsia="仿宋_GB2312"/>
          <w:szCs w:val="21"/>
          <w:lang w:val="en-US" w:eastAsia="zh-CN"/>
        </w:rPr>
      </w:pPr>
    </w:p>
    <w:p w14:paraId="61FA55E2">
      <w:pPr>
        <w:spacing w:line="600" w:lineRule="exact"/>
        <w:ind w:firstLine="420" w:firstLineChars="200"/>
        <w:jc w:val="left"/>
        <w:rPr>
          <w:rFonts w:hint="eastAsia" w:ascii="仿宋_GB2312" w:eastAsia="仿宋_GB2312"/>
          <w:szCs w:val="21"/>
          <w:lang w:val="en-US" w:eastAsia="zh-CN"/>
        </w:rPr>
      </w:pPr>
    </w:p>
    <w:p w14:paraId="09EB643C">
      <w:pPr>
        <w:spacing w:line="600" w:lineRule="exact"/>
        <w:ind w:firstLine="420" w:firstLineChars="200"/>
        <w:jc w:val="left"/>
        <w:rPr>
          <w:rFonts w:hint="eastAsia" w:ascii="仿宋_GB2312" w:eastAsia="仿宋_GB2312"/>
          <w:szCs w:val="21"/>
          <w:lang w:val="en-US" w:eastAsia="zh-CN"/>
        </w:rPr>
      </w:pPr>
    </w:p>
    <w:p w14:paraId="0BD3BE41">
      <w:pPr>
        <w:spacing w:line="600" w:lineRule="exact"/>
        <w:ind w:firstLine="420" w:firstLineChars="200"/>
        <w:jc w:val="left"/>
        <w:rPr>
          <w:rFonts w:hint="eastAsia" w:ascii="仿宋_GB2312" w:eastAsia="仿宋_GB2312"/>
          <w:szCs w:val="21"/>
          <w:lang w:val="en-US" w:eastAsia="zh-CN"/>
        </w:rPr>
      </w:pPr>
    </w:p>
    <w:p w14:paraId="0A4208A7">
      <w:pPr>
        <w:spacing w:line="600" w:lineRule="exact"/>
        <w:ind w:firstLine="420" w:firstLineChars="200"/>
        <w:jc w:val="left"/>
        <w:rPr>
          <w:rFonts w:hint="eastAsia" w:ascii="仿宋_GB2312" w:eastAsia="仿宋_GB2312"/>
          <w:szCs w:val="21"/>
          <w:lang w:val="en-US" w:eastAsia="zh-CN"/>
        </w:rPr>
      </w:pPr>
    </w:p>
    <w:p w14:paraId="5EA758DB">
      <w:pPr>
        <w:spacing w:line="600" w:lineRule="exact"/>
        <w:ind w:firstLine="420" w:firstLineChars="200"/>
        <w:jc w:val="left"/>
        <w:rPr>
          <w:rFonts w:hint="eastAsia" w:ascii="仿宋_GB2312" w:eastAsia="仿宋_GB2312"/>
          <w:szCs w:val="21"/>
          <w:lang w:val="en-US" w:eastAsia="zh-CN"/>
        </w:rPr>
      </w:pPr>
    </w:p>
    <w:p w14:paraId="28F6D6AC">
      <w:pPr>
        <w:spacing w:line="600" w:lineRule="exact"/>
        <w:ind w:firstLine="420" w:firstLineChars="200"/>
        <w:jc w:val="left"/>
        <w:rPr>
          <w:rFonts w:hint="eastAsia" w:ascii="仿宋_GB2312" w:eastAsia="仿宋_GB2312"/>
          <w:szCs w:val="21"/>
          <w:lang w:val="en-US" w:eastAsia="zh-CN"/>
        </w:rPr>
      </w:pPr>
    </w:p>
    <w:p w14:paraId="4D6BD0AF">
      <w:pPr>
        <w:spacing w:line="600" w:lineRule="exact"/>
        <w:ind w:firstLine="420" w:firstLineChars="200"/>
        <w:jc w:val="left"/>
        <w:rPr>
          <w:rFonts w:hint="eastAsia" w:ascii="仿宋_GB2312" w:eastAsia="仿宋_GB2312"/>
          <w:szCs w:val="21"/>
          <w:lang w:val="en-US" w:eastAsia="zh-CN"/>
        </w:rPr>
      </w:pPr>
    </w:p>
    <w:p w14:paraId="03D9837E">
      <w:pPr>
        <w:spacing w:line="600" w:lineRule="exact"/>
        <w:ind w:firstLine="420" w:firstLineChars="200"/>
        <w:jc w:val="left"/>
        <w:rPr>
          <w:rFonts w:hint="eastAsia" w:ascii="仿宋_GB2312" w:eastAsia="仿宋_GB2312"/>
          <w:szCs w:val="21"/>
          <w:lang w:val="en-US" w:eastAsia="zh-CN"/>
        </w:rPr>
      </w:pPr>
    </w:p>
    <w:p w14:paraId="33442834">
      <w:pPr>
        <w:spacing w:line="600" w:lineRule="exact"/>
        <w:ind w:firstLine="420" w:firstLineChars="200"/>
        <w:jc w:val="left"/>
        <w:rPr>
          <w:rFonts w:hint="eastAsia" w:ascii="仿宋_GB2312" w:eastAsia="仿宋_GB2312"/>
          <w:szCs w:val="21"/>
          <w:lang w:val="en-US" w:eastAsia="zh-CN"/>
        </w:rPr>
      </w:pPr>
    </w:p>
    <w:p w14:paraId="248C2B97">
      <w:pPr>
        <w:spacing w:line="600" w:lineRule="exact"/>
        <w:ind w:firstLine="420" w:firstLineChars="200"/>
        <w:jc w:val="left"/>
        <w:rPr>
          <w:rFonts w:hint="eastAsia" w:ascii="仿宋_GB2312" w:eastAsia="仿宋_GB2312"/>
          <w:szCs w:val="21"/>
          <w:lang w:val="en-US" w:eastAsia="zh-CN"/>
        </w:rPr>
      </w:pPr>
    </w:p>
    <w:p w14:paraId="62CBD781">
      <w:pPr>
        <w:spacing w:line="600" w:lineRule="exact"/>
        <w:jc w:val="left"/>
        <w:rPr>
          <w:rFonts w:hint="eastAsia" w:ascii="仿宋_GB2312" w:eastAsia="仿宋_GB2312"/>
          <w:szCs w:val="21"/>
          <w:lang w:val="en-US" w:eastAsia="zh-CN"/>
        </w:rPr>
      </w:pPr>
    </w:p>
    <w:p w14:paraId="168737D8">
      <w:pPr>
        <w:spacing w:line="600" w:lineRule="exact"/>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 xml:space="preserve">3 </w:t>
      </w:r>
    </w:p>
    <w:p w14:paraId="498542C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寻甸回族彝族自治县</w:t>
      </w:r>
      <w:r>
        <w:rPr>
          <w:rFonts w:hint="eastAsia" w:ascii="Times New Roman" w:hAnsi="Times New Roman" w:eastAsia="仿宋_GB2312" w:cs="Times New Roman"/>
          <w:color w:val="000000" w:themeColor="text1"/>
        </w:rPr>
        <w:t>融媒体中心</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年部门整体支出绩效评价指标体系</w:t>
      </w:r>
    </w:p>
    <w:tbl>
      <w:tblPr>
        <w:tblStyle w:val="8"/>
        <w:tblW w:w="9972" w:type="dxa"/>
        <w:jc w:val="center"/>
        <w:tblLayout w:type="fixed"/>
        <w:tblCellMar>
          <w:top w:w="0" w:type="dxa"/>
          <w:left w:w="30" w:type="dxa"/>
          <w:bottom w:w="0" w:type="dxa"/>
          <w:right w:w="30" w:type="dxa"/>
        </w:tblCellMar>
      </w:tblPr>
      <w:tblGrid>
        <w:gridCol w:w="551"/>
        <w:gridCol w:w="650"/>
        <w:gridCol w:w="1336"/>
        <w:gridCol w:w="521"/>
        <w:gridCol w:w="600"/>
        <w:gridCol w:w="2195"/>
        <w:gridCol w:w="2747"/>
        <w:gridCol w:w="1372"/>
      </w:tblGrid>
      <w:tr w14:paraId="422DE161">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5F09D7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一级指标</w:t>
            </w:r>
          </w:p>
        </w:tc>
        <w:tc>
          <w:tcPr>
            <w:tcW w:w="650" w:type="dxa"/>
            <w:tcBorders>
              <w:top w:val="single" w:color="auto" w:sz="6" w:space="0"/>
              <w:left w:val="single" w:color="auto" w:sz="6" w:space="0"/>
              <w:bottom w:val="single" w:color="auto" w:sz="6" w:space="0"/>
              <w:right w:val="single" w:color="auto" w:sz="6" w:space="0"/>
            </w:tcBorders>
            <w:vAlign w:val="center"/>
          </w:tcPr>
          <w:p w14:paraId="1BC5E878">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二级  指标</w:t>
            </w:r>
          </w:p>
        </w:tc>
        <w:tc>
          <w:tcPr>
            <w:tcW w:w="1336" w:type="dxa"/>
            <w:tcBorders>
              <w:top w:val="single" w:color="auto" w:sz="6" w:space="0"/>
              <w:left w:val="single" w:color="auto" w:sz="6" w:space="0"/>
              <w:bottom w:val="single" w:color="auto" w:sz="6" w:space="0"/>
              <w:right w:val="single" w:color="auto" w:sz="6" w:space="0"/>
            </w:tcBorders>
            <w:vAlign w:val="center"/>
          </w:tcPr>
          <w:p w14:paraId="18832C3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三级指标</w:t>
            </w:r>
          </w:p>
        </w:tc>
        <w:tc>
          <w:tcPr>
            <w:tcW w:w="521" w:type="dxa"/>
            <w:tcBorders>
              <w:top w:val="single" w:color="auto" w:sz="6" w:space="0"/>
              <w:left w:val="single" w:color="auto" w:sz="6" w:space="0"/>
              <w:bottom w:val="single" w:color="auto" w:sz="6" w:space="0"/>
              <w:right w:val="single" w:color="auto" w:sz="6" w:space="0"/>
            </w:tcBorders>
            <w:vAlign w:val="center"/>
          </w:tcPr>
          <w:p w14:paraId="176EC62D">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   分值</w:t>
            </w:r>
          </w:p>
        </w:tc>
        <w:tc>
          <w:tcPr>
            <w:tcW w:w="600" w:type="dxa"/>
            <w:tcBorders>
              <w:top w:val="single" w:color="auto" w:sz="6" w:space="0"/>
              <w:left w:val="single" w:color="auto" w:sz="6" w:space="0"/>
              <w:bottom w:val="single" w:color="auto" w:sz="6" w:space="0"/>
              <w:right w:val="single" w:color="auto" w:sz="6" w:space="0"/>
            </w:tcBorders>
            <w:vAlign w:val="center"/>
          </w:tcPr>
          <w:p w14:paraId="4BFE1C1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得分</w:t>
            </w:r>
          </w:p>
        </w:tc>
        <w:tc>
          <w:tcPr>
            <w:tcW w:w="2195" w:type="dxa"/>
            <w:tcBorders>
              <w:top w:val="single" w:color="auto" w:sz="6" w:space="0"/>
              <w:left w:val="single" w:color="auto" w:sz="6" w:space="0"/>
              <w:bottom w:val="single" w:color="auto" w:sz="6" w:space="0"/>
              <w:right w:val="single" w:color="auto" w:sz="6" w:space="0"/>
            </w:tcBorders>
            <w:vAlign w:val="center"/>
          </w:tcPr>
          <w:p w14:paraId="08A5C176">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指标解释</w:t>
            </w:r>
          </w:p>
        </w:tc>
        <w:tc>
          <w:tcPr>
            <w:tcW w:w="2747" w:type="dxa"/>
            <w:tcBorders>
              <w:top w:val="single" w:color="auto" w:sz="6" w:space="0"/>
              <w:left w:val="single" w:color="auto" w:sz="6" w:space="0"/>
              <w:bottom w:val="single" w:color="auto" w:sz="6" w:space="0"/>
              <w:right w:val="single" w:color="auto" w:sz="6" w:space="0"/>
            </w:tcBorders>
            <w:vAlign w:val="center"/>
          </w:tcPr>
          <w:p w14:paraId="7D8DE0A3">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指标评分细则</w:t>
            </w:r>
          </w:p>
        </w:tc>
        <w:tc>
          <w:tcPr>
            <w:tcW w:w="1372" w:type="dxa"/>
            <w:tcBorders>
              <w:top w:val="single" w:color="auto" w:sz="6" w:space="0"/>
              <w:left w:val="single" w:color="auto" w:sz="6" w:space="0"/>
              <w:bottom w:val="single" w:color="auto" w:sz="6" w:space="0"/>
              <w:right w:val="single" w:color="auto" w:sz="6" w:space="0"/>
            </w:tcBorders>
            <w:vAlign w:val="center"/>
          </w:tcPr>
          <w:p w14:paraId="3386AC02">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数据来源</w:t>
            </w:r>
          </w:p>
        </w:tc>
      </w:tr>
      <w:tr w14:paraId="70C01129">
        <w:tblPrEx>
          <w:tblCellMar>
            <w:top w:w="0" w:type="dxa"/>
            <w:left w:w="30" w:type="dxa"/>
            <w:bottom w:w="0" w:type="dxa"/>
            <w:right w:w="30" w:type="dxa"/>
          </w:tblCellMar>
        </w:tblPrEx>
        <w:trPr>
          <w:trHeight w:val="11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17B64E4">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14:paraId="1EDA5BA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A1部门目标（12分）</w:t>
            </w:r>
          </w:p>
        </w:tc>
        <w:tc>
          <w:tcPr>
            <w:tcW w:w="1336" w:type="dxa"/>
            <w:tcBorders>
              <w:top w:val="single" w:color="auto" w:sz="6" w:space="0"/>
              <w:left w:val="single" w:color="auto" w:sz="6" w:space="0"/>
              <w:bottom w:val="single" w:color="auto" w:sz="6" w:space="0"/>
              <w:right w:val="single" w:color="auto" w:sz="6" w:space="0"/>
            </w:tcBorders>
            <w:vAlign w:val="center"/>
          </w:tcPr>
          <w:p w14:paraId="0FC1E56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A11部门中长期规划目标的明确性与合理性（2分）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47BB734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19EF44E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37A4F9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部门（单位）中长期规划目标的设定情况；中长期规划目标应设定明确，应与政府中长期规划目标相适应，且应与部门职能相适应。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14:paraId="1E0F1187">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设定了部门中长期规划目标，得0.5分；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设定的部门中长期规划目标明确，得0.5分；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能够适应市、县政府相关规划，得0.5分；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能够与部门职能相适应，得0.5分。</w:t>
            </w:r>
          </w:p>
        </w:tc>
        <w:tc>
          <w:tcPr>
            <w:tcW w:w="1372" w:type="dxa"/>
            <w:tcBorders>
              <w:top w:val="single" w:color="auto" w:sz="6" w:space="0"/>
              <w:left w:val="single" w:color="auto" w:sz="6" w:space="0"/>
              <w:bottom w:val="single" w:color="auto" w:sz="6" w:space="0"/>
              <w:right w:val="single" w:color="auto" w:sz="6" w:space="0"/>
            </w:tcBorders>
            <w:vAlign w:val="center"/>
          </w:tcPr>
          <w:p w14:paraId="084013F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部门中长期规划目标、市、县政府相关规划、部门“三定”方案、部门职能文件。</w:t>
            </w:r>
          </w:p>
        </w:tc>
      </w:tr>
      <w:tr w14:paraId="4AF1768C">
        <w:tblPrEx>
          <w:tblCellMar>
            <w:top w:w="0" w:type="dxa"/>
            <w:left w:w="30" w:type="dxa"/>
            <w:bottom w:w="0" w:type="dxa"/>
            <w:right w:w="30" w:type="dxa"/>
          </w:tblCellMar>
        </w:tblPrEx>
        <w:trPr>
          <w:trHeight w:val="58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288D7C9">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438F062">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814F73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A12年度工作目标的明确性与合理性（2分）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0271CFE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5BDE2BE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07DA582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部门年度工作目标的设定是否明确合理</w:t>
            </w:r>
          </w:p>
        </w:tc>
        <w:tc>
          <w:tcPr>
            <w:tcW w:w="2747" w:type="dxa"/>
            <w:tcBorders>
              <w:top w:val="single" w:color="auto" w:sz="6" w:space="0"/>
              <w:left w:val="single" w:color="auto" w:sz="6" w:space="0"/>
              <w:bottom w:val="single" w:color="auto" w:sz="6" w:space="0"/>
              <w:right w:val="single" w:color="auto" w:sz="6" w:space="0"/>
            </w:tcBorders>
            <w:vAlign w:val="center"/>
          </w:tcPr>
          <w:p w14:paraId="689FEB31">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部门年度工作目标明确设定，得1分；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年度工作目标与部门中长期规划目标一致，得1分。</w:t>
            </w:r>
          </w:p>
        </w:tc>
        <w:tc>
          <w:tcPr>
            <w:tcW w:w="1372" w:type="dxa"/>
            <w:tcBorders>
              <w:top w:val="single" w:color="auto" w:sz="6" w:space="0"/>
              <w:left w:val="single" w:color="auto" w:sz="6" w:space="0"/>
              <w:bottom w:val="single" w:color="auto" w:sz="6" w:space="0"/>
              <w:right w:val="single" w:color="auto" w:sz="6" w:space="0"/>
            </w:tcBorders>
            <w:vAlign w:val="center"/>
          </w:tcPr>
          <w:p w14:paraId="1AC1D97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年度工作目标与部门中长期规划文件</w:t>
            </w:r>
          </w:p>
        </w:tc>
      </w:tr>
      <w:tr w14:paraId="61D68A3A">
        <w:tblPrEx>
          <w:tblCellMar>
            <w:top w:w="0" w:type="dxa"/>
            <w:left w:w="30" w:type="dxa"/>
            <w:bottom w:w="0" w:type="dxa"/>
            <w:right w:w="30" w:type="dxa"/>
          </w:tblCellMar>
        </w:tblPrEx>
        <w:trPr>
          <w:trHeight w:val="55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33B38A9">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8E4CC05">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1F4BB6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A13年度工作计划与年度工作目标的一致性（2分）</w:t>
            </w:r>
          </w:p>
        </w:tc>
        <w:tc>
          <w:tcPr>
            <w:tcW w:w="521" w:type="dxa"/>
            <w:tcBorders>
              <w:top w:val="single" w:color="auto" w:sz="6" w:space="0"/>
              <w:left w:val="single" w:color="auto" w:sz="6" w:space="0"/>
              <w:bottom w:val="single" w:color="auto" w:sz="6" w:space="0"/>
              <w:right w:val="single" w:color="auto" w:sz="6" w:space="0"/>
            </w:tcBorders>
            <w:vAlign w:val="center"/>
          </w:tcPr>
          <w:p w14:paraId="1C2A97D6">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06E1C95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1.8</w:t>
            </w:r>
          </w:p>
        </w:tc>
        <w:tc>
          <w:tcPr>
            <w:tcW w:w="2195" w:type="dxa"/>
            <w:tcBorders>
              <w:top w:val="single" w:color="auto" w:sz="6" w:space="0"/>
              <w:left w:val="single" w:color="auto" w:sz="6" w:space="0"/>
              <w:bottom w:val="single" w:color="auto" w:sz="6" w:space="0"/>
              <w:right w:val="single" w:color="auto" w:sz="6" w:space="0"/>
            </w:tcBorders>
            <w:vAlign w:val="center"/>
          </w:tcPr>
          <w:p w14:paraId="20374D9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部门年度工作计划是否与部门年度工作目标相一致。</w:t>
            </w:r>
          </w:p>
        </w:tc>
        <w:tc>
          <w:tcPr>
            <w:tcW w:w="2747" w:type="dxa"/>
            <w:tcBorders>
              <w:top w:val="single" w:color="auto" w:sz="6" w:space="0"/>
              <w:left w:val="single" w:color="auto" w:sz="6" w:space="0"/>
              <w:bottom w:val="single" w:color="auto" w:sz="6" w:space="0"/>
              <w:right w:val="single" w:color="auto" w:sz="6" w:space="0"/>
            </w:tcBorders>
            <w:vAlign w:val="center"/>
          </w:tcPr>
          <w:p w14:paraId="2015C22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将部门详细工作计划与年度工作目标对应匹配，视匹配情况酌情得0-2分。</w:t>
            </w:r>
          </w:p>
        </w:tc>
        <w:tc>
          <w:tcPr>
            <w:tcW w:w="1372" w:type="dxa"/>
            <w:tcBorders>
              <w:top w:val="single" w:color="auto" w:sz="6" w:space="0"/>
              <w:left w:val="single" w:color="auto" w:sz="6" w:space="0"/>
              <w:bottom w:val="single" w:color="auto" w:sz="6" w:space="0"/>
              <w:right w:val="single" w:color="auto" w:sz="6" w:space="0"/>
            </w:tcBorders>
            <w:vAlign w:val="center"/>
          </w:tcPr>
          <w:p w14:paraId="5F5E787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年度工作计划与年度工作目标文件</w:t>
            </w:r>
          </w:p>
        </w:tc>
      </w:tr>
      <w:tr w14:paraId="02D49406">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2C410C5">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3A51827">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7442665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A14绩效目标合理性（3分）</w:t>
            </w:r>
          </w:p>
        </w:tc>
        <w:tc>
          <w:tcPr>
            <w:tcW w:w="521" w:type="dxa"/>
            <w:tcBorders>
              <w:top w:val="single" w:color="auto" w:sz="6" w:space="0"/>
              <w:left w:val="single" w:color="auto" w:sz="6" w:space="0"/>
              <w:bottom w:val="single" w:color="auto" w:sz="6" w:space="0"/>
              <w:right w:val="single" w:color="auto" w:sz="6" w:space="0"/>
            </w:tcBorders>
            <w:vAlign w:val="center"/>
          </w:tcPr>
          <w:p w14:paraId="77855582">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E47D28B">
            <w:pPr>
              <w:autoSpaceDE w:val="0"/>
              <w:autoSpaceDN w:val="0"/>
              <w:adjustRightInd w:val="0"/>
              <w:jc w:val="center"/>
              <w:rPr>
                <w:rFonts w:hint="eastAsia" w:ascii="Times New Roman" w:hAnsi="Times New Roman" w:eastAsia="仿宋_GB2312" w:cs="Times New Roman"/>
                <w:color w:val="000000" w:themeColor="text1"/>
                <w:kern w:val="0"/>
                <w:szCs w:val="21"/>
                <w:lang w:eastAsia="zh-CN"/>
              </w:rPr>
            </w:pPr>
            <w:r>
              <w:rPr>
                <w:rFonts w:ascii="Times New Roman" w:hAnsi="Times New Roman" w:eastAsia="仿宋_GB2312" w:cs="Times New Roman"/>
                <w:color w:val="000000" w:themeColor="text1"/>
                <w:kern w:val="0"/>
                <w:szCs w:val="21"/>
              </w:rPr>
              <w:t>2.</w:t>
            </w:r>
            <w:r>
              <w:rPr>
                <w:rFonts w:hint="eastAsia" w:ascii="Times New Roman" w:hAnsi="Times New Roman" w:eastAsia="仿宋_GB2312" w:cs="Times New Roman"/>
                <w:color w:val="000000" w:themeColor="text1"/>
                <w:kern w:val="0"/>
                <w:szCs w:val="21"/>
                <w:lang w:val="en-US" w:eastAsia="zh-CN"/>
              </w:rPr>
              <w:t>7</w:t>
            </w:r>
          </w:p>
        </w:tc>
        <w:tc>
          <w:tcPr>
            <w:tcW w:w="2195" w:type="dxa"/>
            <w:tcBorders>
              <w:top w:val="single" w:color="auto" w:sz="6" w:space="0"/>
              <w:left w:val="single" w:color="auto" w:sz="6" w:space="0"/>
              <w:bottom w:val="single" w:color="auto" w:sz="6" w:space="0"/>
              <w:right w:val="single" w:color="auto" w:sz="6" w:space="0"/>
            </w:tcBorders>
            <w:vAlign w:val="center"/>
          </w:tcPr>
          <w:p w14:paraId="37308AA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用以反映和考核部门整体绩效目标与部门职能、年度工作目标的一致性。</w:t>
            </w:r>
          </w:p>
        </w:tc>
        <w:tc>
          <w:tcPr>
            <w:tcW w:w="2747" w:type="dxa"/>
            <w:tcBorders>
              <w:top w:val="single" w:color="auto" w:sz="6" w:space="0"/>
              <w:left w:val="single" w:color="auto" w:sz="6" w:space="0"/>
              <w:bottom w:val="single" w:color="auto" w:sz="6" w:space="0"/>
              <w:right w:val="single" w:color="auto" w:sz="6" w:space="0"/>
            </w:tcBorders>
            <w:vAlign w:val="center"/>
          </w:tcPr>
          <w:p w14:paraId="0415ED7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符合部门制定的中长期实施规划计1分；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符合部门“三定”方案确定的职责计1分；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与部门年度工作目标、任务相一致计1分。</w:t>
            </w:r>
          </w:p>
        </w:tc>
        <w:tc>
          <w:tcPr>
            <w:tcW w:w="1372" w:type="dxa"/>
            <w:tcBorders>
              <w:top w:val="single" w:color="auto" w:sz="6" w:space="0"/>
              <w:left w:val="single" w:color="auto" w:sz="6" w:space="0"/>
              <w:bottom w:val="single" w:color="auto" w:sz="6" w:space="0"/>
              <w:right w:val="single" w:color="auto" w:sz="6" w:space="0"/>
            </w:tcBorders>
            <w:vAlign w:val="center"/>
          </w:tcPr>
          <w:p w14:paraId="5871EC3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部门中长期规划、部门“三定”方案、年度重点工作任务与工作计划</w:t>
            </w:r>
          </w:p>
        </w:tc>
      </w:tr>
      <w:tr w14:paraId="3D5BA736">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0B4AF91">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03FC775">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2F088C2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A15绩效指标明确性（3分）</w:t>
            </w:r>
          </w:p>
        </w:tc>
        <w:tc>
          <w:tcPr>
            <w:tcW w:w="521" w:type="dxa"/>
            <w:tcBorders>
              <w:top w:val="single" w:color="auto" w:sz="6" w:space="0"/>
              <w:left w:val="single" w:color="auto" w:sz="6" w:space="0"/>
              <w:bottom w:val="single" w:color="auto" w:sz="6" w:space="0"/>
              <w:right w:val="single" w:color="auto" w:sz="6" w:space="0"/>
            </w:tcBorders>
            <w:vAlign w:val="center"/>
          </w:tcPr>
          <w:p w14:paraId="0E7283C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91D4F61">
            <w:pPr>
              <w:autoSpaceDE w:val="0"/>
              <w:autoSpaceDN w:val="0"/>
              <w:adjustRightInd w:val="0"/>
              <w:jc w:val="center"/>
              <w:rPr>
                <w:rFonts w:hint="eastAsia" w:ascii="Times New Roman" w:hAnsi="Times New Roman" w:eastAsia="仿宋_GB2312" w:cs="Times New Roman"/>
                <w:color w:val="000000" w:themeColor="text1"/>
                <w:kern w:val="0"/>
                <w:szCs w:val="21"/>
                <w:lang w:eastAsia="zh-CN"/>
              </w:rPr>
            </w:pPr>
            <w:r>
              <w:rPr>
                <w:rFonts w:ascii="Times New Roman" w:hAnsi="Times New Roman" w:eastAsia="仿宋_GB2312" w:cs="Times New Roman"/>
                <w:color w:val="000000" w:themeColor="text1"/>
                <w:kern w:val="0"/>
                <w:szCs w:val="21"/>
              </w:rPr>
              <w:t>2</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val="en-US" w:eastAsia="zh-CN"/>
              </w:rPr>
              <w:t>6</w:t>
            </w:r>
          </w:p>
        </w:tc>
        <w:tc>
          <w:tcPr>
            <w:tcW w:w="2195" w:type="dxa"/>
            <w:tcBorders>
              <w:top w:val="single" w:color="auto" w:sz="6" w:space="0"/>
              <w:left w:val="single" w:color="auto" w:sz="6" w:space="0"/>
              <w:bottom w:val="single" w:color="auto" w:sz="6" w:space="0"/>
              <w:right w:val="single" w:color="auto" w:sz="6" w:space="0"/>
            </w:tcBorders>
            <w:vAlign w:val="center"/>
          </w:tcPr>
          <w:p w14:paraId="629B45A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整体绩效目标所设定的绩效指标是否依据部门工作目标和工作任务进行细化、量化，绩效指标是否可衡量。</w:t>
            </w:r>
          </w:p>
        </w:tc>
        <w:tc>
          <w:tcPr>
            <w:tcW w:w="2747" w:type="dxa"/>
            <w:tcBorders>
              <w:top w:val="single" w:color="auto" w:sz="6" w:space="0"/>
              <w:left w:val="single" w:color="auto" w:sz="6" w:space="0"/>
              <w:bottom w:val="single" w:color="auto" w:sz="6" w:space="0"/>
              <w:right w:val="single" w:color="auto" w:sz="6" w:space="0"/>
            </w:tcBorders>
            <w:vAlign w:val="center"/>
          </w:tcPr>
          <w:p w14:paraId="3BE26A0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将部门整体的绩效目标细化分解为具体的工作任务计1分；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通过清晰、可衡量的指标值予以体现计0.5分。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与部门年度的任务数或计划数相对应计0.5分；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与本年度部门预算资金相匹配计1分。</w:t>
            </w:r>
          </w:p>
        </w:tc>
        <w:tc>
          <w:tcPr>
            <w:tcW w:w="1372" w:type="dxa"/>
            <w:tcBorders>
              <w:top w:val="single" w:color="auto" w:sz="6" w:space="0"/>
              <w:left w:val="single" w:color="auto" w:sz="6" w:space="0"/>
              <w:bottom w:val="single" w:color="auto" w:sz="6" w:space="0"/>
              <w:right w:val="single" w:color="auto" w:sz="6" w:space="0"/>
            </w:tcBorders>
            <w:vAlign w:val="center"/>
          </w:tcPr>
          <w:p w14:paraId="09A99C1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部门年度重点工作任务与工作计划。</w:t>
            </w:r>
          </w:p>
        </w:tc>
      </w:tr>
      <w:tr w14:paraId="41ADAA31">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CEF9885">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4C87309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A2部门职能（10分）</w:t>
            </w:r>
          </w:p>
        </w:tc>
        <w:tc>
          <w:tcPr>
            <w:tcW w:w="1336" w:type="dxa"/>
            <w:tcBorders>
              <w:top w:val="single" w:color="auto" w:sz="6" w:space="0"/>
              <w:left w:val="single" w:color="auto" w:sz="6" w:space="0"/>
              <w:bottom w:val="single" w:color="auto" w:sz="6" w:space="0"/>
              <w:right w:val="single" w:color="auto" w:sz="6" w:space="0"/>
            </w:tcBorders>
            <w:vAlign w:val="center"/>
          </w:tcPr>
          <w:p w14:paraId="6578B2E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A21部门职能的明确性与科学性（1分）</w:t>
            </w:r>
          </w:p>
        </w:tc>
        <w:tc>
          <w:tcPr>
            <w:tcW w:w="521" w:type="dxa"/>
            <w:tcBorders>
              <w:top w:val="single" w:color="auto" w:sz="6" w:space="0"/>
              <w:left w:val="single" w:color="auto" w:sz="6" w:space="0"/>
              <w:bottom w:val="single" w:color="auto" w:sz="6" w:space="0"/>
              <w:right w:val="single" w:color="auto" w:sz="6" w:space="0"/>
            </w:tcBorders>
            <w:vAlign w:val="center"/>
          </w:tcPr>
          <w:p w14:paraId="2FD75AE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288BA1C2">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040A44C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考察部门职能界定是否明确科学，是否有相关文件。</w:t>
            </w:r>
          </w:p>
        </w:tc>
        <w:tc>
          <w:tcPr>
            <w:tcW w:w="2747" w:type="dxa"/>
            <w:tcBorders>
              <w:top w:val="single" w:color="auto" w:sz="6" w:space="0"/>
              <w:left w:val="single" w:color="auto" w:sz="6" w:space="0"/>
              <w:bottom w:val="single" w:color="auto" w:sz="6" w:space="0"/>
              <w:right w:val="single" w:color="auto" w:sz="6" w:space="0"/>
            </w:tcBorders>
            <w:vAlign w:val="center"/>
          </w:tcPr>
          <w:p w14:paraId="2BDDE1D2">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职能明确、设定依据充分，得1分；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有“三定”文件，但职能描述不明确，得0.5分;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没有职能设定的文件依据且职能不清，得0分</w:t>
            </w:r>
          </w:p>
        </w:tc>
        <w:tc>
          <w:tcPr>
            <w:tcW w:w="1372" w:type="dxa"/>
            <w:tcBorders>
              <w:top w:val="single" w:color="auto" w:sz="6" w:space="0"/>
              <w:left w:val="single" w:color="auto" w:sz="6" w:space="0"/>
              <w:bottom w:val="single" w:color="auto" w:sz="6" w:space="0"/>
              <w:right w:val="single" w:color="auto" w:sz="6" w:space="0"/>
            </w:tcBorders>
            <w:vAlign w:val="center"/>
          </w:tcPr>
          <w:p w14:paraId="07DDA22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部门职能描述、“三定”文件</w:t>
            </w:r>
          </w:p>
        </w:tc>
      </w:tr>
      <w:tr w14:paraId="7BC24323">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64EEC3D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FF6CA53">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3D7F886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A22年度工作目标与部门职能的适应性（4分）</w:t>
            </w:r>
          </w:p>
        </w:tc>
        <w:tc>
          <w:tcPr>
            <w:tcW w:w="521" w:type="dxa"/>
            <w:tcBorders>
              <w:top w:val="single" w:color="auto" w:sz="6" w:space="0"/>
              <w:left w:val="single" w:color="auto" w:sz="6" w:space="0"/>
              <w:bottom w:val="single" w:color="auto" w:sz="6" w:space="0"/>
              <w:right w:val="single" w:color="auto" w:sz="6" w:space="0"/>
            </w:tcBorders>
            <w:vAlign w:val="center"/>
          </w:tcPr>
          <w:p w14:paraId="4695EAD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404342F0">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3.5</w:t>
            </w:r>
          </w:p>
        </w:tc>
        <w:tc>
          <w:tcPr>
            <w:tcW w:w="2195" w:type="dxa"/>
            <w:tcBorders>
              <w:top w:val="single" w:color="auto" w:sz="6" w:space="0"/>
              <w:left w:val="single" w:color="auto" w:sz="6" w:space="0"/>
              <w:bottom w:val="single" w:color="auto" w:sz="6" w:space="0"/>
              <w:right w:val="single" w:color="auto" w:sz="6" w:space="0"/>
            </w:tcBorders>
            <w:vAlign w:val="center"/>
          </w:tcPr>
          <w:p w14:paraId="1D35A62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部门所设定的具体目标是否与部门职能相适应。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14:paraId="7A6232F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将部门详细工作目标与部门职能对应匹配，视匹配情况酌情得0-4分。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14:paraId="0C1376A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部门年度工作目标、部门职能</w:t>
            </w:r>
          </w:p>
        </w:tc>
      </w:tr>
      <w:tr w14:paraId="2D654352">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B91F4D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4F38317B">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2E98147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A23年度具体工作与部门职能的匹配性（4分）</w:t>
            </w:r>
          </w:p>
        </w:tc>
        <w:tc>
          <w:tcPr>
            <w:tcW w:w="521" w:type="dxa"/>
            <w:tcBorders>
              <w:top w:val="single" w:color="auto" w:sz="6" w:space="0"/>
              <w:left w:val="single" w:color="auto" w:sz="6" w:space="0"/>
              <w:bottom w:val="single" w:color="auto" w:sz="6" w:space="0"/>
              <w:right w:val="single" w:color="auto" w:sz="6" w:space="0"/>
            </w:tcBorders>
            <w:vAlign w:val="center"/>
          </w:tcPr>
          <w:p w14:paraId="549FA80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34F768F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32F8C08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部门年度各类具体工作是否与部门职能相匹配。</w:t>
            </w:r>
          </w:p>
        </w:tc>
        <w:tc>
          <w:tcPr>
            <w:tcW w:w="2747" w:type="dxa"/>
            <w:tcBorders>
              <w:top w:val="single" w:color="auto" w:sz="6" w:space="0"/>
              <w:left w:val="single" w:color="auto" w:sz="6" w:space="0"/>
              <w:bottom w:val="single" w:color="auto" w:sz="6" w:space="0"/>
              <w:right w:val="single" w:color="auto" w:sz="6" w:space="0"/>
            </w:tcBorders>
            <w:vAlign w:val="center"/>
          </w:tcPr>
          <w:p w14:paraId="0695C99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将部门年度具体工作与部门职能对应匹配，视匹配情况酌情得0-4分。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14:paraId="27D4369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部门年度各项具体工作，部门职能</w:t>
            </w:r>
          </w:p>
        </w:tc>
      </w:tr>
      <w:tr w14:paraId="7428E7BE">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05DD203">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D35A680">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719915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A24部门内设科室及下属单位职责的明确性（1分）</w:t>
            </w:r>
          </w:p>
        </w:tc>
        <w:tc>
          <w:tcPr>
            <w:tcW w:w="521" w:type="dxa"/>
            <w:tcBorders>
              <w:top w:val="single" w:color="auto" w:sz="6" w:space="0"/>
              <w:left w:val="single" w:color="auto" w:sz="6" w:space="0"/>
              <w:bottom w:val="single" w:color="auto" w:sz="6" w:space="0"/>
              <w:right w:val="single" w:color="auto" w:sz="6" w:space="0"/>
            </w:tcBorders>
            <w:vAlign w:val="center"/>
          </w:tcPr>
          <w:p w14:paraId="4D6D22A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5E7D57C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4F81DAA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部门内设科室及下属单位具体职责是否明确</w:t>
            </w:r>
          </w:p>
        </w:tc>
        <w:tc>
          <w:tcPr>
            <w:tcW w:w="2747" w:type="dxa"/>
            <w:tcBorders>
              <w:top w:val="single" w:color="auto" w:sz="6" w:space="0"/>
              <w:left w:val="single" w:color="auto" w:sz="6" w:space="0"/>
              <w:bottom w:val="single" w:color="auto" w:sz="6" w:space="0"/>
              <w:right w:val="single" w:color="auto" w:sz="6" w:space="0"/>
            </w:tcBorders>
            <w:vAlign w:val="center"/>
          </w:tcPr>
          <w:p w14:paraId="33F42088">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有职责文件制度规定部门各科（室）及下属单位具体职责，得0.5分；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具体职责明确，得0.5分。</w:t>
            </w:r>
          </w:p>
        </w:tc>
        <w:tc>
          <w:tcPr>
            <w:tcW w:w="1372" w:type="dxa"/>
            <w:tcBorders>
              <w:top w:val="single" w:color="auto" w:sz="6" w:space="0"/>
              <w:left w:val="single" w:color="auto" w:sz="6" w:space="0"/>
              <w:bottom w:val="single" w:color="auto" w:sz="6" w:space="0"/>
              <w:right w:val="single" w:color="auto" w:sz="6" w:space="0"/>
            </w:tcBorders>
            <w:vAlign w:val="center"/>
          </w:tcPr>
          <w:p w14:paraId="11E1D85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内设科室及下属单位职责文件</w:t>
            </w:r>
          </w:p>
        </w:tc>
      </w:tr>
      <w:tr w14:paraId="49809027">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4753F2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F37C34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14:paraId="6E87DE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A31基本支出预算合理性（2分）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553C5E8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34D3972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1.5</w:t>
            </w:r>
          </w:p>
        </w:tc>
        <w:tc>
          <w:tcPr>
            <w:tcW w:w="2195" w:type="dxa"/>
            <w:tcBorders>
              <w:top w:val="single" w:color="auto" w:sz="6" w:space="0"/>
              <w:left w:val="single" w:color="auto" w:sz="6" w:space="0"/>
              <w:bottom w:val="single" w:color="auto" w:sz="6" w:space="0"/>
              <w:right w:val="single" w:color="auto" w:sz="6" w:space="0"/>
            </w:tcBorders>
            <w:vAlign w:val="center"/>
          </w:tcPr>
          <w:p w14:paraId="063A450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用以反映部门年度基本支出预算是否根据人员经费、公用经费标准进行合理编制。</w:t>
            </w:r>
          </w:p>
        </w:tc>
        <w:tc>
          <w:tcPr>
            <w:tcW w:w="2747" w:type="dxa"/>
            <w:tcBorders>
              <w:top w:val="single" w:color="auto" w:sz="6" w:space="0"/>
              <w:left w:val="single" w:color="auto" w:sz="6" w:space="0"/>
              <w:bottom w:val="single" w:color="auto" w:sz="6" w:space="0"/>
              <w:right w:val="single" w:color="auto" w:sz="6" w:space="0"/>
            </w:tcBorders>
            <w:vAlign w:val="center"/>
          </w:tcPr>
          <w:p w14:paraId="44729ACC">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如实核定人员基数，得1分；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根据基本预算标准进行编制，得1分。</w:t>
            </w:r>
          </w:p>
        </w:tc>
        <w:tc>
          <w:tcPr>
            <w:tcW w:w="1372" w:type="dxa"/>
            <w:tcBorders>
              <w:top w:val="single" w:color="auto" w:sz="6" w:space="0"/>
              <w:left w:val="single" w:color="auto" w:sz="6" w:space="0"/>
              <w:bottom w:val="single" w:color="auto" w:sz="6" w:space="0"/>
              <w:right w:val="single" w:color="auto" w:sz="6" w:space="0"/>
            </w:tcBorders>
            <w:vAlign w:val="center"/>
          </w:tcPr>
          <w:p w14:paraId="3792D2D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部门基本支出预算标准、基本支出预算</w:t>
            </w:r>
          </w:p>
        </w:tc>
      </w:tr>
      <w:tr w14:paraId="2D18337B">
        <w:tblPrEx>
          <w:tblCellMar>
            <w:top w:w="0" w:type="dxa"/>
            <w:left w:w="30" w:type="dxa"/>
            <w:bottom w:w="0" w:type="dxa"/>
            <w:right w:w="30" w:type="dxa"/>
          </w:tblCellMar>
        </w:tblPrEx>
        <w:trPr>
          <w:trHeight w:val="80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9F4A867">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CB90CFB">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786BB1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A32项目支出预算合理性（4分）</w:t>
            </w:r>
          </w:p>
        </w:tc>
        <w:tc>
          <w:tcPr>
            <w:tcW w:w="521" w:type="dxa"/>
            <w:tcBorders>
              <w:top w:val="single" w:color="auto" w:sz="6" w:space="0"/>
              <w:left w:val="single" w:color="auto" w:sz="6" w:space="0"/>
              <w:bottom w:val="single" w:color="auto" w:sz="6" w:space="0"/>
              <w:right w:val="single" w:color="auto" w:sz="6" w:space="0"/>
            </w:tcBorders>
            <w:vAlign w:val="center"/>
          </w:tcPr>
          <w:p w14:paraId="0EFEA52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326FC47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1724DB4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用以反映部门年度项目支出预算程序、预算依据、适用范围的合理性。</w:t>
            </w:r>
          </w:p>
        </w:tc>
        <w:tc>
          <w:tcPr>
            <w:tcW w:w="2747" w:type="dxa"/>
            <w:tcBorders>
              <w:top w:val="single" w:color="auto" w:sz="6" w:space="0"/>
              <w:left w:val="single" w:color="auto" w:sz="6" w:space="0"/>
              <w:bottom w:val="single" w:color="auto" w:sz="6" w:space="0"/>
              <w:right w:val="single" w:color="auto" w:sz="6" w:space="0"/>
            </w:tcBorders>
            <w:vAlign w:val="center"/>
          </w:tcPr>
          <w:p w14:paraId="215D4E1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预算程序合理，得1分；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预算依据充分，得2分；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符合资金使用范围，得1分。</w:t>
            </w:r>
          </w:p>
        </w:tc>
        <w:tc>
          <w:tcPr>
            <w:tcW w:w="1372" w:type="dxa"/>
            <w:tcBorders>
              <w:top w:val="single" w:color="auto" w:sz="6" w:space="0"/>
              <w:left w:val="single" w:color="auto" w:sz="6" w:space="0"/>
              <w:bottom w:val="single" w:color="auto" w:sz="6" w:space="0"/>
              <w:right w:val="single" w:color="auto" w:sz="6" w:space="0"/>
            </w:tcBorders>
            <w:vAlign w:val="center"/>
          </w:tcPr>
          <w:p w14:paraId="7FD9433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部门项目支出预算编制详细资料，访谈、文件梳理等、其他资料</w:t>
            </w:r>
          </w:p>
        </w:tc>
      </w:tr>
      <w:tr w14:paraId="55F456DE">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881D4C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8CD828F">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A01445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A33人力资源投入合理性（2分）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43AB08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46C452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r>
              <w:rPr>
                <w:rFonts w:hint="eastAsia" w:ascii="Times New Roman" w:hAnsi="Times New Roman" w:eastAsia="仿宋_GB2312" w:cs="Times New Roman"/>
                <w:color w:val="000000" w:themeColor="text1"/>
                <w:kern w:val="0"/>
                <w:szCs w:val="21"/>
              </w:rPr>
              <w:t>5</w:t>
            </w:r>
          </w:p>
        </w:tc>
        <w:tc>
          <w:tcPr>
            <w:tcW w:w="2195" w:type="dxa"/>
            <w:tcBorders>
              <w:top w:val="single" w:color="auto" w:sz="6" w:space="0"/>
              <w:left w:val="single" w:color="auto" w:sz="6" w:space="0"/>
              <w:bottom w:val="single" w:color="auto" w:sz="6" w:space="0"/>
              <w:right w:val="single" w:color="auto" w:sz="6" w:space="0"/>
            </w:tcBorders>
            <w:vAlign w:val="center"/>
          </w:tcPr>
          <w:p w14:paraId="7173BC0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用以反映部门核定人员的编制与部门工作内容的合理性</w:t>
            </w:r>
          </w:p>
        </w:tc>
        <w:tc>
          <w:tcPr>
            <w:tcW w:w="2747" w:type="dxa"/>
            <w:tcBorders>
              <w:top w:val="single" w:color="auto" w:sz="6" w:space="0"/>
              <w:left w:val="single" w:color="auto" w:sz="6" w:space="0"/>
              <w:bottom w:val="single" w:color="auto" w:sz="6" w:space="0"/>
              <w:right w:val="single" w:color="auto" w:sz="6" w:space="0"/>
            </w:tcBorders>
            <w:vAlign w:val="center"/>
          </w:tcPr>
          <w:p w14:paraId="70F0201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通过问卷及访谈调研,分析人员的工作量和工作时长，视匹配情况得0-2分。</w:t>
            </w:r>
          </w:p>
        </w:tc>
        <w:tc>
          <w:tcPr>
            <w:tcW w:w="1372" w:type="dxa"/>
            <w:tcBorders>
              <w:top w:val="single" w:color="auto" w:sz="6" w:space="0"/>
              <w:left w:val="single" w:color="auto" w:sz="6" w:space="0"/>
              <w:bottom w:val="single" w:color="auto" w:sz="6" w:space="0"/>
              <w:right w:val="single" w:color="auto" w:sz="6" w:space="0"/>
            </w:tcBorders>
            <w:vAlign w:val="center"/>
          </w:tcPr>
          <w:p w14:paraId="7ECC5AA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人员编制文件、调研</w:t>
            </w:r>
          </w:p>
        </w:tc>
      </w:tr>
      <w:tr w14:paraId="04EB8772">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F90FA4D">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327F48D6">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51F6B69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A34办公资源投入合理性（2分）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6D9FEC8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6402FB0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22AEBCF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用以反映部门现有办公资源能否满足部门日常工作需求</w:t>
            </w:r>
          </w:p>
        </w:tc>
        <w:tc>
          <w:tcPr>
            <w:tcW w:w="2747" w:type="dxa"/>
            <w:tcBorders>
              <w:top w:val="single" w:color="auto" w:sz="6" w:space="0"/>
              <w:left w:val="single" w:color="auto" w:sz="6" w:space="0"/>
              <w:bottom w:val="single" w:color="auto" w:sz="6" w:space="0"/>
              <w:right w:val="single" w:color="auto" w:sz="6" w:space="0"/>
            </w:tcBorders>
            <w:vAlign w:val="center"/>
          </w:tcPr>
          <w:p w14:paraId="76F7C4FF">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办公资源经费保障充足，得1分；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办公资源配置合理，得1分。</w:t>
            </w:r>
          </w:p>
        </w:tc>
        <w:tc>
          <w:tcPr>
            <w:tcW w:w="1372" w:type="dxa"/>
            <w:tcBorders>
              <w:top w:val="single" w:color="auto" w:sz="6" w:space="0"/>
              <w:left w:val="single" w:color="auto" w:sz="6" w:space="0"/>
              <w:bottom w:val="single" w:color="auto" w:sz="6" w:space="0"/>
              <w:right w:val="single" w:color="auto" w:sz="6" w:space="0"/>
            </w:tcBorders>
            <w:vAlign w:val="center"/>
          </w:tcPr>
          <w:p w14:paraId="69121A6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部门办公资源配置情况、调研等资料</w:t>
            </w:r>
          </w:p>
        </w:tc>
      </w:tr>
      <w:tr w14:paraId="559AD8AC">
        <w:tblPrEx>
          <w:tblCellMar>
            <w:top w:w="0" w:type="dxa"/>
            <w:left w:w="30" w:type="dxa"/>
            <w:bottom w:w="0" w:type="dxa"/>
            <w:right w:w="30" w:type="dxa"/>
          </w:tblCellMar>
        </w:tblPrEx>
        <w:trPr>
          <w:trHeight w:val="127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8BBDF4D">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14:paraId="3CADC6C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14:paraId="4BA3459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A35重点项目资源分配合理性（3分）</w:t>
            </w:r>
          </w:p>
        </w:tc>
        <w:tc>
          <w:tcPr>
            <w:tcW w:w="521" w:type="dxa"/>
            <w:tcBorders>
              <w:top w:val="single" w:color="auto" w:sz="6" w:space="0"/>
              <w:left w:val="single" w:color="auto" w:sz="6" w:space="0"/>
              <w:bottom w:val="single" w:color="auto" w:sz="6" w:space="0"/>
              <w:right w:val="single" w:color="auto" w:sz="6" w:space="0"/>
            </w:tcBorders>
            <w:vAlign w:val="center"/>
          </w:tcPr>
          <w:p w14:paraId="08AD68A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B453CA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2195" w:type="dxa"/>
            <w:tcBorders>
              <w:top w:val="single" w:color="auto" w:sz="6" w:space="0"/>
              <w:left w:val="single" w:color="auto" w:sz="6" w:space="0"/>
              <w:bottom w:val="single" w:color="auto" w:sz="6" w:space="0"/>
              <w:right w:val="single" w:color="auto" w:sz="6" w:space="0"/>
            </w:tcBorders>
            <w:vAlign w:val="center"/>
          </w:tcPr>
          <w:p w14:paraId="23B9860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部门本年度预算安排的重点项目支出与部门项目总支出的比率，用以反映和考核部门对履行主要职责或完成重点任务的保障程度。</w:t>
            </w:r>
          </w:p>
        </w:tc>
        <w:tc>
          <w:tcPr>
            <w:tcW w:w="2747" w:type="dxa"/>
            <w:tcBorders>
              <w:top w:val="single" w:color="auto" w:sz="6" w:space="0"/>
              <w:left w:val="single" w:color="auto" w:sz="6" w:space="0"/>
              <w:bottom w:val="single" w:color="auto" w:sz="6" w:space="0"/>
              <w:right w:val="single" w:color="auto" w:sz="6" w:space="0"/>
            </w:tcBorders>
            <w:vAlign w:val="center"/>
          </w:tcPr>
          <w:p w14:paraId="3A01655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784CCF9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重点项目相关资料</w:t>
            </w:r>
          </w:p>
        </w:tc>
      </w:tr>
      <w:tr w14:paraId="3B7F29E1">
        <w:tblPrEx>
          <w:tblCellMar>
            <w:top w:w="0" w:type="dxa"/>
            <w:left w:w="30" w:type="dxa"/>
            <w:bottom w:w="0" w:type="dxa"/>
            <w:right w:w="30" w:type="dxa"/>
          </w:tblCellMar>
        </w:tblPrEx>
        <w:trPr>
          <w:trHeight w:val="139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3F518BA3">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B部门管理（20分）</w:t>
            </w:r>
          </w:p>
        </w:tc>
        <w:tc>
          <w:tcPr>
            <w:tcW w:w="650" w:type="dxa"/>
            <w:tcBorders>
              <w:top w:val="single" w:color="auto" w:sz="6" w:space="0"/>
              <w:left w:val="single" w:color="auto" w:sz="6" w:space="0"/>
              <w:bottom w:val="single" w:color="auto" w:sz="6" w:space="0"/>
              <w:right w:val="single" w:color="auto" w:sz="6" w:space="0"/>
            </w:tcBorders>
            <w:vAlign w:val="center"/>
          </w:tcPr>
          <w:p w14:paraId="163D82B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14:paraId="1F59C34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B11基本支出预算执行率（1分）</w:t>
            </w:r>
          </w:p>
        </w:tc>
        <w:tc>
          <w:tcPr>
            <w:tcW w:w="521" w:type="dxa"/>
            <w:tcBorders>
              <w:top w:val="single" w:color="auto" w:sz="6" w:space="0"/>
              <w:left w:val="single" w:color="auto" w:sz="6" w:space="0"/>
              <w:bottom w:val="single" w:color="auto" w:sz="6" w:space="0"/>
              <w:right w:val="single" w:color="auto" w:sz="6" w:space="0"/>
            </w:tcBorders>
            <w:vAlign w:val="center"/>
          </w:tcPr>
          <w:p w14:paraId="6D40A5F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650C6507">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2FB3C87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部门基本支出本年度决算数与预算数的比率，用以反映和考核部门（单位）基本支出预算执行程度。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14:paraId="785F4BA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执行率=部门基本支出决算/部门基本支出预算×100%。决算数：部门本年度基本支出实际支出资金数。预算数：财政部门批复的本年度部门基本支出预算数以及当年批复的调整数。预算完成率≥95%得满分，未达到的每低于1%扣0.1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47C63F2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基本支出预算批复，预算调整批复、预算编制等其他资料</w:t>
            </w:r>
          </w:p>
        </w:tc>
      </w:tr>
      <w:tr w14:paraId="28F09B87">
        <w:tblPrEx>
          <w:tblCellMar>
            <w:top w:w="0" w:type="dxa"/>
            <w:left w:w="30" w:type="dxa"/>
            <w:bottom w:w="0" w:type="dxa"/>
            <w:right w:w="30" w:type="dxa"/>
          </w:tblCellMar>
        </w:tblPrEx>
        <w:trPr>
          <w:trHeight w:val="14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AC80793">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7E85337">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8892A3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B12项目支出预算执行率（4分）</w:t>
            </w:r>
          </w:p>
        </w:tc>
        <w:tc>
          <w:tcPr>
            <w:tcW w:w="521" w:type="dxa"/>
            <w:tcBorders>
              <w:top w:val="single" w:color="auto" w:sz="6" w:space="0"/>
              <w:left w:val="single" w:color="auto" w:sz="6" w:space="0"/>
              <w:bottom w:val="single" w:color="auto" w:sz="6" w:space="0"/>
              <w:right w:val="single" w:color="auto" w:sz="6" w:space="0"/>
            </w:tcBorders>
            <w:vAlign w:val="center"/>
          </w:tcPr>
          <w:p w14:paraId="0E1C69C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01B9CD3E">
            <w:pPr>
              <w:autoSpaceDE w:val="0"/>
              <w:autoSpaceDN w:val="0"/>
              <w:adjustRightInd w:val="0"/>
              <w:jc w:val="center"/>
              <w:rPr>
                <w:rFonts w:hint="default" w:ascii="Times New Roman" w:hAnsi="Times New Roman" w:eastAsia="仿宋_GB2312" w:cs="Times New Roman"/>
                <w:color w:val="000000" w:themeColor="text1"/>
                <w:kern w:val="0"/>
                <w:szCs w:val="21"/>
                <w:lang w:val="en-US"/>
              </w:rPr>
            </w:pPr>
            <w:r>
              <w:rPr>
                <w:rFonts w:hint="eastAsia" w:ascii="Times New Roman" w:hAnsi="Times New Roman" w:eastAsia="仿宋_GB2312" w:cs="Times New Roman"/>
                <w:color w:val="000000" w:themeColor="text1"/>
                <w:kern w:val="0"/>
                <w:szCs w:val="21"/>
                <w:lang w:val="en-US" w:eastAsia="zh-CN"/>
              </w:rPr>
              <w:t>3.36</w:t>
            </w:r>
          </w:p>
        </w:tc>
        <w:tc>
          <w:tcPr>
            <w:tcW w:w="2195" w:type="dxa"/>
            <w:tcBorders>
              <w:top w:val="single" w:color="auto" w:sz="6" w:space="0"/>
              <w:left w:val="single" w:color="auto" w:sz="6" w:space="0"/>
              <w:bottom w:val="single" w:color="auto" w:sz="6" w:space="0"/>
              <w:right w:val="single" w:color="auto" w:sz="6" w:space="0"/>
            </w:tcBorders>
            <w:vAlign w:val="center"/>
          </w:tcPr>
          <w:p w14:paraId="5E1051C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部门项目支出本年度决算数与预算数的比率，用以反映和考核部门项目支出预算执行程度。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14:paraId="0EBE975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执行率=部门项目支出决算/部门项目支出预算×100%。决算数：部门（单位）本年度项目支出实际支出资金数。预算数：财政部门批复的本年度部门（单位）项目支出预算数以及当年批复的调整数。预算完成率≥95%得满分，每低于1%扣0.2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6E1E004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项目支出预算批复，预算调整批复、预算编制等其他资料</w:t>
            </w:r>
          </w:p>
        </w:tc>
      </w:tr>
      <w:tr w14:paraId="15D0F929">
        <w:tblPrEx>
          <w:tblCellMar>
            <w:top w:w="0" w:type="dxa"/>
            <w:left w:w="30" w:type="dxa"/>
            <w:bottom w:w="0" w:type="dxa"/>
            <w:right w:w="30" w:type="dxa"/>
          </w:tblCellMar>
        </w:tblPrEx>
        <w:trPr>
          <w:trHeight w:val="147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2734A98">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B部门管理（20分）</w:t>
            </w:r>
          </w:p>
        </w:tc>
        <w:tc>
          <w:tcPr>
            <w:tcW w:w="650" w:type="dxa"/>
            <w:tcBorders>
              <w:top w:val="single" w:color="auto" w:sz="6" w:space="0"/>
              <w:left w:val="single" w:color="auto" w:sz="6" w:space="0"/>
              <w:bottom w:val="nil"/>
              <w:right w:val="single" w:color="auto" w:sz="6" w:space="0"/>
            </w:tcBorders>
            <w:vAlign w:val="center"/>
          </w:tcPr>
          <w:p w14:paraId="3D8167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14:paraId="74165D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B13“三公经费”控制率（1分）</w:t>
            </w:r>
          </w:p>
        </w:tc>
        <w:tc>
          <w:tcPr>
            <w:tcW w:w="521" w:type="dxa"/>
            <w:tcBorders>
              <w:top w:val="single" w:color="auto" w:sz="6" w:space="0"/>
              <w:left w:val="single" w:color="auto" w:sz="6" w:space="0"/>
              <w:bottom w:val="single" w:color="auto" w:sz="6" w:space="0"/>
              <w:right w:val="single" w:color="auto" w:sz="6" w:space="0"/>
            </w:tcBorders>
            <w:vAlign w:val="center"/>
          </w:tcPr>
          <w:p w14:paraId="68AB068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39DB12E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7693DFC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部门本年度“三公”经费预算数与上年度“三公”经费预算数的变动比率，用以反映和考核部门（单位）对控制行政成本的努力程度。</w:t>
            </w:r>
          </w:p>
        </w:tc>
        <w:tc>
          <w:tcPr>
            <w:tcW w:w="2747" w:type="dxa"/>
            <w:tcBorders>
              <w:top w:val="single" w:color="auto" w:sz="6" w:space="0"/>
              <w:left w:val="single" w:color="auto" w:sz="6" w:space="0"/>
              <w:bottom w:val="single" w:color="auto" w:sz="6" w:space="0"/>
              <w:right w:val="single" w:color="auto" w:sz="6" w:space="0"/>
            </w:tcBorders>
            <w:vAlign w:val="center"/>
          </w:tcPr>
          <w:p w14:paraId="7557BD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372" w:type="dxa"/>
            <w:tcBorders>
              <w:top w:val="single" w:color="auto" w:sz="6" w:space="0"/>
              <w:left w:val="single" w:color="auto" w:sz="6" w:space="0"/>
              <w:bottom w:val="single" w:color="auto" w:sz="6" w:space="0"/>
              <w:right w:val="single" w:color="auto" w:sz="6" w:space="0"/>
            </w:tcBorders>
            <w:vAlign w:val="center"/>
          </w:tcPr>
          <w:p w14:paraId="7D908B7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三公经费使用情况</w:t>
            </w:r>
          </w:p>
        </w:tc>
      </w:tr>
      <w:tr w14:paraId="460E2664">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DC5DF0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nil"/>
              <w:left w:val="single" w:color="auto" w:sz="6" w:space="0"/>
              <w:bottom w:val="single" w:color="auto" w:sz="6" w:space="0"/>
              <w:right w:val="single" w:color="auto" w:sz="6" w:space="0"/>
            </w:tcBorders>
            <w:vAlign w:val="center"/>
          </w:tcPr>
          <w:p w14:paraId="7091010E">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502A2E2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B14预算调整情况（1分）</w:t>
            </w:r>
          </w:p>
        </w:tc>
        <w:tc>
          <w:tcPr>
            <w:tcW w:w="521" w:type="dxa"/>
            <w:tcBorders>
              <w:top w:val="single" w:color="auto" w:sz="6" w:space="0"/>
              <w:left w:val="single" w:color="auto" w:sz="6" w:space="0"/>
              <w:bottom w:val="single" w:color="auto" w:sz="6" w:space="0"/>
              <w:right w:val="single" w:color="auto" w:sz="6" w:space="0"/>
            </w:tcBorders>
            <w:vAlign w:val="center"/>
          </w:tcPr>
          <w:p w14:paraId="56EE16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0230219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35C8CB0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用以反映预算单位是否根据年中预算实际执行情况及时合规进行预算调整。</w:t>
            </w:r>
          </w:p>
        </w:tc>
        <w:tc>
          <w:tcPr>
            <w:tcW w:w="2747" w:type="dxa"/>
            <w:tcBorders>
              <w:top w:val="single" w:color="auto" w:sz="6" w:space="0"/>
              <w:left w:val="single" w:color="auto" w:sz="6" w:space="0"/>
              <w:bottom w:val="single" w:color="auto" w:sz="6" w:space="0"/>
              <w:right w:val="single" w:color="auto" w:sz="6" w:space="0"/>
            </w:tcBorders>
            <w:vAlign w:val="center"/>
          </w:tcPr>
          <w:p w14:paraId="7F7B2B39">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根据年中预算执行情况及时申请预算调整，得0.5分；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按规定程序进行预算调整，得0.5分</w:t>
            </w:r>
          </w:p>
        </w:tc>
        <w:tc>
          <w:tcPr>
            <w:tcW w:w="1372" w:type="dxa"/>
            <w:tcBorders>
              <w:top w:val="single" w:color="auto" w:sz="6" w:space="0"/>
              <w:left w:val="single" w:color="auto" w:sz="6" w:space="0"/>
              <w:bottom w:val="single" w:color="auto" w:sz="6" w:space="0"/>
              <w:right w:val="single" w:color="auto" w:sz="6" w:space="0"/>
            </w:tcBorders>
            <w:vAlign w:val="center"/>
          </w:tcPr>
          <w:p w14:paraId="1356022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预算调整相关资料</w:t>
            </w:r>
          </w:p>
        </w:tc>
      </w:tr>
      <w:tr w14:paraId="32A42EA1">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A01696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132FF4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B2财务管理（6分）</w:t>
            </w:r>
          </w:p>
        </w:tc>
        <w:tc>
          <w:tcPr>
            <w:tcW w:w="1336" w:type="dxa"/>
            <w:tcBorders>
              <w:top w:val="single" w:color="auto" w:sz="6" w:space="0"/>
              <w:left w:val="single" w:color="auto" w:sz="6" w:space="0"/>
              <w:bottom w:val="single" w:color="auto" w:sz="6" w:space="0"/>
              <w:right w:val="single" w:color="auto" w:sz="6" w:space="0"/>
            </w:tcBorders>
            <w:vAlign w:val="center"/>
          </w:tcPr>
          <w:p w14:paraId="1102313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B21财务管理制度健全性及执行情况（1分）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66674713">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27C3839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0.9</w:t>
            </w:r>
          </w:p>
        </w:tc>
        <w:tc>
          <w:tcPr>
            <w:tcW w:w="2195" w:type="dxa"/>
            <w:tcBorders>
              <w:top w:val="single" w:color="auto" w:sz="6" w:space="0"/>
              <w:left w:val="single" w:color="auto" w:sz="6" w:space="0"/>
              <w:bottom w:val="single" w:color="auto" w:sz="6" w:space="0"/>
              <w:right w:val="single" w:color="auto" w:sz="6" w:space="0"/>
            </w:tcBorders>
            <w:vAlign w:val="center"/>
          </w:tcPr>
          <w:p w14:paraId="0B3E844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部门为加强预算管理、规范财务行为而制定的财务管理制度是否健全完整。用以反映和考核部门预算管理制度对完成主要职责或促进事业发展的保障情况。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75A8256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是否已制定预算资金管理办法、内部财务管理制度、会计核算制度等管理制度，0.25分；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相关管理制度是否合法、合规、完整，0.25分；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相关管理制度是否得到有效执行，0.5分。</w:t>
            </w:r>
          </w:p>
        </w:tc>
        <w:tc>
          <w:tcPr>
            <w:tcW w:w="1372" w:type="dxa"/>
            <w:tcBorders>
              <w:top w:val="single" w:color="auto" w:sz="6" w:space="0"/>
              <w:left w:val="single" w:color="auto" w:sz="6" w:space="0"/>
              <w:bottom w:val="single" w:color="auto" w:sz="6" w:space="0"/>
              <w:right w:val="single" w:color="auto" w:sz="6" w:space="0"/>
            </w:tcBorders>
            <w:vAlign w:val="center"/>
          </w:tcPr>
          <w:p w14:paraId="621DB1F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财务管理相关制度及执行情况调研</w:t>
            </w:r>
          </w:p>
        </w:tc>
      </w:tr>
      <w:tr w14:paraId="07EF1199">
        <w:tblPrEx>
          <w:tblCellMar>
            <w:top w:w="0" w:type="dxa"/>
            <w:left w:w="30" w:type="dxa"/>
            <w:bottom w:w="0" w:type="dxa"/>
            <w:right w:w="30" w:type="dxa"/>
          </w:tblCellMar>
        </w:tblPrEx>
        <w:trPr>
          <w:trHeight w:val="151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3F92100D">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788E5052">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6576F9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B22资金使用合规性（4分）</w:t>
            </w:r>
          </w:p>
        </w:tc>
        <w:tc>
          <w:tcPr>
            <w:tcW w:w="521" w:type="dxa"/>
            <w:tcBorders>
              <w:top w:val="single" w:color="auto" w:sz="6" w:space="0"/>
              <w:left w:val="single" w:color="auto" w:sz="6" w:space="0"/>
              <w:bottom w:val="single" w:color="auto" w:sz="6" w:space="0"/>
              <w:right w:val="single" w:color="auto" w:sz="6" w:space="0"/>
            </w:tcBorders>
            <w:vAlign w:val="center"/>
          </w:tcPr>
          <w:p w14:paraId="7EDB117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2362968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29CC349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部门使用预算资金是否符合相关财务管理制度的规定，用以反映和考核部门预算资金的规范运行情况。</w:t>
            </w:r>
          </w:p>
        </w:tc>
        <w:tc>
          <w:tcPr>
            <w:tcW w:w="2747" w:type="dxa"/>
            <w:tcBorders>
              <w:top w:val="single" w:color="auto" w:sz="6" w:space="0"/>
              <w:left w:val="single" w:color="auto" w:sz="6" w:space="0"/>
              <w:bottom w:val="single" w:color="auto" w:sz="6" w:space="0"/>
              <w:right w:val="single" w:color="auto" w:sz="6" w:space="0"/>
            </w:tcBorders>
            <w:vAlign w:val="center"/>
          </w:tcPr>
          <w:p w14:paraId="3FD03D92">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符合国家财经法规和财务管理制度规定以及有关专项资金管理办法的规定,1分；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资金的拨付有完整的审批程序和手续，1分；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项目的重大开支经过专题论证，1分；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符合部门预算批复的用途，1分；</w:t>
            </w:r>
            <w:r>
              <w:rPr>
                <w:rFonts w:hint="eastAsia" w:ascii="宋体" w:hAnsi="宋体" w:eastAsia="宋体" w:cs="宋体"/>
                <w:color w:val="000000" w:themeColor="text1"/>
                <w:kern w:val="0"/>
                <w:szCs w:val="21"/>
              </w:rPr>
              <w:t>⑤</w:t>
            </w:r>
            <w:r>
              <w:rPr>
                <w:rFonts w:ascii="Times New Roman" w:hAnsi="Times New Roman" w:eastAsia="仿宋_GB2312" w:cs="Times New Roman"/>
                <w:color w:val="000000" w:themeColor="text1"/>
                <w:kern w:val="0"/>
                <w:szCs w:val="21"/>
              </w:rPr>
              <w:t>是否存在截留、挤占、挪用、虚列支出等情况，一旦存在该指标不得分。</w:t>
            </w:r>
          </w:p>
        </w:tc>
        <w:tc>
          <w:tcPr>
            <w:tcW w:w="1372" w:type="dxa"/>
            <w:tcBorders>
              <w:top w:val="single" w:color="auto" w:sz="6" w:space="0"/>
              <w:left w:val="single" w:color="auto" w:sz="6" w:space="0"/>
              <w:bottom w:val="single" w:color="auto" w:sz="6" w:space="0"/>
              <w:right w:val="single" w:color="auto" w:sz="6" w:space="0"/>
            </w:tcBorders>
            <w:vAlign w:val="center"/>
          </w:tcPr>
          <w:p w14:paraId="092E845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资金支出相关凭证、流程梳理等</w:t>
            </w:r>
          </w:p>
        </w:tc>
      </w:tr>
      <w:tr w14:paraId="78C21C9D">
        <w:tblPrEx>
          <w:tblCellMar>
            <w:top w:w="0" w:type="dxa"/>
            <w:left w:w="30" w:type="dxa"/>
            <w:bottom w:w="0" w:type="dxa"/>
            <w:right w:w="30" w:type="dxa"/>
          </w:tblCellMar>
        </w:tblPrEx>
        <w:trPr>
          <w:trHeight w:val="77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E7C34E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F85A64E">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61B2EEC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B23财务监控的有效性（1分）</w:t>
            </w:r>
          </w:p>
        </w:tc>
        <w:tc>
          <w:tcPr>
            <w:tcW w:w="521" w:type="dxa"/>
            <w:tcBorders>
              <w:top w:val="single" w:color="auto" w:sz="6" w:space="0"/>
              <w:left w:val="single" w:color="auto" w:sz="6" w:space="0"/>
              <w:bottom w:val="single" w:color="auto" w:sz="6" w:space="0"/>
              <w:right w:val="single" w:color="auto" w:sz="6" w:space="0"/>
            </w:tcBorders>
            <w:vAlign w:val="center"/>
          </w:tcPr>
          <w:p w14:paraId="38809AC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15009F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1A79E4A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用以反映部门财务监控监督工作的有效性，包括监控、监督措施的制定及执行等方面。</w:t>
            </w:r>
          </w:p>
        </w:tc>
        <w:tc>
          <w:tcPr>
            <w:tcW w:w="2747" w:type="dxa"/>
            <w:tcBorders>
              <w:top w:val="single" w:color="auto" w:sz="6" w:space="0"/>
              <w:left w:val="single" w:color="auto" w:sz="6" w:space="0"/>
              <w:bottom w:val="single" w:color="auto" w:sz="6" w:space="0"/>
              <w:right w:val="single" w:color="auto" w:sz="6" w:space="0"/>
            </w:tcBorders>
            <w:vAlign w:val="center"/>
          </w:tcPr>
          <w:p w14:paraId="4AA2A45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制定明确的财务监控监督措施，得0.5分；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监控、监督措施执行有效，得0.5分；</w:t>
            </w:r>
          </w:p>
        </w:tc>
        <w:tc>
          <w:tcPr>
            <w:tcW w:w="1372" w:type="dxa"/>
            <w:tcBorders>
              <w:top w:val="single" w:color="auto" w:sz="6" w:space="0"/>
              <w:left w:val="single" w:color="auto" w:sz="6" w:space="0"/>
              <w:bottom w:val="single" w:color="auto" w:sz="6" w:space="0"/>
              <w:right w:val="single" w:color="auto" w:sz="6" w:space="0"/>
            </w:tcBorders>
            <w:vAlign w:val="center"/>
          </w:tcPr>
          <w:p w14:paraId="46EE889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财务监控监督相关办法及条款，实际执行情况资料</w:t>
            </w:r>
          </w:p>
        </w:tc>
      </w:tr>
      <w:tr w14:paraId="5EB29FBF">
        <w:tblPrEx>
          <w:tblCellMar>
            <w:top w:w="0" w:type="dxa"/>
            <w:left w:w="30" w:type="dxa"/>
            <w:bottom w:w="0" w:type="dxa"/>
            <w:right w:w="30" w:type="dxa"/>
          </w:tblCellMar>
        </w:tblPrEx>
        <w:trPr>
          <w:trHeight w:val="131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E21F8F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A454F0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B3人力资源管理（2分）</w:t>
            </w:r>
          </w:p>
        </w:tc>
        <w:tc>
          <w:tcPr>
            <w:tcW w:w="1336" w:type="dxa"/>
            <w:tcBorders>
              <w:top w:val="single" w:color="auto" w:sz="6" w:space="0"/>
              <w:left w:val="single" w:color="auto" w:sz="6" w:space="0"/>
              <w:bottom w:val="single" w:color="auto" w:sz="6" w:space="0"/>
              <w:right w:val="single" w:color="auto" w:sz="6" w:space="0"/>
            </w:tcBorders>
            <w:vAlign w:val="center"/>
          </w:tcPr>
          <w:p w14:paraId="2303C60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B31在职人员控制率（1分）</w:t>
            </w:r>
          </w:p>
        </w:tc>
        <w:tc>
          <w:tcPr>
            <w:tcW w:w="521" w:type="dxa"/>
            <w:tcBorders>
              <w:top w:val="single" w:color="auto" w:sz="6" w:space="0"/>
              <w:left w:val="single" w:color="auto" w:sz="6" w:space="0"/>
              <w:bottom w:val="single" w:color="auto" w:sz="6" w:space="0"/>
              <w:right w:val="single" w:color="auto" w:sz="6" w:space="0"/>
            </w:tcBorders>
            <w:vAlign w:val="center"/>
          </w:tcPr>
          <w:p w14:paraId="526E680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76BE321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0390BFB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部门本年度实际在职人员数与编制数的比率，用以反映和考核部门对人员成本的控制程度。</w:t>
            </w:r>
          </w:p>
        </w:tc>
        <w:tc>
          <w:tcPr>
            <w:tcW w:w="2747" w:type="dxa"/>
            <w:tcBorders>
              <w:top w:val="single" w:color="auto" w:sz="6" w:space="0"/>
              <w:left w:val="single" w:color="auto" w:sz="6" w:space="0"/>
              <w:bottom w:val="single" w:color="auto" w:sz="6" w:space="0"/>
              <w:right w:val="single" w:color="auto" w:sz="6" w:space="0"/>
            </w:tcBorders>
            <w:vAlign w:val="center"/>
          </w:tcPr>
          <w:p w14:paraId="2D06CCF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372" w:type="dxa"/>
            <w:tcBorders>
              <w:top w:val="single" w:color="auto" w:sz="6" w:space="0"/>
              <w:left w:val="single" w:color="auto" w:sz="6" w:space="0"/>
              <w:bottom w:val="single" w:color="auto" w:sz="6" w:space="0"/>
              <w:right w:val="single" w:color="auto" w:sz="6" w:space="0"/>
            </w:tcBorders>
            <w:vAlign w:val="center"/>
          </w:tcPr>
          <w:p w14:paraId="4EC879D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部门编制数、在职人数、年内变化情况</w:t>
            </w:r>
          </w:p>
        </w:tc>
      </w:tr>
      <w:tr w14:paraId="5A9E7127">
        <w:tblPrEx>
          <w:tblCellMar>
            <w:top w:w="0" w:type="dxa"/>
            <w:left w:w="30" w:type="dxa"/>
            <w:bottom w:w="0" w:type="dxa"/>
            <w:right w:w="30" w:type="dxa"/>
          </w:tblCellMar>
        </w:tblPrEx>
        <w:trPr>
          <w:trHeight w:val="97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8A68977">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7413A1E3">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EC6BCA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B32人力资源管理执行情况（1分）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511D4C0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09EA29F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09011E2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考察部门人力资源管理的健全性及执行规范性，包括在编、派遣、临时员工的管理，包括招聘、培训、工资发放及考核等。</w:t>
            </w:r>
          </w:p>
        </w:tc>
        <w:tc>
          <w:tcPr>
            <w:tcW w:w="2747" w:type="dxa"/>
            <w:tcBorders>
              <w:top w:val="single" w:color="auto" w:sz="6" w:space="0"/>
              <w:left w:val="single" w:color="auto" w:sz="6" w:space="0"/>
              <w:bottom w:val="single" w:color="auto" w:sz="6" w:space="0"/>
              <w:right w:val="single" w:color="auto" w:sz="6" w:space="0"/>
            </w:tcBorders>
            <w:vAlign w:val="center"/>
          </w:tcPr>
          <w:p w14:paraId="247E6146">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有具体的人力资源管理制度文件或参照文件，得0.5分；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严格按照相关文件对各类型人员进行管理和考核，得0.5分</w:t>
            </w:r>
          </w:p>
        </w:tc>
        <w:tc>
          <w:tcPr>
            <w:tcW w:w="1372" w:type="dxa"/>
            <w:tcBorders>
              <w:top w:val="single" w:color="auto" w:sz="6" w:space="0"/>
              <w:left w:val="single" w:color="auto" w:sz="6" w:space="0"/>
              <w:bottom w:val="single" w:color="auto" w:sz="6" w:space="0"/>
              <w:right w:val="single" w:color="auto" w:sz="6" w:space="0"/>
            </w:tcBorders>
            <w:vAlign w:val="center"/>
          </w:tcPr>
          <w:p w14:paraId="3DAB78D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人力资源管理相关文件及实施情况</w:t>
            </w:r>
          </w:p>
        </w:tc>
      </w:tr>
      <w:tr w14:paraId="74F1E35A">
        <w:tblPrEx>
          <w:tblCellMar>
            <w:top w:w="0" w:type="dxa"/>
            <w:left w:w="30" w:type="dxa"/>
            <w:bottom w:w="0" w:type="dxa"/>
            <w:right w:w="30" w:type="dxa"/>
          </w:tblCellMar>
        </w:tblPrEx>
        <w:trPr>
          <w:trHeight w:val="112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B6D61A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052A71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B4资产管理（2分）</w:t>
            </w:r>
          </w:p>
        </w:tc>
        <w:tc>
          <w:tcPr>
            <w:tcW w:w="1336" w:type="dxa"/>
            <w:tcBorders>
              <w:top w:val="single" w:color="auto" w:sz="6" w:space="0"/>
              <w:left w:val="single" w:color="auto" w:sz="6" w:space="0"/>
              <w:bottom w:val="single" w:color="auto" w:sz="6" w:space="0"/>
              <w:right w:val="single" w:color="auto" w:sz="6" w:space="0"/>
            </w:tcBorders>
            <w:vAlign w:val="center"/>
          </w:tcPr>
          <w:p w14:paraId="6D79BAE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B41资产管理制度健全性及执行情况（1分）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614B8B2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FE44B36">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3E02825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部门为加强资产管理、规范资产使用而制定的资产管理制度是否健全完整，用以反映和考核部门资产管理制度对完成主要职责或促进事业发展的保障情况。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0A08B640">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是否已制定或具有固定资产管理办法、资产使用办法等管理制度，得0.25分；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相关管理制度是否合法、合规、完整，得0.25分；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相关管理制度是否得到有效执行，得0.5分。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14:paraId="77D1FF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资产管理相关办法</w:t>
            </w:r>
          </w:p>
        </w:tc>
      </w:tr>
      <w:tr w14:paraId="75660741">
        <w:tblPrEx>
          <w:tblCellMar>
            <w:top w:w="0" w:type="dxa"/>
            <w:left w:w="30" w:type="dxa"/>
            <w:bottom w:w="0" w:type="dxa"/>
            <w:right w:w="30" w:type="dxa"/>
          </w:tblCellMar>
        </w:tblPrEx>
        <w:trPr>
          <w:trHeight w:val="91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180499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CADDFBD">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EBF13E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B42固定资产在用率（1分）</w:t>
            </w:r>
          </w:p>
        </w:tc>
        <w:tc>
          <w:tcPr>
            <w:tcW w:w="521" w:type="dxa"/>
            <w:tcBorders>
              <w:top w:val="single" w:color="auto" w:sz="6" w:space="0"/>
              <w:left w:val="single" w:color="auto" w:sz="6" w:space="0"/>
              <w:bottom w:val="single" w:color="auto" w:sz="6" w:space="0"/>
              <w:right w:val="single" w:color="auto" w:sz="6" w:space="0"/>
            </w:tcBorders>
            <w:vAlign w:val="center"/>
          </w:tcPr>
          <w:p w14:paraId="01DD746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66F4229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59E2A83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部门实际在用固定资产总额与所有固定资产总额的比率，用以反映和考核部门固定资产使用效率及程度。</w:t>
            </w:r>
          </w:p>
        </w:tc>
        <w:tc>
          <w:tcPr>
            <w:tcW w:w="2747" w:type="dxa"/>
            <w:tcBorders>
              <w:top w:val="single" w:color="auto" w:sz="6" w:space="0"/>
              <w:left w:val="single" w:color="auto" w:sz="6" w:space="0"/>
              <w:bottom w:val="single" w:color="auto" w:sz="6" w:space="0"/>
              <w:right w:val="single" w:color="auto" w:sz="6" w:space="0"/>
            </w:tcBorders>
            <w:vAlign w:val="center"/>
          </w:tcPr>
          <w:p w14:paraId="204E33F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固定资产在用率=（实际在用固定资产总额/所有固定资产总额）×100%。固定资产在用率达到95%以上得满分.每降低1%扣权重分（1分）的5%，扣完为止。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2ABABA4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固定资产卡片、固定资产使用信息等</w:t>
            </w:r>
          </w:p>
        </w:tc>
      </w:tr>
      <w:tr w14:paraId="79E0563A">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FAA1C1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A61241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B5业务管理（3分）</w:t>
            </w:r>
          </w:p>
        </w:tc>
        <w:tc>
          <w:tcPr>
            <w:tcW w:w="1336" w:type="dxa"/>
            <w:tcBorders>
              <w:top w:val="single" w:color="auto" w:sz="6" w:space="0"/>
              <w:left w:val="single" w:color="auto" w:sz="6" w:space="0"/>
              <w:bottom w:val="single" w:color="auto" w:sz="6" w:space="0"/>
              <w:right w:val="single" w:color="auto" w:sz="6" w:space="0"/>
            </w:tcBorders>
            <w:vAlign w:val="center"/>
          </w:tcPr>
          <w:p w14:paraId="4FF1F6C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B51业务管理制度健全性及执行情况（1分）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5D2E7E0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5B9E13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0.9</w:t>
            </w:r>
          </w:p>
        </w:tc>
        <w:tc>
          <w:tcPr>
            <w:tcW w:w="2195" w:type="dxa"/>
            <w:tcBorders>
              <w:top w:val="single" w:color="auto" w:sz="6" w:space="0"/>
              <w:left w:val="single" w:color="auto" w:sz="6" w:space="0"/>
              <w:bottom w:val="single" w:color="auto" w:sz="6" w:space="0"/>
              <w:right w:val="single" w:color="auto" w:sz="6" w:space="0"/>
            </w:tcBorders>
            <w:vAlign w:val="center"/>
          </w:tcPr>
          <w:p w14:paraId="4628454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部门为加强业务管理、规范业务执行而制定的管理制度是否健全完整，用以反映和考核部门业务管理制度对完成主要职责或促进事业发展的保障情况。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20FAD4C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已制定或具有业务管理、项目管理等管理制度，得0.25分；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相关管理制度合法、合规、完整，得0.25分；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14:paraId="46B62CD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业务管理相关办法及执行情况资料</w:t>
            </w:r>
          </w:p>
        </w:tc>
      </w:tr>
      <w:tr w14:paraId="3A7A468A">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BBAF26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6E112C1">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77F572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B52政府采购规范性（1分）</w:t>
            </w:r>
          </w:p>
        </w:tc>
        <w:tc>
          <w:tcPr>
            <w:tcW w:w="521" w:type="dxa"/>
            <w:tcBorders>
              <w:top w:val="single" w:color="auto" w:sz="6" w:space="0"/>
              <w:left w:val="single" w:color="auto" w:sz="6" w:space="0"/>
              <w:bottom w:val="single" w:color="auto" w:sz="6" w:space="0"/>
              <w:right w:val="single" w:color="auto" w:sz="6" w:space="0"/>
            </w:tcBorders>
            <w:vAlign w:val="center"/>
          </w:tcPr>
          <w:p w14:paraId="79F5CD24">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78895B8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24E3A6F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考察政府采购项目的采购程序、采购方式的规范性</w:t>
            </w:r>
          </w:p>
        </w:tc>
        <w:tc>
          <w:tcPr>
            <w:tcW w:w="2747" w:type="dxa"/>
            <w:tcBorders>
              <w:top w:val="single" w:color="auto" w:sz="6" w:space="0"/>
              <w:left w:val="single" w:color="auto" w:sz="6" w:space="0"/>
              <w:bottom w:val="single" w:color="auto" w:sz="6" w:space="0"/>
              <w:right w:val="single" w:color="auto" w:sz="6" w:space="0"/>
            </w:tcBorders>
            <w:vAlign w:val="center"/>
          </w:tcPr>
          <w:p w14:paraId="6E36643E">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政府采购方式、程序都规范，得满分；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采购方式、程序中每有一点不规范，扣0.5分，扣完为止。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04D76FF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政府采购相关资料</w:t>
            </w:r>
          </w:p>
        </w:tc>
      </w:tr>
      <w:tr w14:paraId="28456EA4">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9436428">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3D3F118">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375FB0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B53监督考核情况（1分）</w:t>
            </w:r>
          </w:p>
        </w:tc>
        <w:tc>
          <w:tcPr>
            <w:tcW w:w="521" w:type="dxa"/>
            <w:tcBorders>
              <w:top w:val="single" w:color="auto" w:sz="6" w:space="0"/>
              <w:left w:val="single" w:color="auto" w:sz="6" w:space="0"/>
              <w:bottom w:val="single" w:color="auto" w:sz="6" w:space="0"/>
              <w:right w:val="single" w:color="auto" w:sz="6" w:space="0"/>
            </w:tcBorders>
            <w:vAlign w:val="center"/>
          </w:tcPr>
          <w:p w14:paraId="5AB2E78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46103B51">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7D3CAE1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考察部门是否对各所属单位或项目实施主体进行工作监督和定期考核。</w:t>
            </w:r>
          </w:p>
        </w:tc>
        <w:tc>
          <w:tcPr>
            <w:tcW w:w="2747" w:type="dxa"/>
            <w:tcBorders>
              <w:top w:val="single" w:color="auto" w:sz="6" w:space="0"/>
              <w:left w:val="single" w:color="auto" w:sz="6" w:space="0"/>
              <w:bottom w:val="single" w:color="auto" w:sz="6" w:space="0"/>
              <w:right w:val="single" w:color="auto" w:sz="6" w:space="0"/>
            </w:tcBorders>
            <w:vAlign w:val="center"/>
          </w:tcPr>
          <w:p w14:paraId="4A3BAAE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有定期指导记录、考核结果，得1分，缺少项视情况酌情进行扣分。</w:t>
            </w:r>
          </w:p>
        </w:tc>
        <w:tc>
          <w:tcPr>
            <w:tcW w:w="1372" w:type="dxa"/>
            <w:tcBorders>
              <w:top w:val="single" w:color="auto" w:sz="6" w:space="0"/>
              <w:left w:val="single" w:color="auto" w:sz="6" w:space="0"/>
              <w:bottom w:val="single" w:color="auto" w:sz="6" w:space="0"/>
              <w:right w:val="single" w:color="auto" w:sz="6" w:space="0"/>
            </w:tcBorders>
            <w:vAlign w:val="center"/>
          </w:tcPr>
          <w:p w14:paraId="1BF8B92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监督考核记录等</w:t>
            </w:r>
          </w:p>
        </w:tc>
      </w:tr>
      <w:tr w14:paraId="2695AA28">
        <w:tblPrEx>
          <w:tblCellMar>
            <w:top w:w="0" w:type="dxa"/>
            <w:left w:w="30" w:type="dxa"/>
            <w:bottom w:w="0" w:type="dxa"/>
            <w:right w:w="30" w:type="dxa"/>
          </w:tblCellMar>
        </w:tblPrEx>
        <w:trPr>
          <w:trHeight w:val="1298" w:hRule="atLeast"/>
          <w:jc w:val="center"/>
        </w:trPr>
        <w:tc>
          <w:tcPr>
            <w:tcW w:w="551" w:type="dxa"/>
            <w:vMerge w:val="restart"/>
            <w:tcBorders>
              <w:top w:val="single" w:color="auto" w:sz="6" w:space="0"/>
              <w:left w:val="single" w:color="auto" w:sz="6" w:space="0"/>
              <w:right w:val="single" w:color="auto" w:sz="6" w:space="0"/>
            </w:tcBorders>
            <w:vAlign w:val="center"/>
          </w:tcPr>
          <w:p w14:paraId="1C55224F">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C部门绩效（45分）</w:t>
            </w:r>
          </w:p>
          <w:p w14:paraId="4FF6B630">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w:t>
            </w:r>
          </w:p>
        </w:tc>
        <w:tc>
          <w:tcPr>
            <w:tcW w:w="650" w:type="dxa"/>
            <w:tcBorders>
              <w:top w:val="single" w:color="auto" w:sz="6" w:space="0"/>
              <w:left w:val="single" w:color="auto" w:sz="6" w:space="0"/>
              <w:bottom w:val="single" w:color="auto" w:sz="6" w:space="0"/>
              <w:right w:val="single" w:color="auto" w:sz="6" w:space="0"/>
            </w:tcBorders>
            <w:vAlign w:val="center"/>
          </w:tcPr>
          <w:p w14:paraId="0F57E7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14:paraId="555AB28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C101</w:t>
            </w:r>
            <w:r>
              <w:rPr>
                <w:rFonts w:hint="eastAsia" w:ascii="Times New Roman" w:hAnsi="Times New Roman" w:eastAsia="仿宋_GB2312" w:cs="Times New Roman"/>
                <w:color w:val="000000" w:themeColor="text1"/>
                <w:kern w:val="0"/>
                <w:szCs w:val="21"/>
              </w:rPr>
              <w:t>经济效益</w:t>
            </w:r>
            <w:r>
              <w:rPr>
                <w:rFonts w:ascii="Times New Roman" w:hAnsi="Times New Roman" w:eastAsia="仿宋_GB2312" w:cs="Times New Roman"/>
                <w:color w:val="000000" w:themeColor="text1"/>
                <w:kern w:val="0"/>
                <w:szCs w:val="21"/>
              </w:rPr>
              <w:t>完成情况（</w:t>
            </w:r>
            <w:r>
              <w:rPr>
                <w:rFonts w:hint="eastAsia" w:ascii="Times New Roman" w:hAnsi="Times New Roman" w:eastAsia="仿宋_GB2312" w:cs="Times New Roman"/>
                <w:color w:val="000000" w:themeColor="text1"/>
                <w:kern w:val="0"/>
                <w:szCs w:val="21"/>
              </w:rPr>
              <w:t>18</w:t>
            </w:r>
            <w:r>
              <w:rPr>
                <w:rFonts w:ascii="Times New Roman" w:hAnsi="Times New Roman" w:eastAsia="仿宋_GB2312" w:cs="Times New Roman"/>
                <w:color w:val="000000" w:themeColor="text1"/>
                <w:kern w:val="0"/>
                <w:szCs w:val="21"/>
              </w:rPr>
              <w:t>分）</w:t>
            </w:r>
          </w:p>
        </w:tc>
        <w:tc>
          <w:tcPr>
            <w:tcW w:w="521" w:type="dxa"/>
            <w:tcBorders>
              <w:top w:val="single" w:color="auto" w:sz="6" w:space="0"/>
              <w:left w:val="single" w:color="auto" w:sz="6" w:space="0"/>
              <w:bottom w:val="single" w:color="auto" w:sz="6" w:space="0"/>
              <w:right w:val="single" w:color="auto" w:sz="6" w:space="0"/>
            </w:tcBorders>
            <w:vAlign w:val="center"/>
          </w:tcPr>
          <w:p w14:paraId="72A4E60C">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18</w:t>
            </w:r>
          </w:p>
        </w:tc>
        <w:tc>
          <w:tcPr>
            <w:tcW w:w="600" w:type="dxa"/>
            <w:tcBorders>
              <w:top w:val="single" w:color="auto" w:sz="6" w:space="0"/>
              <w:left w:val="single" w:color="auto" w:sz="6" w:space="0"/>
              <w:bottom w:val="single" w:color="auto" w:sz="6" w:space="0"/>
              <w:right w:val="single" w:color="auto" w:sz="6" w:space="0"/>
            </w:tcBorders>
            <w:vAlign w:val="center"/>
          </w:tcPr>
          <w:p w14:paraId="70735D9B">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16.5</w:t>
            </w:r>
          </w:p>
        </w:tc>
        <w:tc>
          <w:tcPr>
            <w:tcW w:w="2195" w:type="dxa"/>
            <w:tcBorders>
              <w:top w:val="single" w:color="auto" w:sz="6" w:space="0"/>
              <w:left w:val="single" w:color="auto" w:sz="6" w:space="0"/>
              <w:bottom w:val="single" w:color="auto" w:sz="6" w:space="0"/>
              <w:right w:val="single" w:color="auto" w:sz="6" w:space="0"/>
            </w:tcBorders>
            <w:vAlign w:val="center"/>
          </w:tcPr>
          <w:p w14:paraId="083DB0B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根据项目实际，标识所产生的直接或间接的经济效益</w:t>
            </w:r>
          </w:p>
        </w:tc>
        <w:tc>
          <w:tcPr>
            <w:tcW w:w="2747" w:type="dxa"/>
            <w:tcBorders>
              <w:top w:val="single" w:color="auto" w:sz="6" w:space="0"/>
              <w:left w:val="single" w:color="auto" w:sz="6" w:space="0"/>
              <w:bottom w:val="single" w:color="auto" w:sz="6" w:space="0"/>
              <w:right w:val="single" w:color="auto" w:sz="6" w:space="0"/>
            </w:tcBorders>
            <w:vAlign w:val="center"/>
          </w:tcPr>
          <w:p w14:paraId="2AAE217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对照绩效目标，按经济效益实现程度计算得分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000902BE">
            <w:pPr>
              <w:autoSpaceDE w:val="0"/>
              <w:autoSpaceDN w:val="0"/>
              <w:adjustRightInd w:val="0"/>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经济效益实施情况资料</w:t>
            </w:r>
          </w:p>
        </w:tc>
      </w:tr>
      <w:tr w14:paraId="2C155BB5">
        <w:tblPrEx>
          <w:tblCellMar>
            <w:top w:w="0" w:type="dxa"/>
            <w:left w:w="30" w:type="dxa"/>
            <w:bottom w:w="0" w:type="dxa"/>
            <w:right w:w="30" w:type="dxa"/>
          </w:tblCellMar>
        </w:tblPrEx>
        <w:trPr>
          <w:trHeight w:val="809" w:hRule="atLeast"/>
          <w:jc w:val="center"/>
        </w:trPr>
        <w:tc>
          <w:tcPr>
            <w:tcW w:w="551" w:type="dxa"/>
            <w:vMerge w:val="continue"/>
            <w:tcBorders>
              <w:left w:val="single" w:color="auto" w:sz="6" w:space="0"/>
              <w:right w:val="single" w:color="auto" w:sz="6" w:space="0"/>
            </w:tcBorders>
            <w:vAlign w:val="center"/>
          </w:tcPr>
          <w:p w14:paraId="776AA8D6">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BA5F6C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w:t>
            </w:r>
            <w:r>
              <w:rPr>
                <w:rFonts w:hint="eastAsia" w:ascii="Times New Roman" w:hAnsi="Times New Roman" w:eastAsia="仿宋_GB2312" w:cs="Times New Roman"/>
                <w:color w:val="000000" w:themeColor="text1"/>
                <w:kern w:val="0"/>
                <w:szCs w:val="21"/>
              </w:rPr>
              <w:t>9</w:t>
            </w:r>
            <w:r>
              <w:rPr>
                <w:rFonts w:ascii="Times New Roman" w:hAnsi="Times New Roman" w:eastAsia="仿宋_GB2312" w:cs="Times New Roman"/>
                <w:color w:val="000000" w:themeColor="text1"/>
                <w:kern w:val="0"/>
                <w:szCs w:val="21"/>
              </w:rPr>
              <w:t>分）</w:t>
            </w:r>
          </w:p>
        </w:tc>
        <w:tc>
          <w:tcPr>
            <w:tcW w:w="1336" w:type="dxa"/>
            <w:tcBorders>
              <w:top w:val="single" w:color="auto" w:sz="6" w:space="0"/>
              <w:left w:val="single" w:color="auto" w:sz="6" w:space="0"/>
              <w:bottom w:val="single" w:color="auto" w:sz="6" w:space="0"/>
              <w:right w:val="single" w:color="auto" w:sz="6" w:space="0"/>
            </w:tcBorders>
            <w:vAlign w:val="center"/>
          </w:tcPr>
          <w:p w14:paraId="25A008F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C102</w:t>
            </w:r>
            <w:r>
              <w:rPr>
                <w:rFonts w:hint="eastAsia" w:ascii="Times New Roman" w:hAnsi="Times New Roman" w:eastAsia="仿宋_GB2312" w:cs="Times New Roman"/>
                <w:color w:val="000000" w:themeColor="text1"/>
                <w:kern w:val="0"/>
                <w:szCs w:val="21"/>
              </w:rPr>
              <w:t>社会公众和服务对象满意度</w:t>
            </w:r>
            <w:r>
              <w:rPr>
                <w:rFonts w:ascii="Times New Roman" w:hAnsi="Times New Roman" w:eastAsia="仿宋_GB2312" w:cs="Times New Roman"/>
                <w:color w:val="000000" w:themeColor="text1"/>
                <w:kern w:val="0"/>
                <w:szCs w:val="21"/>
              </w:rPr>
              <w:t>（9分）</w:t>
            </w:r>
          </w:p>
        </w:tc>
        <w:tc>
          <w:tcPr>
            <w:tcW w:w="521" w:type="dxa"/>
            <w:tcBorders>
              <w:top w:val="single" w:color="auto" w:sz="6" w:space="0"/>
              <w:left w:val="single" w:color="auto" w:sz="6" w:space="0"/>
              <w:bottom w:val="single" w:color="auto" w:sz="6" w:space="0"/>
              <w:right w:val="single" w:color="auto" w:sz="6" w:space="0"/>
            </w:tcBorders>
            <w:vAlign w:val="center"/>
          </w:tcPr>
          <w:p w14:paraId="66771B66">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9</w:t>
            </w:r>
          </w:p>
        </w:tc>
        <w:tc>
          <w:tcPr>
            <w:tcW w:w="600" w:type="dxa"/>
            <w:tcBorders>
              <w:top w:val="single" w:color="auto" w:sz="6" w:space="0"/>
              <w:left w:val="single" w:color="auto" w:sz="6" w:space="0"/>
              <w:bottom w:val="single" w:color="auto" w:sz="6" w:space="0"/>
              <w:right w:val="single" w:color="auto" w:sz="6" w:space="0"/>
            </w:tcBorders>
            <w:vAlign w:val="center"/>
          </w:tcPr>
          <w:p w14:paraId="31CF2C2D">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8.5</w:t>
            </w:r>
          </w:p>
        </w:tc>
        <w:tc>
          <w:tcPr>
            <w:tcW w:w="2195" w:type="dxa"/>
            <w:tcBorders>
              <w:top w:val="single" w:color="auto" w:sz="6" w:space="0"/>
              <w:left w:val="single" w:color="auto" w:sz="6" w:space="0"/>
              <w:bottom w:val="single" w:color="auto" w:sz="6" w:space="0"/>
              <w:right w:val="single" w:color="auto" w:sz="6" w:space="0"/>
            </w:tcBorders>
            <w:vAlign w:val="center"/>
          </w:tcPr>
          <w:p w14:paraId="7B7F6C0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项目预期服务对象对项目实施的满意程度</w:t>
            </w:r>
          </w:p>
        </w:tc>
        <w:tc>
          <w:tcPr>
            <w:tcW w:w="2747" w:type="dxa"/>
            <w:tcBorders>
              <w:top w:val="single" w:color="auto" w:sz="6" w:space="0"/>
              <w:left w:val="single" w:color="auto" w:sz="6" w:space="0"/>
              <w:bottom w:val="single" w:color="auto" w:sz="6" w:space="0"/>
              <w:right w:val="single" w:color="auto" w:sz="6" w:space="0"/>
            </w:tcBorders>
            <w:vAlign w:val="center"/>
          </w:tcPr>
          <w:p w14:paraId="34028937">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按收集到的项目服务对象的满意率计算得分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00A096F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政府采购项目实施情况资料</w:t>
            </w:r>
          </w:p>
        </w:tc>
      </w:tr>
      <w:tr w14:paraId="3C5CA77B">
        <w:tblPrEx>
          <w:tblCellMar>
            <w:top w:w="0" w:type="dxa"/>
            <w:left w:w="30" w:type="dxa"/>
            <w:bottom w:w="0" w:type="dxa"/>
            <w:right w:w="30" w:type="dxa"/>
          </w:tblCellMar>
        </w:tblPrEx>
        <w:trPr>
          <w:trHeight w:val="1339" w:hRule="atLeast"/>
          <w:jc w:val="center"/>
        </w:trPr>
        <w:tc>
          <w:tcPr>
            <w:tcW w:w="551" w:type="dxa"/>
            <w:vMerge w:val="continue"/>
            <w:tcBorders>
              <w:left w:val="single" w:color="auto" w:sz="6" w:space="0"/>
              <w:bottom w:val="single" w:color="auto" w:sz="6" w:space="0"/>
              <w:right w:val="single" w:color="auto" w:sz="6" w:space="0"/>
            </w:tcBorders>
            <w:vAlign w:val="center"/>
          </w:tcPr>
          <w:p w14:paraId="65AEF79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B6323D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14:paraId="7BCCA61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C103</w:t>
            </w:r>
            <w:r>
              <w:rPr>
                <w:rFonts w:hint="eastAsia" w:ascii="Times New Roman" w:hAnsi="Times New Roman" w:eastAsia="仿宋_GB2312" w:cs="Times New Roman"/>
                <w:color w:val="000000" w:themeColor="text1"/>
                <w:kern w:val="0"/>
                <w:szCs w:val="21"/>
              </w:rPr>
              <w:t>社会效益</w:t>
            </w:r>
            <w:r>
              <w:rPr>
                <w:rFonts w:ascii="Times New Roman" w:hAnsi="Times New Roman" w:eastAsia="仿宋_GB2312" w:cs="Times New Roman"/>
                <w:color w:val="000000" w:themeColor="text1"/>
                <w:kern w:val="0"/>
                <w:szCs w:val="21"/>
              </w:rPr>
              <w:t>完成情况（</w:t>
            </w:r>
            <w:r>
              <w:rPr>
                <w:rFonts w:hint="eastAsia" w:ascii="Times New Roman" w:hAnsi="Times New Roman" w:eastAsia="仿宋_GB2312" w:cs="Times New Roman"/>
                <w:color w:val="000000" w:themeColor="text1"/>
                <w:kern w:val="0"/>
                <w:szCs w:val="21"/>
              </w:rPr>
              <w:t>18</w:t>
            </w:r>
            <w:r>
              <w:rPr>
                <w:rFonts w:ascii="Times New Roman" w:hAnsi="Times New Roman" w:eastAsia="仿宋_GB2312" w:cs="Times New Roman"/>
                <w:color w:val="000000" w:themeColor="text1"/>
                <w:kern w:val="0"/>
                <w:szCs w:val="21"/>
              </w:rPr>
              <w:t>分）</w:t>
            </w:r>
          </w:p>
        </w:tc>
        <w:tc>
          <w:tcPr>
            <w:tcW w:w="521" w:type="dxa"/>
            <w:tcBorders>
              <w:top w:val="single" w:color="auto" w:sz="6" w:space="0"/>
              <w:left w:val="single" w:color="auto" w:sz="6" w:space="0"/>
              <w:bottom w:val="single" w:color="auto" w:sz="6" w:space="0"/>
              <w:right w:val="single" w:color="auto" w:sz="6" w:space="0"/>
            </w:tcBorders>
            <w:vAlign w:val="center"/>
          </w:tcPr>
          <w:p w14:paraId="59A93532">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18</w:t>
            </w:r>
          </w:p>
        </w:tc>
        <w:tc>
          <w:tcPr>
            <w:tcW w:w="600" w:type="dxa"/>
            <w:tcBorders>
              <w:top w:val="single" w:color="auto" w:sz="6" w:space="0"/>
              <w:left w:val="single" w:color="auto" w:sz="6" w:space="0"/>
              <w:bottom w:val="single" w:color="auto" w:sz="6" w:space="0"/>
              <w:right w:val="single" w:color="auto" w:sz="6" w:space="0"/>
            </w:tcBorders>
            <w:vAlign w:val="center"/>
          </w:tcPr>
          <w:p w14:paraId="5294F96F">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17.4</w:t>
            </w:r>
          </w:p>
        </w:tc>
        <w:tc>
          <w:tcPr>
            <w:tcW w:w="2195" w:type="dxa"/>
            <w:tcBorders>
              <w:top w:val="single" w:color="auto" w:sz="6" w:space="0"/>
              <w:left w:val="single" w:color="auto" w:sz="6" w:space="0"/>
              <w:bottom w:val="single" w:color="auto" w:sz="6" w:space="0"/>
              <w:right w:val="single" w:color="auto" w:sz="6" w:space="0"/>
            </w:tcBorders>
            <w:vAlign w:val="center"/>
          </w:tcPr>
          <w:p w14:paraId="6C7A2833">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根据项目实际，标识所产生的社会效益</w:t>
            </w:r>
          </w:p>
        </w:tc>
        <w:tc>
          <w:tcPr>
            <w:tcW w:w="2747" w:type="dxa"/>
            <w:tcBorders>
              <w:top w:val="single" w:color="auto" w:sz="6" w:space="0"/>
              <w:left w:val="single" w:color="auto" w:sz="6" w:space="0"/>
              <w:bottom w:val="single" w:color="auto" w:sz="6" w:space="0"/>
              <w:right w:val="single" w:color="auto" w:sz="6" w:space="0"/>
            </w:tcBorders>
            <w:vAlign w:val="center"/>
          </w:tcPr>
          <w:p w14:paraId="4F4870D9">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对照绩效目标，按社会效益实现程度计算得分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2B66EA44">
            <w:pPr>
              <w:autoSpaceDE w:val="0"/>
              <w:autoSpaceDN w:val="0"/>
              <w:adjustRightInd w:val="0"/>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社会效益</w:t>
            </w:r>
            <w:r>
              <w:rPr>
                <w:rFonts w:ascii="Times New Roman" w:hAnsi="Times New Roman" w:eastAsia="仿宋_GB2312" w:cs="Times New Roman"/>
                <w:color w:val="000000" w:themeColor="text1"/>
                <w:kern w:val="0"/>
                <w:szCs w:val="21"/>
              </w:rPr>
              <w:t>情况资料</w:t>
            </w:r>
          </w:p>
        </w:tc>
      </w:tr>
      <w:tr w14:paraId="186A5D05">
        <w:tblPrEx>
          <w:tblCellMar>
            <w:top w:w="0" w:type="dxa"/>
            <w:left w:w="30" w:type="dxa"/>
            <w:bottom w:w="0" w:type="dxa"/>
            <w:right w:w="30" w:type="dxa"/>
          </w:tblCellMar>
        </w:tblPrEx>
        <w:trPr>
          <w:trHeight w:val="422" w:hRule="atLeast"/>
          <w:jc w:val="center"/>
        </w:trPr>
        <w:tc>
          <w:tcPr>
            <w:tcW w:w="551" w:type="dxa"/>
            <w:tcBorders>
              <w:top w:val="single" w:color="auto" w:sz="6" w:space="0"/>
              <w:left w:val="single" w:color="auto" w:sz="6" w:space="0"/>
              <w:bottom w:val="single" w:color="auto" w:sz="6" w:space="0"/>
              <w:right w:val="single" w:color="auto" w:sz="6" w:space="0"/>
            </w:tcBorders>
          </w:tcPr>
          <w:p w14:paraId="14AE57DD">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合计</w:t>
            </w:r>
          </w:p>
        </w:tc>
        <w:tc>
          <w:tcPr>
            <w:tcW w:w="650" w:type="dxa"/>
            <w:tcBorders>
              <w:top w:val="single" w:color="auto" w:sz="6" w:space="0"/>
              <w:left w:val="single" w:color="auto" w:sz="6" w:space="0"/>
              <w:bottom w:val="single" w:color="auto" w:sz="6" w:space="0"/>
              <w:right w:val="single" w:color="auto" w:sz="6" w:space="0"/>
            </w:tcBorders>
          </w:tcPr>
          <w:p w14:paraId="78F47F9D">
            <w:pPr>
              <w:autoSpaceDE w:val="0"/>
              <w:autoSpaceDN w:val="0"/>
              <w:adjustRightInd w:val="0"/>
              <w:jc w:val="center"/>
              <w:rPr>
                <w:rFonts w:ascii="Times New Roman" w:hAnsi="Times New Roman" w:eastAsia="仿宋_GB2312" w:cs="Times New Roman"/>
                <w:b/>
                <w:bCs/>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tcPr>
          <w:p w14:paraId="01AACA26">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100分</w:t>
            </w:r>
          </w:p>
        </w:tc>
        <w:tc>
          <w:tcPr>
            <w:tcW w:w="521" w:type="dxa"/>
            <w:tcBorders>
              <w:top w:val="single" w:color="auto" w:sz="6" w:space="0"/>
              <w:left w:val="single" w:color="auto" w:sz="6" w:space="0"/>
              <w:bottom w:val="single" w:color="auto" w:sz="6" w:space="0"/>
              <w:right w:val="single" w:color="auto" w:sz="6" w:space="0"/>
            </w:tcBorders>
          </w:tcPr>
          <w:p w14:paraId="45537D37">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100</w:t>
            </w:r>
          </w:p>
        </w:tc>
        <w:tc>
          <w:tcPr>
            <w:tcW w:w="600" w:type="dxa"/>
            <w:tcBorders>
              <w:top w:val="single" w:color="auto" w:sz="6" w:space="0"/>
              <w:left w:val="single" w:color="auto" w:sz="6" w:space="0"/>
              <w:bottom w:val="single" w:color="auto" w:sz="6" w:space="0"/>
              <w:right w:val="single" w:color="auto" w:sz="6" w:space="0"/>
            </w:tcBorders>
          </w:tcPr>
          <w:p w14:paraId="0D5DD5E1">
            <w:pPr>
              <w:autoSpaceDE w:val="0"/>
              <w:autoSpaceDN w:val="0"/>
              <w:adjustRightInd w:val="0"/>
              <w:jc w:val="center"/>
              <w:rPr>
                <w:rFonts w:ascii="Times New Roman" w:hAnsi="Times New Roman" w:eastAsia="仿宋_GB2312" w:cs="Times New Roman"/>
                <w:b/>
                <w:bCs/>
                <w:color w:val="000000" w:themeColor="text1"/>
                <w:kern w:val="0"/>
                <w:szCs w:val="21"/>
              </w:rPr>
            </w:pPr>
            <w:r>
              <w:rPr>
                <w:rFonts w:hint="eastAsia" w:ascii="Times New Roman" w:hAnsi="Times New Roman" w:eastAsia="仿宋_GB2312" w:cs="Times New Roman"/>
                <w:b/>
                <w:bCs/>
                <w:color w:val="000000" w:themeColor="text1"/>
                <w:kern w:val="0"/>
                <w:szCs w:val="21"/>
              </w:rPr>
              <w:t>9</w:t>
            </w:r>
            <w:r>
              <w:rPr>
                <w:rFonts w:hint="eastAsia" w:ascii="Times New Roman" w:hAnsi="Times New Roman" w:eastAsia="仿宋_GB2312" w:cs="Times New Roman"/>
                <w:b/>
                <w:bCs/>
                <w:color w:val="000000" w:themeColor="text1"/>
                <w:kern w:val="0"/>
                <w:szCs w:val="21"/>
                <w:lang w:val="en-US" w:eastAsia="zh-CN"/>
              </w:rPr>
              <w:t>3</w:t>
            </w:r>
            <w:r>
              <w:rPr>
                <w:rFonts w:hint="eastAsia" w:ascii="Times New Roman" w:hAnsi="Times New Roman" w:eastAsia="仿宋_GB2312" w:cs="Times New Roman"/>
                <w:b/>
                <w:bCs/>
                <w:color w:val="000000" w:themeColor="text1"/>
                <w:kern w:val="0"/>
                <w:szCs w:val="21"/>
              </w:rPr>
              <w:t>.</w:t>
            </w:r>
            <w:r>
              <w:rPr>
                <w:rFonts w:hint="eastAsia" w:ascii="Times New Roman" w:hAnsi="Times New Roman" w:eastAsia="仿宋_GB2312" w:cs="Times New Roman"/>
                <w:b/>
                <w:bCs/>
                <w:color w:val="000000" w:themeColor="text1"/>
                <w:kern w:val="0"/>
                <w:szCs w:val="21"/>
                <w:lang w:val="en-US" w:eastAsia="zh-CN"/>
              </w:rPr>
              <w:t>5</w:t>
            </w:r>
            <w:r>
              <w:rPr>
                <w:rFonts w:hint="eastAsia" w:ascii="Times New Roman" w:hAnsi="Times New Roman" w:eastAsia="仿宋_GB2312" w:cs="Times New Roman"/>
                <w:b/>
                <w:bCs/>
                <w:color w:val="000000" w:themeColor="text1"/>
                <w:kern w:val="0"/>
                <w:szCs w:val="21"/>
              </w:rPr>
              <w:t>6</w:t>
            </w:r>
          </w:p>
        </w:tc>
        <w:tc>
          <w:tcPr>
            <w:tcW w:w="2195" w:type="dxa"/>
            <w:tcBorders>
              <w:top w:val="single" w:color="auto" w:sz="6" w:space="0"/>
              <w:left w:val="single" w:color="auto" w:sz="6" w:space="0"/>
              <w:bottom w:val="single" w:color="auto" w:sz="6" w:space="0"/>
              <w:right w:val="single" w:color="auto" w:sz="6" w:space="0"/>
            </w:tcBorders>
          </w:tcPr>
          <w:p w14:paraId="0E15F7F1">
            <w:pPr>
              <w:autoSpaceDE w:val="0"/>
              <w:autoSpaceDN w:val="0"/>
              <w:adjustRightInd w:val="0"/>
              <w:jc w:val="left"/>
              <w:rPr>
                <w:rFonts w:ascii="Times New Roman" w:hAnsi="Times New Roman" w:eastAsia="仿宋_GB2312" w:cs="Times New Roman"/>
                <w:b/>
                <w:bCs/>
                <w:color w:val="000000" w:themeColor="text1"/>
                <w:kern w:val="0"/>
                <w:szCs w:val="21"/>
              </w:rPr>
            </w:pPr>
          </w:p>
        </w:tc>
        <w:tc>
          <w:tcPr>
            <w:tcW w:w="2747" w:type="dxa"/>
            <w:tcBorders>
              <w:top w:val="single" w:color="auto" w:sz="6" w:space="0"/>
              <w:left w:val="single" w:color="auto" w:sz="6" w:space="0"/>
              <w:bottom w:val="single" w:color="auto" w:sz="6" w:space="0"/>
              <w:right w:val="single" w:color="auto" w:sz="6" w:space="0"/>
            </w:tcBorders>
          </w:tcPr>
          <w:p w14:paraId="323153E4">
            <w:pPr>
              <w:autoSpaceDE w:val="0"/>
              <w:autoSpaceDN w:val="0"/>
              <w:adjustRightInd w:val="0"/>
              <w:jc w:val="left"/>
              <w:rPr>
                <w:rFonts w:ascii="Times New Roman" w:hAnsi="Times New Roman" w:eastAsia="仿宋_GB2312" w:cs="Times New Roman"/>
                <w:b/>
                <w:bCs/>
                <w:color w:val="000000" w:themeColor="text1"/>
                <w:kern w:val="0"/>
                <w:szCs w:val="21"/>
              </w:rPr>
            </w:pPr>
          </w:p>
        </w:tc>
        <w:tc>
          <w:tcPr>
            <w:tcW w:w="1372" w:type="dxa"/>
            <w:tcBorders>
              <w:top w:val="single" w:color="auto" w:sz="6" w:space="0"/>
              <w:left w:val="single" w:color="auto" w:sz="6" w:space="0"/>
              <w:bottom w:val="single" w:color="auto" w:sz="6" w:space="0"/>
              <w:right w:val="single" w:color="auto" w:sz="6" w:space="0"/>
            </w:tcBorders>
          </w:tcPr>
          <w:p w14:paraId="14781DCF">
            <w:pPr>
              <w:autoSpaceDE w:val="0"/>
              <w:autoSpaceDN w:val="0"/>
              <w:adjustRightInd w:val="0"/>
              <w:jc w:val="left"/>
              <w:rPr>
                <w:rFonts w:ascii="Times New Roman" w:hAnsi="Times New Roman" w:eastAsia="仿宋_GB2312" w:cs="Times New Roman"/>
                <w:b/>
                <w:bCs/>
                <w:color w:val="000000" w:themeColor="text1"/>
                <w:kern w:val="0"/>
                <w:szCs w:val="21"/>
              </w:rPr>
            </w:pPr>
          </w:p>
        </w:tc>
      </w:tr>
    </w:tbl>
    <w:p w14:paraId="77685CD4">
      <w:pPr>
        <w:spacing w:line="520" w:lineRule="exact"/>
        <w:ind w:left="630" w:hanging="630" w:hangingChars="300"/>
        <w:jc w:val="left"/>
        <w:rPr>
          <w:rFonts w:ascii="Times New Roman" w:hAnsi="Times New Roman" w:eastAsia="仿宋_GB2312" w:cs="Times New Roman"/>
          <w:color w:val="000000" w:themeColor="text1"/>
        </w:rPr>
      </w:pPr>
    </w:p>
    <w:p w14:paraId="1CE18E53">
      <w:pPr>
        <w:spacing w:line="520" w:lineRule="exact"/>
        <w:ind w:left="630" w:hanging="630" w:hangingChars="300"/>
        <w:jc w:val="left"/>
        <w:rPr>
          <w:rFonts w:ascii="Times New Roman" w:hAnsi="Times New Roman" w:eastAsia="仿宋_GB2312" w:cs="Times New Roman"/>
          <w:color w:val="000000" w:themeColor="text1"/>
        </w:rPr>
      </w:pPr>
    </w:p>
    <w:p w14:paraId="433E2C9D">
      <w:pPr>
        <w:spacing w:line="520" w:lineRule="exact"/>
        <w:ind w:left="630" w:hanging="630" w:hangingChars="300"/>
        <w:jc w:val="left"/>
        <w:rPr>
          <w:rFonts w:ascii="Times New Roman" w:hAnsi="Times New Roman" w:eastAsia="仿宋_GB2312" w:cs="Times New Roman"/>
          <w:color w:val="000000" w:themeColor="text1"/>
        </w:rPr>
      </w:pPr>
    </w:p>
    <w:p w14:paraId="3EEDF815">
      <w:pPr>
        <w:spacing w:line="520" w:lineRule="exact"/>
        <w:jc w:val="left"/>
        <w:rPr>
          <w:rFonts w:ascii="Times New Roman" w:hAnsi="Times New Roman" w:eastAsia="仿宋_GB2312" w:cs="Times New Roman"/>
          <w:color w:val="000000" w:themeColor="text1"/>
        </w:rPr>
      </w:pPr>
    </w:p>
    <w:p w14:paraId="0824FF44">
      <w:pPr>
        <w:spacing w:line="520" w:lineRule="exact"/>
        <w:ind w:left="630" w:hanging="630" w:hangingChars="300"/>
        <w:jc w:val="left"/>
        <w:rPr>
          <w:rFonts w:ascii="Times New Roman" w:hAnsi="Times New Roman" w:eastAsia="仿宋_GB2312" w:cs="Times New Roman"/>
          <w:color w:val="000000" w:themeColor="text1"/>
        </w:rPr>
      </w:pPr>
    </w:p>
    <w:p w14:paraId="16A0E9D5">
      <w:pPr>
        <w:pStyle w:val="2"/>
        <w:rPr>
          <w:rFonts w:ascii="Times New Roman" w:hAnsi="Times New Roman" w:eastAsia="仿宋_GB2312" w:cs="Times New Roman"/>
          <w:color w:val="000000" w:themeColor="text1"/>
        </w:rPr>
      </w:pPr>
    </w:p>
    <w:p w14:paraId="3D404D19">
      <w:pPr>
        <w:pStyle w:val="2"/>
        <w:rPr>
          <w:rFonts w:ascii="Times New Roman" w:hAnsi="Times New Roman" w:eastAsia="仿宋_GB2312" w:cs="Times New Roman"/>
          <w:color w:val="000000" w:themeColor="text1"/>
        </w:rPr>
      </w:pPr>
    </w:p>
    <w:p w14:paraId="1F77C7F6">
      <w:pPr>
        <w:pStyle w:val="2"/>
        <w:rPr>
          <w:rFonts w:ascii="Times New Roman" w:hAnsi="Times New Roman" w:eastAsia="仿宋_GB2312" w:cs="Times New Roman"/>
          <w:color w:val="000000" w:themeColor="text1"/>
        </w:rPr>
      </w:pPr>
    </w:p>
    <w:p w14:paraId="2652E60C">
      <w:pPr>
        <w:spacing w:line="520" w:lineRule="exact"/>
        <w:ind w:left="630" w:hanging="630" w:hangingChars="300"/>
        <w:jc w:val="left"/>
        <w:rPr>
          <w:rFonts w:ascii="Times New Roman" w:hAnsi="Times New Roman" w:eastAsia="仿宋_GB2312" w:cs="Times New Roman"/>
          <w:color w:val="000000" w:themeColor="text1"/>
        </w:rPr>
      </w:pPr>
    </w:p>
    <w:p w14:paraId="715D8696">
      <w:pPr>
        <w:spacing w:line="520" w:lineRule="exact"/>
        <w:ind w:left="630" w:hanging="630" w:hangingChars="300"/>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4</w:t>
      </w:r>
    </w:p>
    <w:p w14:paraId="3D7D9AED">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寻甸回族彝族自治县</w:t>
      </w:r>
      <w:r>
        <w:rPr>
          <w:rFonts w:hint="eastAsia" w:ascii="Times New Roman" w:hAnsi="Times New Roman" w:eastAsia="仿宋_GB2312" w:cs="Times New Roman"/>
          <w:color w:val="000000" w:themeColor="text1"/>
        </w:rPr>
        <w:t>融媒体中心</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年部门整体支出绩效评价调查问卷（受益人群）</w:t>
      </w:r>
    </w:p>
    <w:p w14:paraId="609AC2C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发放问卷:50份  收回问卷：49份  有效问卷：49份</w:t>
      </w:r>
    </w:p>
    <w:tbl>
      <w:tblPr>
        <w:tblStyle w:val="8"/>
        <w:tblW w:w="9260" w:type="dxa"/>
        <w:jc w:val="center"/>
        <w:tblLayout w:type="autofit"/>
        <w:tblCellMar>
          <w:top w:w="0" w:type="dxa"/>
          <w:left w:w="108" w:type="dxa"/>
          <w:bottom w:w="0" w:type="dxa"/>
          <w:right w:w="108" w:type="dxa"/>
        </w:tblCellMar>
      </w:tblPr>
      <w:tblGrid>
        <w:gridCol w:w="940"/>
        <w:gridCol w:w="2820"/>
        <w:gridCol w:w="2460"/>
        <w:gridCol w:w="1380"/>
        <w:gridCol w:w="1660"/>
      </w:tblGrid>
      <w:tr w14:paraId="161C13CA">
        <w:tblPrEx>
          <w:tblCellMar>
            <w:top w:w="0" w:type="dxa"/>
            <w:left w:w="108" w:type="dxa"/>
            <w:bottom w:w="0" w:type="dxa"/>
            <w:right w:w="108" w:type="dxa"/>
          </w:tblCellMar>
        </w:tblPrEx>
        <w:trPr>
          <w:trHeight w:val="27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8372E">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标题序号</w:t>
            </w:r>
          </w:p>
        </w:tc>
        <w:tc>
          <w:tcPr>
            <w:tcW w:w="2820" w:type="dxa"/>
            <w:tcBorders>
              <w:top w:val="single" w:color="auto" w:sz="4" w:space="0"/>
              <w:left w:val="nil"/>
              <w:bottom w:val="single" w:color="auto" w:sz="4" w:space="0"/>
              <w:right w:val="single" w:color="auto" w:sz="4" w:space="0"/>
            </w:tcBorders>
            <w:shd w:val="clear" w:color="auto" w:fill="auto"/>
            <w:vAlign w:val="center"/>
          </w:tcPr>
          <w:p w14:paraId="557CD855">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问题内容</w:t>
            </w:r>
          </w:p>
        </w:tc>
        <w:tc>
          <w:tcPr>
            <w:tcW w:w="2460" w:type="dxa"/>
            <w:tcBorders>
              <w:top w:val="single" w:color="auto" w:sz="4" w:space="0"/>
              <w:left w:val="nil"/>
              <w:bottom w:val="single" w:color="auto" w:sz="4" w:space="0"/>
              <w:right w:val="single" w:color="auto" w:sz="4" w:space="0"/>
            </w:tcBorders>
            <w:shd w:val="clear" w:color="auto" w:fill="auto"/>
            <w:vAlign w:val="center"/>
          </w:tcPr>
          <w:p w14:paraId="1BEF930C">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选项内容</w:t>
            </w:r>
          </w:p>
        </w:tc>
        <w:tc>
          <w:tcPr>
            <w:tcW w:w="1380" w:type="dxa"/>
            <w:tcBorders>
              <w:top w:val="single" w:color="auto" w:sz="4" w:space="0"/>
              <w:left w:val="nil"/>
              <w:bottom w:val="single" w:color="auto" w:sz="4" w:space="0"/>
              <w:right w:val="single" w:color="auto" w:sz="4" w:space="0"/>
            </w:tcBorders>
            <w:shd w:val="clear" w:color="auto" w:fill="auto"/>
            <w:vAlign w:val="center"/>
          </w:tcPr>
          <w:p w14:paraId="765E73B5">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标准分值</w:t>
            </w:r>
          </w:p>
        </w:tc>
        <w:tc>
          <w:tcPr>
            <w:tcW w:w="1660" w:type="dxa"/>
            <w:tcBorders>
              <w:top w:val="single" w:color="auto" w:sz="4" w:space="0"/>
              <w:left w:val="nil"/>
              <w:bottom w:val="single" w:color="auto" w:sz="4" w:space="0"/>
              <w:right w:val="single" w:color="auto" w:sz="4" w:space="0"/>
            </w:tcBorders>
            <w:shd w:val="clear" w:color="auto" w:fill="auto"/>
            <w:vAlign w:val="center"/>
          </w:tcPr>
          <w:p w14:paraId="1D66A2B4">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融媒体中心问卷数</w:t>
            </w:r>
          </w:p>
        </w:tc>
      </w:tr>
      <w:tr w14:paraId="793654E6">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2047035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95DE02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您认为该部门在深入基层调查研究情况方面做的如何？</w:t>
            </w:r>
          </w:p>
        </w:tc>
        <w:tc>
          <w:tcPr>
            <w:tcW w:w="2460" w:type="dxa"/>
            <w:tcBorders>
              <w:top w:val="nil"/>
              <w:left w:val="nil"/>
              <w:bottom w:val="single" w:color="auto" w:sz="4" w:space="0"/>
              <w:right w:val="single" w:color="auto" w:sz="4" w:space="0"/>
            </w:tcBorders>
            <w:shd w:val="clear" w:color="auto" w:fill="auto"/>
            <w:vAlign w:val="center"/>
          </w:tcPr>
          <w:p w14:paraId="13CD902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A.经常到基层调研 </w:t>
            </w:r>
          </w:p>
        </w:tc>
        <w:tc>
          <w:tcPr>
            <w:tcW w:w="1380" w:type="dxa"/>
            <w:tcBorders>
              <w:top w:val="nil"/>
              <w:left w:val="nil"/>
              <w:bottom w:val="single" w:color="auto" w:sz="4" w:space="0"/>
              <w:right w:val="single" w:color="auto" w:sz="4" w:space="0"/>
            </w:tcBorders>
            <w:shd w:val="clear" w:color="auto" w:fill="auto"/>
            <w:vAlign w:val="center"/>
          </w:tcPr>
          <w:p w14:paraId="092D6C7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298BD6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48</w:t>
            </w:r>
          </w:p>
        </w:tc>
      </w:tr>
      <w:tr w14:paraId="292050EF">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AA05E6B">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F8DD154">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1750C20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B.偶尔到基层调研</w:t>
            </w:r>
          </w:p>
        </w:tc>
        <w:tc>
          <w:tcPr>
            <w:tcW w:w="1380" w:type="dxa"/>
            <w:tcBorders>
              <w:top w:val="nil"/>
              <w:left w:val="nil"/>
              <w:bottom w:val="single" w:color="auto" w:sz="4" w:space="0"/>
              <w:right w:val="single" w:color="auto" w:sz="4" w:space="0"/>
            </w:tcBorders>
            <w:shd w:val="clear" w:color="auto" w:fill="auto"/>
            <w:vAlign w:val="center"/>
          </w:tcPr>
          <w:p w14:paraId="00AE6D4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A2F8C38">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1</w:t>
            </w:r>
          </w:p>
        </w:tc>
      </w:tr>
      <w:tr w14:paraId="73246752">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7798EC6">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67BDF84">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6FFE2C8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C.从不到基层调研  </w:t>
            </w:r>
          </w:p>
        </w:tc>
        <w:tc>
          <w:tcPr>
            <w:tcW w:w="1380" w:type="dxa"/>
            <w:tcBorders>
              <w:top w:val="nil"/>
              <w:left w:val="nil"/>
              <w:bottom w:val="single" w:color="auto" w:sz="4" w:space="0"/>
              <w:right w:val="single" w:color="auto" w:sz="4" w:space="0"/>
            </w:tcBorders>
            <w:shd w:val="clear" w:color="auto" w:fill="auto"/>
            <w:vAlign w:val="center"/>
          </w:tcPr>
          <w:p w14:paraId="282EE66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068A3DD3">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0</w:t>
            </w:r>
          </w:p>
        </w:tc>
      </w:tr>
      <w:tr w14:paraId="57BD3D37">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D68CC7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00B1E43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您是否了解该部门收集群众意见的相关渠道？ </w:t>
            </w:r>
          </w:p>
        </w:tc>
        <w:tc>
          <w:tcPr>
            <w:tcW w:w="2460" w:type="dxa"/>
            <w:tcBorders>
              <w:top w:val="nil"/>
              <w:left w:val="nil"/>
              <w:bottom w:val="single" w:color="auto" w:sz="4" w:space="0"/>
              <w:right w:val="single" w:color="auto" w:sz="4" w:space="0"/>
            </w:tcBorders>
            <w:shd w:val="clear" w:color="auto" w:fill="auto"/>
            <w:vAlign w:val="center"/>
          </w:tcPr>
          <w:p w14:paraId="76202CF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A.多渠道反映 </w:t>
            </w:r>
          </w:p>
        </w:tc>
        <w:tc>
          <w:tcPr>
            <w:tcW w:w="1380" w:type="dxa"/>
            <w:tcBorders>
              <w:top w:val="nil"/>
              <w:left w:val="nil"/>
              <w:bottom w:val="single" w:color="auto" w:sz="4" w:space="0"/>
              <w:right w:val="single" w:color="auto" w:sz="4" w:space="0"/>
            </w:tcBorders>
            <w:shd w:val="clear" w:color="auto" w:fill="auto"/>
            <w:vAlign w:val="center"/>
          </w:tcPr>
          <w:p w14:paraId="2222C36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F8C833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7F245F68">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76EF3BAD">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E193C6E">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61541FE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B.单一渠道反映 </w:t>
            </w:r>
          </w:p>
        </w:tc>
        <w:tc>
          <w:tcPr>
            <w:tcW w:w="1380" w:type="dxa"/>
            <w:tcBorders>
              <w:top w:val="nil"/>
              <w:left w:val="nil"/>
              <w:bottom w:val="single" w:color="auto" w:sz="4" w:space="0"/>
              <w:right w:val="single" w:color="auto" w:sz="4" w:space="0"/>
            </w:tcBorders>
            <w:shd w:val="clear" w:color="auto" w:fill="auto"/>
            <w:vAlign w:val="center"/>
          </w:tcPr>
          <w:p w14:paraId="22EE0C6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67E702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783C90BD">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A42CF01">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023945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0D7BC19E">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C.无渠道反映 </w:t>
            </w:r>
          </w:p>
        </w:tc>
        <w:tc>
          <w:tcPr>
            <w:tcW w:w="1380" w:type="dxa"/>
            <w:tcBorders>
              <w:top w:val="nil"/>
              <w:left w:val="nil"/>
              <w:bottom w:val="single" w:color="auto" w:sz="4" w:space="0"/>
              <w:right w:val="single" w:color="auto" w:sz="4" w:space="0"/>
            </w:tcBorders>
            <w:shd w:val="clear" w:color="auto" w:fill="auto"/>
            <w:vAlign w:val="center"/>
          </w:tcPr>
          <w:p w14:paraId="4C47E6D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4808AE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3E70524E">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330AFFE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6FC76A0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您向该部门反映的问题是否得到反馈？ </w:t>
            </w:r>
          </w:p>
        </w:tc>
        <w:tc>
          <w:tcPr>
            <w:tcW w:w="2460" w:type="dxa"/>
            <w:tcBorders>
              <w:top w:val="nil"/>
              <w:left w:val="nil"/>
              <w:bottom w:val="single" w:color="auto" w:sz="4" w:space="0"/>
              <w:right w:val="single" w:color="auto" w:sz="4" w:space="0"/>
            </w:tcBorders>
            <w:shd w:val="clear" w:color="auto" w:fill="auto"/>
            <w:noWrap/>
            <w:vAlign w:val="center"/>
          </w:tcPr>
          <w:p w14:paraId="71063E9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A.及时得到反馈</w:t>
            </w:r>
          </w:p>
        </w:tc>
        <w:tc>
          <w:tcPr>
            <w:tcW w:w="1380" w:type="dxa"/>
            <w:tcBorders>
              <w:top w:val="nil"/>
              <w:left w:val="nil"/>
              <w:bottom w:val="single" w:color="auto" w:sz="4" w:space="0"/>
              <w:right w:val="single" w:color="auto" w:sz="4" w:space="0"/>
            </w:tcBorders>
            <w:shd w:val="clear" w:color="auto" w:fill="auto"/>
            <w:noWrap/>
            <w:vAlign w:val="center"/>
          </w:tcPr>
          <w:p w14:paraId="383EC60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40AFAB2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66E0E0D8">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1A812E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1E7480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3CD7E89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B.反馈但不及时</w:t>
            </w:r>
          </w:p>
        </w:tc>
        <w:tc>
          <w:tcPr>
            <w:tcW w:w="1380" w:type="dxa"/>
            <w:tcBorders>
              <w:top w:val="nil"/>
              <w:left w:val="nil"/>
              <w:bottom w:val="single" w:color="auto" w:sz="4" w:space="0"/>
              <w:right w:val="single" w:color="auto" w:sz="4" w:space="0"/>
            </w:tcBorders>
            <w:shd w:val="clear" w:color="auto" w:fill="auto"/>
            <w:noWrap/>
            <w:vAlign w:val="center"/>
          </w:tcPr>
          <w:p w14:paraId="7723EC0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3551094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4A5B75D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1F99239">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04E2FDAC">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1306564A">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C.未反馈 </w:t>
            </w:r>
          </w:p>
        </w:tc>
        <w:tc>
          <w:tcPr>
            <w:tcW w:w="1380" w:type="dxa"/>
            <w:tcBorders>
              <w:top w:val="nil"/>
              <w:left w:val="nil"/>
              <w:bottom w:val="single" w:color="auto" w:sz="4" w:space="0"/>
              <w:right w:val="single" w:color="auto" w:sz="4" w:space="0"/>
            </w:tcBorders>
            <w:shd w:val="clear" w:color="auto" w:fill="auto"/>
            <w:noWrap/>
            <w:vAlign w:val="center"/>
          </w:tcPr>
          <w:p w14:paraId="12729AB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F336CF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3897D0E4">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047CCF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5445A32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您认为该部门在廉洁从政方面做的如何？</w:t>
            </w:r>
          </w:p>
        </w:tc>
        <w:tc>
          <w:tcPr>
            <w:tcW w:w="2460" w:type="dxa"/>
            <w:tcBorders>
              <w:top w:val="nil"/>
              <w:left w:val="nil"/>
              <w:bottom w:val="single" w:color="auto" w:sz="4" w:space="0"/>
              <w:right w:val="single" w:color="auto" w:sz="4" w:space="0"/>
            </w:tcBorders>
            <w:shd w:val="clear" w:color="auto" w:fill="auto"/>
            <w:noWrap/>
            <w:vAlign w:val="center"/>
          </w:tcPr>
          <w:p w14:paraId="3C42762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A.较好</w:t>
            </w:r>
          </w:p>
        </w:tc>
        <w:tc>
          <w:tcPr>
            <w:tcW w:w="1380" w:type="dxa"/>
            <w:tcBorders>
              <w:top w:val="nil"/>
              <w:left w:val="nil"/>
              <w:bottom w:val="single" w:color="auto" w:sz="4" w:space="0"/>
              <w:right w:val="single" w:color="auto" w:sz="4" w:space="0"/>
            </w:tcBorders>
            <w:shd w:val="clear" w:color="auto" w:fill="auto"/>
            <w:noWrap/>
            <w:vAlign w:val="center"/>
          </w:tcPr>
          <w:p w14:paraId="0BEB995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2E2F02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45FACDDA">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75BA022">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625C4E3">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79E35E9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B.一般 </w:t>
            </w:r>
          </w:p>
        </w:tc>
        <w:tc>
          <w:tcPr>
            <w:tcW w:w="1380" w:type="dxa"/>
            <w:tcBorders>
              <w:top w:val="nil"/>
              <w:left w:val="nil"/>
              <w:bottom w:val="single" w:color="auto" w:sz="4" w:space="0"/>
              <w:right w:val="single" w:color="auto" w:sz="4" w:space="0"/>
            </w:tcBorders>
            <w:shd w:val="clear" w:color="auto" w:fill="auto"/>
            <w:noWrap/>
            <w:vAlign w:val="center"/>
          </w:tcPr>
          <w:p w14:paraId="1CDC9E9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00127DA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55CC522C">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443D9B8">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D0BC833">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1C7385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C.差 </w:t>
            </w:r>
          </w:p>
        </w:tc>
        <w:tc>
          <w:tcPr>
            <w:tcW w:w="1380" w:type="dxa"/>
            <w:tcBorders>
              <w:top w:val="nil"/>
              <w:left w:val="nil"/>
              <w:bottom w:val="single" w:color="auto" w:sz="4" w:space="0"/>
              <w:right w:val="single" w:color="auto" w:sz="4" w:space="0"/>
            </w:tcBorders>
            <w:shd w:val="clear" w:color="auto" w:fill="auto"/>
            <w:noWrap/>
            <w:vAlign w:val="center"/>
          </w:tcPr>
          <w:p w14:paraId="4104E80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7D9AAEE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620CEFF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CD09B1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48073CE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您认为该部门办事程序是否合理？（如结婚证、领养手续、老年优待证等办理）</w:t>
            </w:r>
          </w:p>
        </w:tc>
        <w:tc>
          <w:tcPr>
            <w:tcW w:w="2460" w:type="dxa"/>
            <w:tcBorders>
              <w:top w:val="nil"/>
              <w:left w:val="nil"/>
              <w:bottom w:val="single" w:color="auto" w:sz="4" w:space="0"/>
              <w:right w:val="single" w:color="auto" w:sz="4" w:space="0"/>
            </w:tcBorders>
            <w:shd w:val="clear" w:color="auto" w:fill="auto"/>
            <w:noWrap/>
            <w:vAlign w:val="center"/>
          </w:tcPr>
          <w:p w14:paraId="1216346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A.程序比较合理</w:t>
            </w:r>
          </w:p>
        </w:tc>
        <w:tc>
          <w:tcPr>
            <w:tcW w:w="1380" w:type="dxa"/>
            <w:tcBorders>
              <w:top w:val="nil"/>
              <w:left w:val="nil"/>
              <w:bottom w:val="single" w:color="auto" w:sz="4" w:space="0"/>
              <w:right w:val="single" w:color="auto" w:sz="4" w:space="0"/>
            </w:tcBorders>
            <w:shd w:val="clear" w:color="auto" w:fill="auto"/>
            <w:noWrap/>
            <w:vAlign w:val="center"/>
          </w:tcPr>
          <w:p w14:paraId="5DA1AD0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22F9174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702411B5">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CEC4A7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56438D2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4047FB6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B.程序基本合理</w:t>
            </w:r>
          </w:p>
        </w:tc>
        <w:tc>
          <w:tcPr>
            <w:tcW w:w="1380" w:type="dxa"/>
            <w:tcBorders>
              <w:top w:val="nil"/>
              <w:left w:val="nil"/>
              <w:bottom w:val="single" w:color="auto" w:sz="4" w:space="0"/>
              <w:right w:val="single" w:color="auto" w:sz="4" w:space="0"/>
            </w:tcBorders>
            <w:shd w:val="clear" w:color="auto" w:fill="auto"/>
            <w:noWrap/>
            <w:vAlign w:val="center"/>
          </w:tcPr>
          <w:p w14:paraId="1302DBA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34C8BAE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0B843195">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E8AF1D0">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74882740">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6F0973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C.程序复杂 </w:t>
            </w:r>
          </w:p>
        </w:tc>
        <w:tc>
          <w:tcPr>
            <w:tcW w:w="1380" w:type="dxa"/>
            <w:tcBorders>
              <w:top w:val="nil"/>
              <w:left w:val="nil"/>
              <w:bottom w:val="single" w:color="auto" w:sz="4" w:space="0"/>
              <w:right w:val="single" w:color="auto" w:sz="4" w:space="0"/>
            </w:tcBorders>
            <w:shd w:val="clear" w:color="auto" w:fill="auto"/>
            <w:noWrap/>
            <w:vAlign w:val="center"/>
          </w:tcPr>
          <w:p w14:paraId="2F01407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035500E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6491B33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1C0F776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2CB73E8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您认为该部门办理事务是否方便？</w:t>
            </w:r>
          </w:p>
        </w:tc>
        <w:tc>
          <w:tcPr>
            <w:tcW w:w="2460" w:type="dxa"/>
            <w:tcBorders>
              <w:top w:val="nil"/>
              <w:left w:val="nil"/>
              <w:bottom w:val="single" w:color="auto" w:sz="4" w:space="0"/>
              <w:right w:val="single" w:color="auto" w:sz="4" w:space="0"/>
            </w:tcBorders>
            <w:shd w:val="clear" w:color="auto" w:fill="auto"/>
            <w:noWrap/>
            <w:vAlign w:val="center"/>
          </w:tcPr>
          <w:p w14:paraId="28A23540">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A.方便，高效</w:t>
            </w:r>
          </w:p>
        </w:tc>
        <w:tc>
          <w:tcPr>
            <w:tcW w:w="1380" w:type="dxa"/>
            <w:tcBorders>
              <w:top w:val="nil"/>
              <w:left w:val="nil"/>
              <w:bottom w:val="single" w:color="auto" w:sz="4" w:space="0"/>
              <w:right w:val="single" w:color="auto" w:sz="4" w:space="0"/>
            </w:tcBorders>
            <w:shd w:val="clear" w:color="auto" w:fill="auto"/>
            <w:noWrap/>
            <w:vAlign w:val="center"/>
          </w:tcPr>
          <w:p w14:paraId="37703BF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3D3C8C1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rPr>
              <w:t>6</w:t>
            </w:r>
          </w:p>
        </w:tc>
      </w:tr>
      <w:tr w14:paraId="69A8A86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4F1D778">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098AC97">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2598E5A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B.方便，效率一般</w:t>
            </w:r>
          </w:p>
        </w:tc>
        <w:tc>
          <w:tcPr>
            <w:tcW w:w="1380" w:type="dxa"/>
            <w:tcBorders>
              <w:top w:val="nil"/>
              <w:left w:val="nil"/>
              <w:bottom w:val="single" w:color="auto" w:sz="4" w:space="0"/>
              <w:right w:val="single" w:color="auto" w:sz="4" w:space="0"/>
            </w:tcBorders>
            <w:shd w:val="clear" w:color="auto" w:fill="auto"/>
            <w:noWrap/>
            <w:vAlign w:val="center"/>
          </w:tcPr>
          <w:p w14:paraId="62E3FDD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25378B24">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3</w:t>
            </w:r>
          </w:p>
        </w:tc>
      </w:tr>
      <w:tr w14:paraId="36A73A2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65C5518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D430F05">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5910C53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C.不方便，效率低</w:t>
            </w:r>
          </w:p>
        </w:tc>
        <w:tc>
          <w:tcPr>
            <w:tcW w:w="1380" w:type="dxa"/>
            <w:tcBorders>
              <w:top w:val="nil"/>
              <w:left w:val="nil"/>
              <w:bottom w:val="single" w:color="auto" w:sz="4" w:space="0"/>
              <w:right w:val="single" w:color="auto" w:sz="4" w:space="0"/>
            </w:tcBorders>
            <w:shd w:val="clear" w:color="auto" w:fill="auto"/>
            <w:noWrap/>
            <w:vAlign w:val="center"/>
          </w:tcPr>
          <w:p w14:paraId="617E874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7AF7B25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40126441">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034B22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22D6A90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您认为该部门在开展救助活动方面做的如何</w:t>
            </w:r>
          </w:p>
        </w:tc>
        <w:tc>
          <w:tcPr>
            <w:tcW w:w="2460" w:type="dxa"/>
            <w:tcBorders>
              <w:top w:val="nil"/>
              <w:left w:val="nil"/>
              <w:bottom w:val="single" w:color="auto" w:sz="4" w:space="0"/>
              <w:right w:val="single" w:color="auto" w:sz="4" w:space="0"/>
            </w:tcBorders>
            <w:shd w:val="clear" w:color="auto" w:fill="auto"/>
            <w:noWrap/>
            <w:vAlign w:val="center"/>
          </w:tcPr>
          <w:p w14:paraId="5051473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A.经常开展</w:t>
            </w:r>
          </w:p>
        </w:tc>
        <w:tc>
          <w:tcPr>
            <w:tcW w:w="1380" w:type="dxa"/>
            <w:tcBorders>
              <w:top w:val="nil"/>
              <w:left w:val="nil"/>
              <w:bottom w:val="single" w:color="auto" w:sz="4" w:space="0"/>
              <w:right w:val="single" w:color="auto" w:sz="4" w:space="0"/>
            </w:tcBorders>
            <w:shd w:val="clear" w:color="auto" w:fill="auto"/>
            <w:noWrap/>
            <w:vAlign w:val="center"/>
          </w:tcPr>
          <w:p w14:paraId="27DBA00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76611B9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rPr>
              <w:t>7</w:t>
            </w:r>
          </w:p>
        </w:tc>
      </w:tr>
      <w:tr w14:paraId="10B3B31B">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7D6FE86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3E39606">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5669123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B.偶尔开展</w:t>
            </w:r>
          </w:p>
        </w:tc>
        <w:tc>
          <w:tcPr>
            <w:tcW w:w="1380" w:type="dxa"/>
            <w:tcBorders>
              <w:top w:val="nil"/>
              <w:left w:val="nil"/>
              <w:bottom w:val="single" w:color="auto" w:sz="4" w:space="0"/>
              <w:right w:val="single" w:color="auto" w:sz="4" w:space="0"/>
            </w:tcBorders>
            <w:shd w:val="clear" w:color="auto" w:fill="auto"/>
            <w:noWrap/>
            <w:vAlign w:val="center"/>
          </w:tcPr>
          <w:p w14:paraId="728B9423">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0B0F2540">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2</w:t>
            </w:r>
          </w:p>
        </w:tc>
      </w:tr>
      <w:tr w14:paraId="760F7FD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6180129">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5EC210DD">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3791FE9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C.不开展</w:t>
            </w:r>
          </w:p>
        </w:tc>
        <w:tc>
          <w:tcPr>
            <w:tcW w:w="1380" w:type="dxa"/>
            <w:tcBorders>
              <w:top w:val="nil"/>
              <w:left w:val="nil"/>
              <w:bottom w:val="single" w:color="auto" w:sz="4" w:space="0"/>
              <w:right w:val="single" w:color="auto" w:sz="4" w:space="0"/>
            </w:tcBorders>
            <w:shd w:val="clear" w:color="auto" w:fill="auto"/>
            <w:noWrap/>
            <w:vAlign w:val="center"/>
          </w:tcPr>
          <w:p w14:paraId="4DE105A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56ED7F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219845B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0EAA3CB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2F079F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您对该部门的服务态度、服务质量是否满意？</w:t>
            </w:r>
          </w:p>
        </w:tc>
        <w:tc>
          <w:tcPr>
            <w:tcW w:w="2460" w:type="dxa"/>
            <w:tcBorders>
              <w:top w:val="nil"/>
              <w:left w:val="nil"/>
              <w:bottom w:val="single" w:color="auto" w:sz="4" w:space="0"/>
              <w:right w:val="single" w:color="auto" w:sz="4" w:space="0"/>
            </w:tcBorders>
            <w:shd w:val="clear" w:color="auto" w:fill="auto"/>
            <w:noWrap/>
            <w:vAlign w:val="center"/>
          </w:tcPr>
          <w:p w14:paraId="278B097E">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A.非常满意 </w:t>
            </w:r>
          </w:p>
        </w:tc>
        <w:tc>
          <w:tcPr>
            <w:tcW w:w="1380" w:type="dxa"/>
            <w:tcBorders>
              <w:top w:val="nil"/>
              <w:left w:val="nil"/>
              <w:bottom w:val="single" w:color="auto" w:sz="4" w:space="0"/>
              <w:right w:val="single" w:color="auto" w:sz="4" w:space="0"/>
            </w:tcBorders>
            <w:shd w:val="clear" w:color="auto" w:fill="auto"/>
            <w:noWrap/>
            <w:vAlign w:val="center"/>
          </w:tcPr>
          <w:p w14:paraId="739C86C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77BB10C">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48</w:t>
            </w:r>
          </w:p>
        </w:tc>
      </w:tr>
      <w:tr w14:paraId="547D2586">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A0090F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72E2452">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6AF6482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B.基本满意</w:t>
            </w:r>
          </w:p>
        </w:tc>
        <w:tc>
          <w:tcPr>
            <w:tcW w:w="1380" w:type="dxa"/>
            <w:tcBorders>
              <w:top w:val="nil"/>
              <w:left w:val="nil"/>
              <w:bottom w:val="single" w:color="auto" w:sz="4" w:space="0"/>
              <w:right w:val="single" w:color="auto" w:sz="4" w:space="0"/>
            </w:tcBorders>
            <w:shd w:val="clear" w:color="auto" w:fill="auto"/>
            <w:noWrap/>
            <w:vAlign w:val="center"/>
          </w:tcPr>
          <w:p w14:paraId="6B868C1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579B66AF">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1</w:t>
            </w:r>
          </w:p>
        </w:tc>
      </w:tr>
      <w:tr w14:paraId="7CCF74BC">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3FAA0BE">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08CF79B7">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689D2127">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C.不满意</w:t>
            </w:r>
          </w:p>
        </w:tc>
        <w:tc>
          <w:tcPr>
            <w:tcW w:w="1380" w:type="dxa"/>
            <w:tcBorders>
              <w:top w:val="nil"/>
              <w:left w:val="nil"/>
              <w:bottom w:val="single" w:color="auto" w:sz="4" w:space="0"/>
              <w:right w:val="single" w:color="auto" w:sz="4" w:space="0"/>
            </w:tcBorders>
            <w:shd w:val="clear" w:color="auto" w:fill="auto"/>
            <w:noWrap/>
            <w:vAlign w:val="center"/>
          </w:tcPr>
          <w:p w14:paraId="0B735E3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1F11A8D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24A9AB63">
        <w:tblPrEx>
          <w:tblCellMar>
            <w:top w:w="0" w:type="dxa"/>
            <w:left w:w="108" w:type="dxa"/>
            <w:bottom w:w="0" w:type="dxa"/>
            <w:right w:w="108" w:type="dxa"/>
          </w:tblCellMar>
        </w:tblPrEx>
        <w:trPr>
          <w:trHeight w:val="369"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3CDDF6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9</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65C16E8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您对部门在信息公开方面（如党务、政务、办事程序、财务等方面）的评价如何？</w:t>
            </w:r>
          </w:p>
        </w:tc>
        <w:tc>
          <w:tcPr>
            <w:tcW w:w="2460" w:type="dxa"/>
            <w:tcBorders>
              <w:top w:val="nil"/>
              <w:left w:val="nil"/>
              <w:bottom w:val="single" w:color="auto" w:sz="4" w:space="0"/>
              <w:right w:val="single" w:color="auto" w:sz="4" w:space="0"/>
            </w:tcBorders>
            <w:shd w:val="clear" w:color="auto" w:fill="auto"/>
            <w:noWrap/>
            <w:vAlign w:val="center"/>
          </w:tcPr>
          <w:p w14:paraId="5D3795D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A.非常满意</w:t>
            </w:r>
          </w:p>
        </w:tc>
        <w:tc>
          <w:tcPr>
            <w:tcW w:w="1380" w:type="dxa"/>
            <w:tcBorders>
              <w:top w:val="nil"/>
              <w:left w:val="nil"/>
              <w:bottom w:val="single" w:color="auto" w:sz="4" w:space="0"/>
              <w:right w:val="single" w:color="auto" w:sz="4" w:space="0"/>
            </w:tcBorders>
            <w:shd w:val="clear" w:color="auto" w:fill="auto"/>
            <w:noWrap/>
            <w:vAlign w:val="center"/>
          </w:tcPr>
          <w:p w14:paraId="35FB58E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FD60BA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45</w:t>
            </w:r>
          </w:p>
        </w:tc>
      </w:tr>
      <w:tr w14:paraId="48AEE630">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3DAF652">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62B1978">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25277C9">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B.基本满意</w:t>
            </w:r>
          </w:p>
        </w:tc>
        <w:tc>
          <w:tcPr>
            <w:tcW w:w="1380" w:type="dxa"/>
            <w:tcBorders>
              <w:top w:val="nil"/>
              <w:left w:val="nil"/>
              <w:bottom w:val="single" w:color="auto" w:sz="4" w:space="0"/>
              <w:right w:val="single" w:color="auto" w:sz="4" w:space="0"/>
            </w:tcBorders>
            <w:shd w:val="clear" w:color="auto" w:fill="auto"/>
            <w:noWrap/>
            <w:vAlign w:val="center"/>
          </w:tcPr>
          <w:p w14:paraId="6F0C139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78AA12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r>
      <w:tr w14:paraId="4C71E56E">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33FC236">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3C30236">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3CEDEC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C.不满意</w:t>
            </w:r>
          </w:p>
        </w:tc>
        <w:tc>
          <w:tcPr>
            <w:tcW w:w="1380" w:type="dxa"/>
            <w:tcBorders>
              <w:top w:val="nil"/>
              <w:left w:val="nil"/>
              <w:bottom w:val="single" w:color="auto" w:sz="4" w:space="0"/>
              <w:right w:val="single" w:color="auto" w:sz="4" w:space="0"/>
            </w:tcBorders>
            <w:shd w:val="clear" w:color="auto" w:fill="auto"/>
            <w:noWrap/>
            <w:vAlign w:val="center"/>
          </w:tcPr>
          <w:p w14:paraId="75FDABE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8BC8A9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056A75C0">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EED5AF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A3B1E7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您对该部门工作现状的总体评价？</w:t>
            </w:r>
          </w:p>
        </w:tc>
        <w:tc>
          <w:tcPr>
            <w:tcW w:w="2460" w:type="dxa"/>
            <w:tcBorders>
              <w:top w:val="nil"/>
              <w:left w:val="nil"/>
              <w:bottom w:val="single" w:color="auto" w:sz="4" w:space="0"/>
              <w:right w:val="single" w:color="auto" w:sz="4" w:space="0"/>
            </w:tcBorders>
            <w:shd w:val="clear" w:color="auto" w:fill="auto"/>
            <w:noWrap/>
            <w:vAlign w:val="center"/>
          </w:tcPr>
          <w:p w14:paraId="3CFB645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A.非常满意</w:t>
            </w:r>
          </w:p>
        </w:tc>
        <w:tc>
          <w:tcPr>
            <w:tcW w:w="1380" w:type="dxa"/>
            <w:tcBorders>
              <w:top w:val="nil"/>
              <w:left w:val="nil"/>
              <w:bottom w:val="single" w:color="auto" w:sz="4" w:space="0"/>
              <w:right w:val="single" w:color="auto" w:sz="4" w:space="0"/>
            </w:tcBorders>
            <w:shd w:val="clear" w:color="auto" w:fill="auto"/>
            <w:noWrap/>
            <w:vAlign w:val="center"/>
          </w:tcPr>
          <w:p w14:paraId="561D391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406B88DB">
            <w:pPr>
              <w:widowControl/>
              <w:jc w:val="center"/>
              <w:rPr>
                <w:rFonts w:hint="eastAsia" w:ascii="Times New Roman" w:hAnsi="Times New Roman" w:eastAsia="仿宋" w:cs="Times New Roman"/>
                <w:color w:val="000000" w:themeColor="text1"/>
                <w:kern w:val="0"/>
                <w:szCs w:val="21"/>
                <w:lang w:eastAsia="zh-CN"/>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lang w:val="en-US" w:eastAsia="zh-CN"/>
              </w:rPr>
              <w:t>7</w:t>
            </w:r>
          </w:p>
        </w:tc>
      </w:tr>
      <w:tr w14:paraId="6CD5CD89">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153176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41D638D">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4DC7E1BF">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C.基本满意 </w:t>
            </w:r>
          </w:p>
        </w:tc>
        <w:tc>
          <w:tcPr>
            <w:tcW w:w="1380" w:type="dxa"/>
            <w:tcBorders>
              <w:top w:val="nil"/>
              <w:left w:val="nil"/>
              <w:bottom w:val="single" w:color="auto" w:sz="4" w:space="0"/>
              <w:right w:val="single" w:color="auto" w:sz="4" w:space="0"/>
            </w:tcBorders>
            <w:shd w:val="clear" w:color="auto" w:fill="auto"/>
            <w:noWrap/>
            <w:vAlign w:val="center"/>
          </w:tcPr>
          <w:p w14:paraId="10CAAF6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0D0C2A0">
            <w:pPr>
              <w:widowControl/>
              <w:jc w:val="center"/>
              <w:rPr>
                <w:rFonts w:hint="eastAsia" w:ascii="Times New Roman" w:hAnsi="Times New Roman" w:eastAsia="仿宋" w:cs="Times New Roman"/>
                <w:color w:val="000000" w:themeColor="text1"/>
                <w:kern w:val="0"/>
                <w:szCs w:val="21"/>
                <w:lang w:eastAsia="zh-CN"/>
              </w:rPr>
            </w:pPr>
            <w:r>
              <w:rPr>
                <w:rFonts w:hint="eastAsia" w:ascii="Times New Roman" w:hAnsi="Times New Roman" w:eastAsia="仿宋" w:cs="Times New Roman"/>
                <w:color w:val="000000" w:themeColor="text1"/>
                <w:kern w:val="0"/>
                <w:szCs w:val="21"/>
                <w:lang w:val="en-US" w:eastAsia="zh-CN"/>
              </w:rPr>
              <w:t>2</w:t>
            </w:r>
          </w:p>
        </w:tc>
      </w:tr>
      <w:tr w14:paraId="59DF182A">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2AF9B84">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7D32EA92">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AE587E6">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D.不满意</w:t>
            </w:r>
          </w:p>
        </w:tc>
        <w:tc>
          <w:tcPr>
            <w:tcW w:w="1380" w:type="dxa"/>
            <w:tcBorders>
              <w:top w:val="nil"/>
              <w:left w:val="nil"/>
              <w:bottom w:val="single" w:color="auto" w:sz="4" w:space="0"/>
              <w:right w:val="single" w:color="auto" w:sz="4" w:space="0"/>
            </w:tcBorders>
            <w:shd w:val="clear" w:color="auto" w:fill="auto"/>
            <w:noWrap/>
            <w:vAlign w:val="center"/>
          </w:tcPr>
          <w:p w14:paraId="33695E8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1687748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53FB9A46">
        <w:tblPrEx>
          <w:tblCellMar>
            <w:top w:w="0" w:type="dxa"/>
            <w:left w:w="108" w:type="dxa"/>
            <w:bottom w:w="0" w:type="dxa"/>
            <w:right w:w="108" w:type="dxa"/>
          </w:tblCellMar>
        </w:tblPrEx>
        <w:trPr>
          <w:trHeight w:val="276"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4DBE51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问卷总分</w:t>
            </w:r>
          </w:p>
        </w:tc>
        <w:tc>
          <w:tcPr>
            <w:tcW w:w="2460" w:type="dxa"/>
            <w:tcBorders>
              <w:top w:val="nil"/>
              <w:left w:val="nil"/>
              <w:bottom w:val="single" w:color="auto" w:sz="4" w:space="0"/>
              <w:right w:val="single" w:color="auto" w:sz="4" w:space="0"/>
            </w:tcBorders>
            <w:shd w:val="clear" w:color="auto" w:fill="auto"/>
            <w:vAlign w:val="center"/>
          </w:tcPr>
          <w:p w14:paraId="338EF53A">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628942B3">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100</w:t>
            </w:r>
          </w:p>
        </w:tc>
        <w:tc>
          <w:tcPr>
            <w:tcW w:w="1660" w:type="dxa"/>
            <w:tcBorders>
              <w:top w:val="nil"/>
              <w:left w:val="nil"/>
              <w:bottom w:val="single" w:color="auto" w:sz="4" w:space="0"/>
              <w:right w:val="single" w:color="auto" w:sz="4" w:space="0"/>
            </w:tcBorders>
            <w:shd w:val="clear" w:color="auto" w:fill="auto"/>
            <w:vAlign w:val="center"/>
          </w:tcPr>
          <w:p w14:paraId="423F2A3B">
            <w:pPr>
              <w:widowControl/>
              <w:jc w:val="center"/>
              <w:rPr>
                <w:rFonts w:hint="default" w:ascii="Times New Roman" w:hAnsi="Times New Roman" w:eastAsia="仿宋" w:cs="Times New Roman"/>
                <w:color w:val="000000" w:themeColor="text1"/>
                <w:kern w:val="0"/>
                <w:szCs w:val="21"/>
                <w:lang w:val="en-US" w:eastAsia="zh-CN"/>
              </w:rPr>
            </w:pPr>
            <w:r>
              <w:rPr>
                <w:rFonts w:ascii="Times New Roman" w:hAnsi="Times New Roman" w:eastAsia="仿宋" w:cs="Times New Roman"/>
                <w:color w:val="000000" w:themeColor="text1"/>
                <w:kern w:val="0"/>
                <w:szCs w:val="21"/>
              </w:rPr>
              <w:t>48</w:t>
            </w:r>
            <w:r>
              <w:rPr>
                <w:rFonts w:hint="eastAsia" w:ascii="Times New Roman" w:hAnsi="Times New Roman" w:eastAsia="仿宋" w:cs="Times New Roman"/>
                <w:color w:val="000000" w:themeColor="text1"/>
                <w:kern w:val="0"/>
                <w:szCs w:val="21"/>
                <w:lang w:val="en-US" w:eastAsia="zh-CN"/>
              </w:rPr>
              <w:t>35</w:t>
            </w:r>
          </w:p>
        </w:tc>
      </w:tr>
      <w:tr w14:paraId="2BA75F38">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E79816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有效问卷份数</w:t>
            </w:r>
          </w:p>
        </w:tc>
        <w:tc>
          <w:tcPr>
            <w:tcW w:w="2460" w:type="dxa"/>
            <w:tcBorders>
              <w:top w:val="nil"/>
              <w:left w:val="nil"/>
              <w:bottom w:val="single" w:color="auto" w:sz="4" w:space="0"/>
              <w:right w:val="single" w:color="auto" w:sz="4" w:space="0"/>
            </w:tcBorders>
            <w:shd w:val="clear" w:color="auto" w:fill="auto"/>
            <w:vAlign w:val="center"/>
          </w:tcPr>
          <w:p w14:paraId="6B653440">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28EDF10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660" w:type="dxa"/>
            <w:tcBorders>
              <w:top w:val="nil"/>
              <w:left w:val="nil"/>
              <w:bottom w:val="single" w:color="auto" w:sz="4" w:space="0"/>
              <w:right w:val="single" w:color="auto" w:sz="4" w:space="0"/>
            </w:tcBorders>
            <w:shd w:val="clear" w:color="auto" w:fill="auto"/>
            <w:vAlign w:val="center"/>
          </w:tcPr>
          <w:p w14:paraId="6D79E58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116CBB97">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F3E977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问卷综合得分</w:t>
            </w:r>
          </w:p>
        </w:tc>
        <w:tc>
          <w:tcPr>
            <w:tcW w:w="2460" w:type="dxa"/>
            <w:tcBorders>
              <w:top w:val="nil"/>
              <w:left w:val="nil"/>
              <w:bottom w:val="single" w:color="auto" w:sz="4" w:space="0"/>
              <w:right w:val="single" w:color="auto" w:sz="4" w:space="0"/>
            </w:tcBorders>
            <w:shd w:val="clear" w:color="auto" w:fill="auto"/>
            <w:vAlign w:val="center"/>
          </w:tcPr>
          <w:p w14:paraId="7A8D17F6">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2075CD2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660" w:type="dxa"/>
            <w:tcBorders>
              <w:top w:val="nil"/>
              <w:left w:val="nil"/>
              <w:bottom w:val="single" w:color="auto" w:sz="4" w:space="0"/>
              <w:right w:val="single" w:color="auto" w:sz="4" w:space="0"/>
            </w:tcBorders>
            <w:shd w:val="clear" w:color="auto" w:fill="auto"/>
            <w:vAlign w:val="center"/>
          </w:tcPr>
          <w:p w14:paraId="127DB6EC">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98.</w:t>
            </w:r>
            <w:r>
              <w:rPr>
                <w:rFonts w:hint="eastAsia" w:ascii="Times New Roman" w:hAnsi="Times New Roman" w:eastAsia="仿宋" w:cs="Times New Roman"/>
                <w:color w:val="000000" w:themeColor="text1"/>
                <w:kern w:val="0"/>
                <w:szCs w:val="21"/>
                <w:lang w:val="en-US" w:eastAsia="zh-CN"/>
              </w:rPr>
              <w:t>6</w:t>
            </w:r>
            <w:r>
              <w:rPr>
                <w:rFonts w:hint="eastAsia" w:ascii="Times New Roman" w:hAnsi="Times New Roman" w:eastAsia="仿宋" w:cs="Times New Roman"/>
                <w:color w:val="000000" w:themeColor="text1"/>
                <w:kern w:val="0"/>
                <w:szCs w:val="21"/>
              </w:rPr>
              <w:t>7</w:t>
            </w:r>
          </w:p>
        </w:tc>
      </w:tr>
    </w:tbl>
    <w:p w14:paraId="19C781DD">
      <w:pPr>
        <w:spacing w:line="520" w:lineRule="exact"/>
        <w:ind w:left="630" w:hanging="630" w:hangingChars="300"/>
        <w:jc w:val="left"/>
        <w:rPr>
          <w:rFonts w:ascii="Times New Roman" w:hAnsi="Times New Roman" w:eastAsia="仿宋_GB2312" w:cs="Times New Roman"/>
          <w:color w:val="000000" w:themeColor="text1"/>
        </w:rPr>
      </w:pPr>
    </w:p>
    <w:p w14:paraId="38D884CD">
      <w:pPr>
        <w:spacing w:line="520" w:lineRule="exact"/>
        <w:ind w:left="630" w:hanging="630" w:hangingChars="300"/>
        <w:jc w:val="left"/>
        <w:rPr>
          <w:rFonts w:ascii="Times New Roman" w:hAnsi="Times New Roman" w:eastAsia="仿宋_GB2312" w:cs="Times New Roman"/>
          <w:color w:val="000000" w:themeColor="text1"/>
        </w:rPr>
      </w:pPr>
    </w:p>
    <w:p w14:paraId="216E1D86">
      <w:pPr>
        <w:spacing w:line="520" w:lineRule="exact"/>
        <w:ind w:left="630" w:hanging="630" w:hangingChars="300"/>
        <w:jc w:val="left"/>
        <w:rPr>
          <w:rFonts w:ascii="Times New Roman" w:hAnsi="Times New Roman" w:eastAsia="仿宋_GB2312" w:cs="Times New Roman"/>
          <w:color w:val="000000" w:themeColor="text1"/>
        </w:rPr>
      </w:pPr>
    </w:p>
    <w:p w14:paraId="14978299">
      <w:pPr>
        <w:spacing w:line="520" w:lineRule="exact"/>
        <w:ind w:left="630" w:hanging="630" w:hangingChars="300"/>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5</w:t>
      </w:r>
    </w:p>
    <w:p w14:paraId="463B6661">
      <w:pPr>
        <w:spacing w:line="0" w:lineRule="atLeast"/>
        <w:jc w:val="center"/>
        <w:rPr>
          <w:rFonts w:ascii="Times New Roman" w:hAnsi="Times New Roman" w:eastAsia="方正小标宋_GBK" w:cs="Times New Roman"/>
          <w:color w:val="000000" w:themeColor="text1"/>
          <w:kern w:val="0"/>
          <w:sz w:val="24"/>
          <w:szCs w:val="24"/>
        </w:rPr>
      </w:pPr>
      <w:r>
        <w:rPr>
          <w:rFonts w:ascii="Times New Roman" w:hAnsi="Times New Roman" w:eastAsia="方正小标宋简体" w:cs="Times New Roman"/>
          <w:color w:val="000000" w:themeColor="text1"/>
          <w:kern w:val="0"/>
          <w:sz w:val="32"/>
          <w:szCs w:val="32"/>
        </w:rPr>
        <w:t>工作底稿</w:t>
      </w: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22"/>
      </w:tblGrid>
      <w:tr w14:paraId="6C3F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tcBorders>
              <w:top w:val="nil"/>
              <w:left w:val="nil"/>
              <w:bottom w:val="nil"/>
              <w:right w:val="nil"/>
            </w:tcBorders>
            <w:vAlign w:val="center"/>
          </w:tcPr>
          <w:p w14:paraId="306D8342">
            <w:pPr>
              <w:spacing w:line="560" w:lineRule="exact"/>
              <w:jc w:val="center"/>
              <w:rPr>
                <w:rFonts w:ascii="Times New Roman" w:hAnsi="Times New Roman" w:eastAsia="宋体" w:cs="Times New Roman"/>
                <w:b/>
                <w:bCs/>
                <w:color w:val="000000" w:themeColor="text1"/>
                <w:szCs w:val="32"/>
              </w:rPr>
            </w:pPr>
            <w:r>
              <w:rPr>
                <w:rFonts w:ascii="Times New Roman" w:hAnsi="Times New Roman" w:eastAsia="方正小标宋_GBK" w:cs="Times New Roman"/>
                <w:bCs/>
                <w:color w:val="000000" w:themeColor="text1"/>
                <w:szCs w:val="32"/>
              </w:rPr>
              <w:t>A11“</w:t>
            </w:r>
            <w:bookmarkStart w:id="0" w:name="OLE_LINK2"/>
            <w:r>
              <w:rPr>
                <w:rFonts w:ascii="Times New Roman" w:hAnsi="Times New Roman" w:eastAsia="方正小标宋_GBK" w:cs="Times New Roman"/>
                <w:bCs/>
                <w:color w:val="000000" w:themeColor="text1"/>
                <w:szCs w:val="32"/>
              </w:rPr>
              <w:t>部门战略规划目标的明确性与合理</w:t>
            </w:r>
            <w:bookmarkEnd w:id="0"/>
            <w:r>
              <w:rPr>
                <w:rFonts w:ascii="Times New Roman" w:hAnsi="Times New Roman" w:eastAsia="方正小标宋_GBK" w:cs="Times New Roman"/>
                <w:bCs/>
                <w:color w:val="000000" w:themeColor="text1"/>
                <w:szCs w:val="32"/>
              </w:rPr>
              <w:t>性”评价底稿</w:t>
            </w:r>
          </w:p>
        </w:tc>
      </w:tr>
      <w:tr w14:paraId="5F90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bottom w:val="nil"/>
              <w:right w:val="nil"/>
            </w:tcBorders>
            <w:vAlign w:val="center"/>
          </w:tcPr>
          <w:p w14:paraId="64E03873">
            <w:pPr>
              <w:spacing w:line="560" w:lineRule="exact"/>
              <w:rPr>
                <w:rFonts w:ascii="Times New Roman" w:hAnsi="Times New Roman" w:eastAsia="仿宋_GB2312" w:cs="Times New Roman"/>
                <w:color w:val="000000" w:themeColor="text1"/>
                <w:sz w:val="28"/>
                <w:szCs w:val="28"/>
              </w:rPr>
            </w:pPr>
            <w:bookmarkStart w:id="1" w:name="OLE_LINK1" w:colFirst="0" w:colLast="0"/>
            <w:r>
              <w:rPr>
                <w:rFonts w:ascii="Times New Roman" w:hAnsi="Times New Roman" w:eastAsia="仿宋_GB2312" w:cs="Times New Roman"/>
                <w:color w:val="000000" w:themeColor="text1"/>
                <w:sz w:val="28"/>
                <w:szCs w:val="28"/>
              </w:rPr>
              <w:t>项目名称：寻甸回族彝族自治县</w:t>
            </w:r>
            <w:r>
              <w:rPr>
                <w:rFonts w:hint="eastAsia" w:ascii="Times New Roman" w:hAnsi="Times New Roman" w:eastAsia="仿宋_GB2312" w:cs="Times New Roman"/>
                <w:color w:val="000000" w:themeColor="text1"/>
                <w:sz w:val="28"/>
                <w:szCs w:val="28"/>
              </w:rPr>
              <w:t>融媒体中心</w:t>
            </w:r>
            <w:r>
              <w:rPr>
                <w:rFonts w:hint="eastAsia" w:ascii="Times New Roman" w:hAnsi="Times New Roman" w:eastAsia="仿宋_GB2312" w:cs="Times New Roman"/>
                <w:color w:val="000000" w:themeColor="text1"/>
                <w:sz w:val="28"/>
                <w:szCs w:val="28"/>
                <w:lang w:eastAsia="zh-CN"/>
              </w:rPr>
              <w:t>2024</w:t>
            </w:r>
            <w:r>
              <w:rPr>
                <w:rFonts w:ascii="Times New Roman" w:hAnsi="Times New Roman" w:eastAsia="仿宋_GB2312" w:cs="Times New Roman"/>
                <w:color w:val="000000" w:themeColor="text1"/>
                <w:sz w:val="28"/>
                <w:szCs w:val="28"/>
              </w:rPr>
              <w:t>年部门整体支出</w:t>
            </w:r>
          </w:p>
        </w:tc>
      </w:tr>
      <w:tr w14:paraId="3CE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right w:val="nil"/>
            </w:tcBorders>
            <w:vAlign w:val="center"/>
          </w:tcPr>
          <w:p w14:paraId="61082F3F">
            <w:pPr>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评价机构：寻甸回族彝族自治县</w:t>
            </w:r>
            <w:r>
              <w:rPr>
                <w:rFonts w:hint="eastAsia" w:ascii="Times New Roman" w:hAnsi="Times New Roman" w:eastAsia="仿宋_GB2312" w:cs="Times New Roman"/>
                <w:color w:val="000000" w:themeColor="text1"/>
                <w:sz w:val="28"/>
                <w:szCs w:val="28"/>
              </w:rPr>
              <w:t>融媒体中心</w:t>
            </w:r>
          </w:p>
        </w:tc>
      </w:tr>
      <w:bookmarkEnd w:id="1"/>
      <w:tr w14:paraId="33A3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0" w:type="dxa"/>
            <w:vAlign w:val="center"/>
          </w:tcPr>
          <w:p w14:paraId="7891F750">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指标解释</w:t>
            </w:r>
          </w:p>
        </w:tc>
        <w:tc>
          <w:tcPr>
            <w:tcW w:w="7622" w:type="dxa"/>
            <w:vAlign w:val="center"/>
          </w:tcPr>
          <w:p w14:paraId="0624EBD8">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按照《附件1：部门整体支出绩效评价共性指标体系框架》中的“指标解释”进行整体预算绩效自评。</w:t>
            </w:r>
          </w:p>
        </w:tc>
      </w:tr>
      <w:tr w14:paraId="5D29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218B0C41">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w:t>
            </w:r>
          </w:p>
        </w:tc>
        <w:tc>
          <w:tcPr>
            <w:tcW w:w="7622" w:type="dxa"/>
            <w:vAlign w:val="center"/>
          </w:tcPr>
          <w:p w14:paraId="2B1E9A2D">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指标权重100分</w:t>
            </w:r>
          </w:p>
        </w:tc>
      </w:tr>
      <w:tr w14:paraId="21B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68790335">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72E83189">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指标权重设定的依据、理由：参考附件1</w:t>
            </w:r>
          </w:p>
        </w:tc>
      </w:tr>
      <w:tr w14:paraId="666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7F375167">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评价标准</w:t>
            </w:r>
          </w:p>
        </w:tc>
        <w:tc>
          <w:tcPr>
            <w:tcW w:w="7622" w:type="dxa"/>
            <w:vAlign w:val="center"/>
          </w:tcPr>
          <w:p w14:paraId="4835D648">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指标标杆值：参考附件1</w:t>
            </w:r>
          </w:p>
        </w:tc>
      </w:tr>
      <w:tr w14:paraId="6F95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0" w:type="dxa"/>
            <w:vMerge w:val="continue"/>
            <w:vAlign w:val="center"/>
          </w:tcPr>
          <w:p w14:paraId="1B0B61EC">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3AE6C130">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指标标杆值依据：参考附件1</w:t>
            </w:r>
          </w:p>
        </w:tc>
      </w:tr>
      <w:tr w14:paraId="315B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570E1E64">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779A8080">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指标评分细则：参考附件1</w:t>
            </w:r>
          </w:p>
        </w:tc>
      </w:tr>
      <w:tr w14:paraId="2CD7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F1B4F5A">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数据来源及取数方式</w:t>
            </w:r>
          </w:p>
        </w:tc>
        <w:tc>
          <w:tcPr>
            <w:tcW w:w="7622" w:type="dxa"/>
            <w:vAlign w:val="center"/>
          </w:tcPr>
          <w:p w14:paraId="6F7B091A">
            <w:pPr>
              <w:topLinePunct/>
              <w:spacing w:line="560" w:lineRule="exact"/>
              <w:ind w:firstLine="480" w:firstLineChars="200"/>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4"/>
                <w:szCs w:val="24"/>
              </w:rPr>
              <w:t>通过评价小组自评的方式，按照附件1的要求，整理好各个项目的基础工作台账，为绩效自评做好评价资料的数据来源，通过绩效自评所需的考评数据指标进行取数，为部门预算绩效自评工作作出公平、公正、有效的自评。</w:t>
            </w:r>
          </w:p>
        </w:tc>
      </w:tr>
      <w:tr w14:paraId="228C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176B8650">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评价结果</w:t>
            </w:r>
          </w:p>
        </w:tc>
        <w:tc>
          <w:tcPr>
            <w:tcW w:w="7622" w:type="dxa"/>
            <w:vAlign w:val="center"/>
          </w:tcPr>
          <w:p w14:paraId="0CEEF6B4">
            <w:pPr>
              <w:topLinePunct/>
              <w:spacing w:line="560" w:lineRule="exact"/>
              <w:ind w:firstLine="480" w:firstLineChars="200"/>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4"/>
                <w:szCs w:val="24"/>
              </w:rPr>
              <w:t>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年目标责任完成情况较好，寻甸回族彝族自治县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年工作目标管理考核得分</w:t>
            </w:r>
            <w:r>
              <w:rPr>
                <w:rFonts w:hint="eastAsia" w:ascii="Times New Roman" w:hAnsi="Times New Roman" w:eastAsia="仿宋" w:cs="Times New Roman"/>
                <w:color w:val="auto"/>
                <w:sz w:val="24"/>
                <w:szCs w:val="24"/>
                <w:lang w:val="en-US" w:eastAsia="zh-CN"/>
              </w:rPr>
              <w:t>97.71</w:t>
            </w:r>
            <w:r>
              <w:rPr>
                <w:rFonts w:ascii="Times New Roman" w:hAnsi="Times New Roman" w:eastAsia="仿宋" w:cs="Times New Roman"/>
                <w:color w:val="000000" w:themeColor="text1"/>
                <w:sz w:val="24"/>
                <w:szCs w:val="24"/>
              </w:rPr>
              <w:t>分，获得</w:t>
            </w:r>
            <w:r>
              <w:rPr>
                <w:rFonts w:hint="eastAsia" w:ascii="Times New Roman" w:hAnsi="Times New Roman" w:eastAsia="仿宋" w:cs="Times New Roman"/>
                <w:color w:val="000000" w:themeColor="text1"/>
                <w:sz w:val="24"/>
                <w:szCs w:val="24"/>
              </w:rPr>
              <w:t>良好</w:t>
            </w:r>
            <w:r>
              <w:rPr>
                <w:rFonts w:ascii="Times New Roman" w:hAnsi="Times New Roman" w:eastAsia="仿宋" w:cs="Times New Roman"/>
                <w:color w:val="000000" w:themeColor="text1"/>
                <w:sz w:val="24"/>
                <w:szCs w:val="24"/>
              </w:rPr>
              <w:t>等次。寻甸回族彝族自治县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年度部门总体支出情况良好，目标责任基本完成。根据指标评价体系，本次绩效考核得分</w:t>
            </w:r>
            <w:r>
              <w:rPr>
                <w:rFonts w:hint="eastAsia" w:ascii="Times New Roman" w:hAnsi="Times New Roman" w:eastAsia="仿宋" w:cs="Times New Roman"/>
                <w:color w:val="000000" w:themeColor="text1"/>
                <w:sz w:val="24"/>
                <w:szCs w:val="24"/>
              </w:rPr>
              <w:t>93.</w:t>
            </w:r>
            <w:r>
              <w:rPr>
                <w:rFonts w:hint="eastAsia" w:ascii="Times New Roman" w:hAnsi="Times New Roman" w:eastAsia="仿宋" w:cs="Times New Roman"/>
                <w:color w:val="000000" w:themeColor="text1"/>
                <w:sz w:val="24"/>
                <w:szCs w:val="24"/>
                <w:lang w:val="en-US" w:eastAsia="zh-CN"/>
              </w:rPr>
              <w:t>5</w:t>
            </w:r>
            <w:r>
              <w:rPr>
                <w:rFonts w:hint="eastAsia" w:ascii="Times New Roman" w:hAnsi="Times New Roman" w:eastAsia="仿宋" w:cs="Times New Roman"/>
                <w:color w:val="000000" w:themeColor="text1"/>
                <w:sz w:val="24"/>
                <w:szCs w:val="24"/>
              </w:rPr>
              <w:t>6</w:t>
            </w:r>
            <w:r>
              <w:rPr>
                <w:rFonts w:ascii="Times New Roman" w:hAnsi="Times New Roman" w:eastAsia="仿宋" w:cs="Times New Roman"/>
                <w:color w:val="000000" w:themeColor="text1"/>
                <w:sz w:val="24"/>
                <w:szCs w:val="24"/>
              </w:rPr>
              <w:t>分，评价结果为“优”。</w:t>
            </w:r>
          </w:p>
        </w:tc>
      </w:tr>
      <w:tr w14:paraId="4F07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314E971A">
            <w:pPr>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0622DD45">
            <w:pPr>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指标得分：</w:t>
            </w:r>
            <w:r>
              <w:rPr>
                <w:rFonts w:hint="eastAsia" w:ascii="Times New Roman" w:hAnsi="Times New Roman" w:eastAsia="仿宋_GB2312" w:cs="Times New Roman"/>
                <w:color w:val="000000" w:themeColor="text1"/>
                <w:sz w:val="28"/>
                <w:szCs w:val="28"/>
              </w:rPr>
              <w:t>93.</w:t>
            </w:r>
            <w:r>
              <w:rPr>
                <w:rFonts w:hint="eastAsia" w:ascii="Times New Roman" w:hAnsi="Times New Roman" w:eastAsia="仿宋_GB2312" w:cs="Times New Roman"/>
                <w:color w:val="000000" w:themeColor="text1"/>
                <w:sz w:val="28"/>
                <w:szCs w:val="28"/>
                <w:lang w:val="en-US" w:eastAsia="zh-CN"/>
              </w:rPr>
              <w:t>5</w:t>
            </w:r>
            <w:r>
              <w:rPr>
                <w:rFonts w:hint="eastAsia" w:ascii="Times New Roman" w:hAnsi="Times New Roman" w:eastAsia="仿宋_GB2312" w:cs="Times New Roman"/>
                <w:color w:val="000000" w:themeColor="text1"/>
                <w:sz w:val="28"/>
                <w:szCs w:val="28"/>
              </w:rPr>
              <w:t>6</w:t>
            </w:r>
            <w:r>
              <w:rPr>
                <w:rFonts w:ascii="Times New Roman" w:hAnsi="Times New Roman" w:eastAsia="仿宋_GB2312" w:cs="Times New Roman"/>
                <w:color w:val="000000" w:themeColor="text1"/>
                <w:sz w:val="28"/>
                <w:szCs w:val="28"/>
              </w:rPr>
              <w:t>分</w:t>
            </w:r>
          </w:p>
        </w:tc>
      </w:tr>
    </w:tbl>
    <w:p w14:paraId="681A688B">
      <w:pPr>
        <w:spacing w:line="520" w:lineRule="exact"/>
        <w:ind w:left="630" w:hanging="630" w:hangingChars="300"/>
        <w:jc w:val="left"/>
        <w:rPr>
          <w:rFonts w:ascii="Times New Roman" w:hAnsi="Times New Roman" w:eastAsia="仿宋_GB2312" w:cs="Times New Roman"/>
          <w:color w:val="000000" w:themeColor="text1"/>
        </w:rPr>
      </w:pPr>
    </w:p>
    <w:p w14:paraId="1051D3E3">
      <w:pPr>
        <w:spacing w:line="520" w:lineRule="exact"/>
        <w:ind w:left="630" w:hanging="630" w:hangingChars="300"/>
        <w:jc w:val="left"/>
        <w:rPr>
          <w:rFonts w:ascii="Times New Roman" w:hAnsi="Times New Roman" w:eastAsia="仿宋_GB2312" w:cs="Times New Roman"/>
          <w:color w:val="000000" w:themeColor="text1"/>
        </w:rPr>
        <w:sectPr>
          <w:pgSz w:w="11906" w:h="16838"/>
          <w:pgMar w:top="1440" w:right="1797" w:bottom="1440" w:left="1797" w:header="851" w:footer="992" w:gutter="0"/>
          <w:cols w:space="425" w:num="1"/>
          <w:docGrid w:linePitch="312" w:charSpace="0"/>
        </w:sectPr>
      </w:pPr>
    </w:p>
    <w:p w14:paraId="5FC6CF09">
      <w:pP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 xml:space="preserve">附件6 </w:t>
      </w:r>
    </w:p>
    <w:p w14:paraId="4F56EE06">
      <w:pPr>
        <w:jc w:val="center"/>
        <w:rPr>
          <w:rFonts w:hint="eastAsia" w:ascii="Times New Roman" w:hAnsi="Times New Roman" w:eastAsia="仿宋_GB2312" w:cs="Times New Roman"/>
          <w:color w:val="000000" w:themeColor="text1"/>
          <w:lang w:val="en-US" w:eastAsia="zh-CN"/>
        </w:rPr>
      </w:pPr>
      <w:r>
        <w:rPr>
          <w:rFonts w:hint="eastAsia" w:ascii="Times New Roman" w:hAnsi="Times New Roman" w:eastAsia="仿宋_GB2312" w:cs="Times New Roman"/>
          <w:color w:val="000000" w:themeColor="text1"/>
          <w:sz w:val="30"/>
          <w:szCs w:val="30"/>
          <w:lang w:eastAsia="zh-CN"/>
        </w:rPr>
        <w:t>2024</w:t>
      </w:r>
      <w:r>
        <w:rPr>
          <w:rFonts w:ascii="Times New Roman" w:hAnsi="Times New Roman" w:eastAsia="仿宋_GB2312" w:cs="Times New Roman"/>
          <w:color w:val="000000" w:themeColor="text1"/>
          <w:sz w:val="30"/>
          <w:szCs w:val="30"/>
        </w:rPr>
        <w:t>年</w:t>
      </w:r>
      <w:r>
        <w:rPr>
          <w:rFonts w:hint="eastAsia" w:ascii="Times New Roman" w:hAnsi="Times New Roman" w:eastAsia="仿宋_GB2312" w:cs="Times New Roman"/>
          <w:color w:val="000000" w:themeColor="text1"/>
          <w:sz w:val="30"/>
          <w:szCs w:val="30"/>
          <w:lang w:eastAsia="zh-CN"/>
        </w:rPr>
        <w:t>收入支出决算总表</w:t>
      </w:r>
      <w:r>
        <w:rPr>
          <w:rFonts w:hint="eastAsia" w:ascii="Times New Roman" w:hAnsi="Times New Roman" w:eastAsia="仿宋_GB2312" w:cs="Times New Roman"/>
          <w:color w:val="000000" w:themeColor="text1"/>
          <w:sz w:val="30"/>
          <w:szCs w:val="30"/>
          <w:lang w:val="en-US" w:eastAsia="zh-CN"/>
        </w:rPr>
        <w:t xml:space="preserve"> </w:t>
      </w:r>
      <w:r>
        <w:rPr>
          <w:rFonts w:hint="eastAsia" w:ascii="Times New Roman" w:hAnsi="Times New Roman" w:eastAsia="仿宋_GB2312" w:cs="Times New Roman"/>
          <w:color w:val="000000" w:themeColor="text1"/>
          <w:lang w:val="en-US" w:eastAsia="zh-CN"/>
        </w:rPr>
        <w:t xml:space="preserve">                                       </w:t>
      </w:r>
    </w:p>
    <w:p w14:paraId="245522FE">
      <w:pPr>
        <w:jc w:val="center"/>
        <w:rPr>
          <w:rFonts w:hint="default" w:ascii="Times New Roman" w:hAnsi="Times New Roman" w:eastAsia="仿宋_GB2312" w:cs="Times New Roman"/>
          <w:color w:val="000000" w:themeColor="text1"/>
          <w:lang w:val="en-US" w:eastAsia="zh-CN"/>
        </w:rPr>
      </w:pPr>
      <w:r>
        <w:rPr>
          <w:rFonts w:hint="eastAsia" w:ascii="Times New Roman" w:hAnsi="Times New Roman" w:eastAsia="仿宋_GB2312" w:cs="Times New Roman"/>
          <w:color w:val="000000" w:themeColor="text1"/>
          <w:lang w:val="en-US" w:eastAsia="zh-CN"/>
        </w:rPr>
        <w:t xml:space="preserve">                                                                                                                           单位：元</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3"/>
        <w:gridCol w:w="422"/>
        <w:gridCol w:w="835"/>
        <w:gridCol w:w="835"/>
        <w:gridCol w:w="835"/>
        <w:gridCol w:w="1763"/>
        <w:gridCol w:w="422"/>
        <w:gridCol w:w="835"/>
        <w:gridCol w:w="835"/>
        <w:gridCol w:w="835"/>
        <w:gridCol w:w="1557"/>
        <w:gridCol w:w="422"/>
        <w:gridCol w:w="835"/>
        <w:gridCol w:w="835"/>
        <w:gridCol w:w="835"/>
      </w:tblGrid>
      <w:tr w14:paraId="4236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6" w:type="pct"/>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A574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3243" w:type="pct"/>
            <w:gridSpan w:val="10"/>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A31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14:paraId="2CD6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3CC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BB79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4631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501B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8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D827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7B2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项目(按功能分类)</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E41E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2D6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9A0A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955B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8561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项目(按支出性质和经济分类)</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091A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EAB2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D016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93" w:type="pct"/>
            <w:tcBorders>
              <w:top w:val="single" w:color="D4D4D4" w:sz="4" w:space="0"/>
              <w:left w:val="single" w:color="D4D4D4" w:sz="4" w:space="0"/>
              <w:bottom w:val="single" w:color="D4D4D4" w:sz="4" w:space="0"/>
              <w:right w:val="single" w:color="D4D4D4" w:sz="12" w:space="0"/>
            </w:tcBorders>
            <w:shd w:val="clear" w:color="auto" w:fill="F1F1F1"/>
            <w:noWrap/>
            <w:vAlign w:val="center"/>
          </w:tcPr>
          <w:p w14:paraId="12CBDA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r>
      <w:tr w14:paraId="02F0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275D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792956">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0526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CCE2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8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3B6F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3746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AB33AC">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CA4D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067D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86A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EC2E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537BF2">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63E0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2700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93" w:type="pct"/>
            <w:tcBorders>
              <w:top w:val="single" w:color="D4D4D4" w:sz="4" w:space="0"/>
              <w:left w:val="single" w:color="D4D4D4" w:sz="4" w:space="0"/>
              <w:bottom w:val="single" w:color="D4D4D4" w:sz="4" w:space="0"/>
              <w:right w:val="single" w:color="D4D4D4" w:sz="12" w:space="0"/>
            </w:tcBorders>
            <w:shd w:val="clear" w:color="auto" w:fill="F1F1F1"/>
            <w:noWrap/>
            <w:vAlign w:val="center"/>
          </w:tcPr>
          <w:p w14:paraId="3289B8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r>
      <w:tr w14:paraId="3891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0580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DF1D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11C6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4,228,106.35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1FB8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5,220,840.38</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4BB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5,220,840.38</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7203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D6D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6051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56F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428C9">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298A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一、基本支出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899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3B94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3,879,728.99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A058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4,280,833.67</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C3026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4,280,833.67</w:t>
            </w:r>
          </w:p>
        </w:tc>
      </w:tr>
      <w:tr w14:paraId="1716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AB4A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099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411B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36DC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3F7F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72B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3033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3867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D67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3968FA">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7899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人员经费</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5B49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A2DF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3,776,428.99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A30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4,027,785.16</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C09FF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4,027,785.16</w:t>
            </w:r>
          </w:p>
        </w:tc>
      </w:tr>
      <w:tr w14:paraId="557A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50CA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EB8D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8C3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D12B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41BCB">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D05D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D5E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31E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519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5AAE4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2913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公用经费</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62B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791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103,300.00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927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253,048.51</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81E10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253,048.51</w:t>
            </w:r>
          </w:p>
        </w:tc>
      </w:tr>
      <w:tr w14:paraId="2494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F44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四、上级补助收入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EFA6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6D7E4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1A2C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008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8C5D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A12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E9B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D49B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52DCB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45B3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二、项目支出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F6C8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BED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481,863.71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4127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1,069,931.86</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DB284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1,069,931.86</w:t>
            </w:r>
          </w:p>
        </w:tc>
      </w:tr>
      <w:tr w14:paraId="1339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A5A3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D876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1EB3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22A9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9EE5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8C49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3B0B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B166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6DF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2811D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E376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其中：基本建设类项目</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F805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9C4FD5">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67B1CB">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A71FC98">
            <w:pPr>
              <w:jc w:val="right"/>
              <w:rPr>
                <w:rFonts w:hint="eastAsia" w:ascii="宋体" w:hAnsi="宋体" w:eastAsia="宋体" w:cs="宋体"/>
                <w:i w:val="0"/>
                <w:iCs w:val="0"/>
                <w:color w:val="000000"/>
                <w:sz w:val="15"/>
                <w:szCs w:val="15"/>
                <w:u w:val="none"/>
              </w:rPr>
            </w:pPr>
          </w:p>
        </w:tc>
      </w:tr>
      <w:tr w14:paraId="6602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6C47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六、经营收入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658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E9F6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FF71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967E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BD4A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5B05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AC8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8E3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20351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C653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三、上缴上级支出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852D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BA8282">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D33482">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F4FC0DB">
            <w:pPr>
              <w:jc w:val="right"/>
              <w:rPr>
                <w:rFonts w:hint="eastAsia" w:ascii="宋体" w:hAnsi="宋体" w:eastAsia="宋体" w:cs="宋体"/>
                <w:i w:val="0"/>
                <w:iCs w:val="0"/>
                <w:color w:val="000000"/>
                <w:sz w:val="15"/>
                <w:szCs w:val="15"/>
                <w:u w:val="none"/>
              </w:rPr>
            </w:pPr>
          </w:p>
        </w:tc>
      </w:tr>
      <w:tr w14:paraId="7812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1C7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七、附属单位上缴收入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5B72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7A2E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CAC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53D4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ECB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七、文化旅游体育与传媒支出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6679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1055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3,423,005.71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DF03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4,414,483.07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3E10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4,414,483.07</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26ED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四、经营支出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9E87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E89E1">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39116">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37FA6C5">
            <w:pPr>
              <w:jc w:val="right"/>
              <w:rPr>
                <w:rFonts w:hint="eastAsia" w:ascii="宋体" w:hAnsi="宋体" w:eastAsia="宋体" w:cs="宋体"/>
                <w:i w:val="0"/>
                <w:iCs w:val="0"/>
                <w:color w:val="000000"/>
                <w:sz w:val="15"/>
                <w:szCs w:val="15"/>
                <w:u w:val="none"/>
              </w:rPr>
            </w:pPr>
          </w:p>
        </w:tc>
      </w:tr>
      <w:tr w14:paraId="77BC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DDB5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八、其他收入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0D6F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DC7F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133,486.35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61549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103,561.20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BB2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103,561.20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818E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F067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C6F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406,236.81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043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417,725.35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C3DE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417,725.35</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B6E9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五、对附属单位补助支出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CC02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D28329">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01F5A6">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98CD3D0">
            <w:pPr>
              <w:jc w:val="right"/>
              <w:rPr>
                <w:rFonts w:hint="eastAsia" w:ascii="宋体" w:hAnsi="宋体" w:eastAsia="宋体" w:cs="宋体"/>
                <w:i w:val="0"/>
                <w:iCs w:val="0"/>
                <w:color w:val="000000"/>
                <w:sz w:val="15"/>
                <w:szCs w:val="15"/>
                <w:u w:val="none"/>
              </w:rPr>
            </w:pPr>
          </w:p>
        </w:tc>
      </w:tr>
      <w:tr w14:paraId="61A2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8E79D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8146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3E12A9">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93C562">
            <w:pPr>
              <w:jc w:val="lef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0434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0103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九、卫生健康支出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D9AC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14C5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288,872.58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CD4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265,865.11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D0F1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265,865.11</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7621AB">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2733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B74102">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A2AC0">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76EF851">
            <w:pPr>
              <w:jc w:val="right"/>
              <w:rPr>
                <w:rFonts w:hint="eastAsia" w:ascii="宋体" w:hAnsi="宋体" w:eastAsia="宋体" w:cs="宋体"/>
                <w:i w:val="0"/>
                <w:iCs w:val="0"/>
                <w:color w:val="000000"/>
                <w:sz w:val="15"/>
                <w:szCs w:val="15"/>
                <w:u w:val="none"/>
              </w:rPr>
            </w:pPr>
          </w:p>
        </w:tc>
      </w:tr>
      <w:tr w14:paraId="31C1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432A7">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EAD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C784EB">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2544B6">
            <w:pPr>
              <w:jc w:val="lef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248B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6810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十、节能环保支出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4994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C9D4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DB93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A7AE6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1074D8">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6DFE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D1874B">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6D5939">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8DC4672">
            <w:pPr>
              <w:jc w:val="right"/>
              <w:rPr>
                <w:rFonts w:hint="eastAsia" w:ascii="宋体" w:hAnsi="宋体" w:eastAsia="宋体" w:cs="宋体"/>
                <w:i w:val="0"/>
                <w:iCs w:val="0"/>
                <w:color w:val="000000"/>
                <w:sz w:val="15"/>
                <w:szCs w:val="15"/>
                <w:u w:val="none"/>
              </w:rPr>
            </w:pPr>
          </w:p>
        </w:tc>
      </w:tr>
      <w:tr w14:paraId="34DA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E8D47">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F46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43266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7F400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C02F1F">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8F02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十一、城乡社区支出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51A9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B135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5184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202EE6">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C611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经济分类支出合计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8637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9C70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A03D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BDCEA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r>
      <w:tr w14:paraId="43E3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1BDF1">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4A6C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62690">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88512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1298D5">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9367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十二、农林水支出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5529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70E1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E313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B3626">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F3A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一、工资福利支出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882C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66C6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FC1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F99E4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3,241,339.16</w:t>
            </w:r>
          </w:p>
        </w:tc>
      </w:tr>
      <w:tr w14:paraId="100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9FABB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BA7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F2239B">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DAA44C">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F047E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C725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十三、交通运输支出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3039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73D8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02E3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AB02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99E5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二、商品和服务支出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CDD4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D80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0E9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099536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520,900.95</w:t>
            </w:r>
          </w:p>
        </w:tc>
      </w:tr>
      <w:tr w14:paraId="157D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94B956">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8D2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66259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BF3F6C">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2610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3048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十四、资源勘探工业信息等支出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9CEE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6267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DCAF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910E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0F5A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三、对个人和家庭的补助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1B3F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E1D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C27C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B5045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789,494.68</w:t>
            </w:r>
          </w:p>
        </w:tc>
      </w:tr>
      <w:tr w14:paraId="34C0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08F0DA">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1117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9B9137">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7083ED">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E031E">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5DE5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十五、商业服务业等支出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8CF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3377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3BF3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17283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C5210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四、债务利息及费用支出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7B5D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6D0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A955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16457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93B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CFD96E">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200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0177CF">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5FDC5">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292B0">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0DAE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十六、金融支出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6695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FE8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1CE8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A9204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473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五、资本性支出（基本建设）</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F2A5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4702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2AD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ECE69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E35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9F29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BA2E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9A04A">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039B60">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800FB5">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C545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十七、援助其他地区支出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259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A42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4F0C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05C48">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9127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六、资本性支出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98CE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7109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B835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B5F92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799,030.74</w:t>
            </w:r>
          </w:p>
        </w:tc>
      </w:tr>
      <w:tr w14:paraId="64AB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6DC7F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461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28F482">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1E9275">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BB51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2B3F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十八、自然资源海洋气象等支出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9B1C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99B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70F4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C4262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C26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七、对企业补助（基本建设）</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B283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7CEB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C35F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0AC1D1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BA2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635FBF">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82AA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B0FAE9">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903A8F">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B18CB6">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4EE3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十九、住房保障支出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18DC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38C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243,477.60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28AF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252,692.00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432D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252,692.00</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7033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八、对企业补助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E797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50D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327E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354F0E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82E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0F2A9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E90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B47B14">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B1912B">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750DA2">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9928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二十、粮油物资储备支出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1779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A81C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44A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5281DB">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3B77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九、对社会保障基金补助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2463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30D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4978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A785D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108D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886329">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5598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3A1B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F93911">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AD089">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4A4A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二十一、国有资本经营预算支出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A6AB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4922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F627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5143E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5464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十、其他支出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669B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BE3C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E3F3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E8C3E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988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4B5C23">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6AA7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BDA13">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893C5D">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7FFC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F397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二十二、灾害防治及应急管理支出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1B2A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B93B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F6DE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51EDF8">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7657BC">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DAE6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D9CC8">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9D2D48">
            <w:pPr>
              <w:jc w:val="center"/>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CC3FF6B">
            <w:pPr>
              <w:jc w:val="right"/>
              <w:rPr>
                <w:rFonts w:hint="eastAsia" w:ascii="宋体" w:hAnsi="宋体" w:eastAsia="宋体" w:cs="宋体"/>
                <w:i w:val="0"/>
                <w:iCs w:val="0"/>
                <w:color w:val="000000"/>
                <w:sz w:val="15"/>
                <w:szCs w:val="15"/>
                <w:u w:val="none"/>
              </w:rPr>
            </w:pPr>
          </w:p>
        </w:tc>
      </w:tr>
      <w:tr w14:paraId="419F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957E30">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419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4A9A22">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3109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05DF5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CFBD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二十三、其他支出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1C00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B2A9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B4C9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DFF34">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71953">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3164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8F94F8">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E1F2B8">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0EE1EAB">
            <w:pPr>
              <w:jc w:val="right"/>
              <w:rPr>
                <w:rFonts w:hint="eastAsia" w:ascii="宋体" w:hAnsi="宋体" w:eastAsia="宋体" w:cs="宋体"/>
                <w:i w:val="0"/>
                <w:iCs w:val="0"/>
                <w:color w:val="000000"/>
                <w:sz w:val="15"/>
                <w:szCs w:val="15"/>
                <w:u w:val="none"/>
              </w:rPr>
            </w:pPr>
          </w:p>
        </w:tc>
      </w:tr>
      <w:tr w14:paraId="3AC0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142DD">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196B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99021E">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1EC7F">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AF409">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9CC4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二十四、债务还本支出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A34A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4EC4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49A4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163C1">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E921FA">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AD1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AE7EB">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EF8D9F">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3752094">
            <w:pPr>
              <w:jc w:val="right"/>
              <w:rPr>
                <w:rFonts w:hint="eastAsia" w:ascii="宋体" w:hAnsi="宋体" w:eastAsia="宋体" w:cs="宋体"/>
                <w:i w:val="0"/>
                <w:iCs w:val="0"/>
                <w:color w:val="000000"/>
                <w:sz w:val="15"/>
                <w:szCs w:val="15"/>
                <w:u w:val="none"/>
              </w:rPr>
            </w:pPr>
          </w:p>
        </w:tc>
      </w:tr>
      <w:tr w14:paraId="24C9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E98D2C">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DDDD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6C125B">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6CB6C6">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A485C4">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A9A4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二十五、债务付息支出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EF6D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0F0F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F88F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2253A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EE2A0">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C033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CE15D3">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2DE1B1">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ECDA07D">
            <w:pPr>
              <w:jc w:val="right"/>
              <w:rPr>
                <w:rFonts w:hint="eastAsia" w:ascii="宋体" w:hAnsi="宋体" w:eastAsia="宋体" w:cs="宋体"/>
                <w:i w:val="0"/>
                <w:iCs w:val="0"/>
                <w:color w:val="000000"/>
                <w:sz w:val="15"/>
                <w:szCs w:val="15"/>
                <w:u w:val="none"/>
              </w:rPr>
            </w:pPr>
          </w:p>
        </w:tc>
      </w:tr>
      <w:tr w14:paraId="7223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5F283">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8A39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98FC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53F6CE">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18A9A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56E2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二十六、抗疫特别国债安排的支出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2361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0153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C34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137A47">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EC9F62">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231A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A13662">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2DB93A">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F260F50">
            <w:pPr>
              <w:jc w:val="right"/>
              <w:rPr>
                <w:rFonts w:hint="eastAsia" w:ascii="宋体" w:hAnsi="宋体" w:eastAsia="宋体" w:cs="宋体"/>
                <w:i w:val="0"/>
                <w:iCs w:val="0"/>
                <w:color w:val="000000"/>
                <w:sz w:val="15"/>
                <w:szCs w:val="15"/>
                <w:u w:val="none"/>
              </w:rPr>
            </w:pPr>
          </w:p>
        </w:tc>
      </w:tr>
      <w:tr w14:paraId="01F6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37E04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CF73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CA85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01ACF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5,324,401.58</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620A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5,324,401.58</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758DF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1D75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EE68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54F2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91EB5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r>
      <w:tr w14:paraId="37E6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E4B5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使用非财政拨款结余（含专用结余）</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5035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8A5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7088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297D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FBE8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结余分配</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4AA6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539D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384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CA40998">
            <w:pPr>
              <w:jc w:val="right"/>
              <w:rPr>
                <w:rFonts w:hint="eastAsia" w:ascii="宋体" w:hAnsi="宋体" w:eastAsia="宋体" w:cs="宋体"/>
                <w:i w:val="0"/>
                <w:iCs w:val="0"/>
                <w:color w:val="000000"/>
                <w:sz w:val="15"/>
                <w:szCs w:val="15"/>
                <w:u w:val="none"/>
              </w:rPr>
            </w:pPr>
          </w:p>
        </w:tc>
      </w:tr>
      <w:tr w14:paraId="38F2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1295C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年初结转和结余</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C987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FC04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F97E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29,925.15</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1F7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29,925.15</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C030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年末结转和结余</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FF25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0866C">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D5F1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3,561.20</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F3C01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3,561.20</w:t>
            </w:r>
          </w:p>
        </w:tc>
      </w:tr>
      <w:tr w14:paraId="1297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C5366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60F1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D19F8">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4A15F1">
            <w:pPr>
              <w:jc w:val="center"/>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B428A4">
            <w:pPr>
              <w:jc w:val="right"/>
              <w:rPr>
                <w:rFonts w:hint="eastAsia" w:ascii="宋体" w:hAnsi="宋体" w:eastAsia="宋体" w:cs="宋体"/>
                <w:i w:val="0"/>
                <w:iCs w:val="0"/>
                <w:color w:val="000000"/>
                <w:sz w:val="15"/>
                <w:szCs w:val="15"/>
                <w:u w:val="none"/>
              </w:rPr>
            </w:pP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359E08">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1884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41EE33">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AE3996">
            <w:pPr>
              <w:jc w:val="center"/>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FD42870">
            <w:pPr>
              <w:jc w:val="right"/>
              <w:rPr>
                <w:rFonts w:hint="eastAsia" w:ascii="宋体" w:hAnsi="宋体" w:eastAsia="宋体" w:cs="宋体"/>
                <w:i w:val="0"/>
                <w:iCs w:val="0"/>
                <w:color w:val="000000"/>
                <w:sz w:val="15"/>
                <w:szCs w:val="15"/>
                <w:u w:val="none"/>
              </w:rPr>
            </w:pPr>
          </w:p>
        </w:tc>
      </w:tr>
      <w:tr w14:paraId="222B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69909B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133"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29A5B0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288"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1F5AA9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88"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62EADD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89"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035D7B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229" w:type="pct"/>
            <w:gridSpan w:val="6"/>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76B4AA0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135"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7735CB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292"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3993E3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92"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03E147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93" w:type="pct"/>
            <w:tcBorders>
              <w:top w:val="single" w:color="D4D4D4" w:sz="4" w:space="0"/>
              <w:left w:val="single" w:color="D4D4D4" w:sz="4" w:space="0"/>
              <w:bottom w:val="single" w:color="D4D4D4" w:sz="12" w:space="0"/>
              <w:right w:val="single" w:color="D4D4D4" w:sz="12" w:space="0"/>
            </w:tcBorders>
            <w:shd w:val="clear" w:color="auto" w:fill="FFFFFF"/>
            <w:noWrap/>
            <w:vAlign w:val="center"/>
          </w:tcPr>
          <w:p w14:paraId="6F0E3F8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r>
    </w:tbl>
    <w:p w14:paraId="0B44427F">
      <w:pPr>
        <w:rPr>
          <w:rFonts w:ascii="Times New Roman" w:hAnsi="Times New Roman" w:eastAsia="仿宋_GB2312" w:cs="Times New Roman"/>
          <w:color w:val="000000" w:themeColor="text1"/>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0E5D">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14:paraId="4F75775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B7BB">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3C21BA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F4E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E0A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5D2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VmNjlkZTI2ZmNlNDgyYjNlMmQ5MWE1OGQ3ZGUzZGIifQ=="/>
  </w:docVars>
  <w:rsids>
    <w:rsidRoot w:val="00AB15A5"/>
    <w:rsid w:val="00001D1B"/>
    <w:rsid w:val="00004863"/>
    <w:rsid w:val="000252CD"/>
    <w:rsid w:val="000262A5"/>
    <w:rsid w:val="00027BFA"/>
    <w:rsid w:val="000330A8"/>
    <w:rsid w:val="0004199C"/>
    <w:rsid w:val="00052D29"/>
    <w:rsid w:val="00056AB9"/>
    <w:rsid w:val="000616A9"/>
    <w:rsid w:val="00087FBA"/>
    <w:rsid w:val="00092A3F"/>
    <w:rsid w:val="000A7D4D"/>
    <w:rsid w:val="000B14E0"/>
    <w:rsid w:val="000C5353"/>
    <w:rsid w:val="000D483E"/>
    <w:rsid w:val="000E38B7"/>
    <w:rsid w:val="000F4B08"/>
    <w:rsid w:val="00113033"/>
    <w:rsid w:val="0012521A"/>
    <w:rsid w:val="001339D1"/>
    <w:rsid w:val="00156477"/>
    <w:rsid w:val="00164239"/>
    <w:rsid w:val="001951A1"/>
    <w:rsid w:val="001D2AB1"/>
    <w:rsid w:val="001D3E0B"/>
    <w:rsid w:val="001D7519"/>
    <w:rsid w:val="001F2611"/>
    <w:rsid w:val="001F537F"/>
    <w:rsid w:val="00217A0B"/>
    <w:rsid w:val="00231733"/>
    <w:rsid w:val="00237227"/>
    <w:rsid w:val="00243F74"/>
    <w:rsid w:val="0024501A"/>
    <w:rsid w:val="00246D90"/>
    <w:rsid w:val="00250304"/>
    <w:rsid w:val="00257881"/>
    <w:rsid w:val="002644F6"/>
    <w:rsid w:val="00275A27"/>
    <w:rsid w:val="002774CC"/>
    <w:rsid w:val="00292C5C"/>
    <w:rsid w:val="00295B4E"/>
    <w:rsid w:val="00296704"/>
    <w:rsid w:val="002A5CA0"/>
    <w:rsid w:val="002C2EC8"/>
    <w:rsid w:val="002D0DF9"/>
    <w:rsid w:val="002D54E7"/>
    <w:rsid w:val="002E4AA3"/>
    <w:rsid w:val="002F42CB"/>
    <w:rsid w:val="002F712F"/>
    <w:rsid w:val="0031066D"/>
    <w:rsid w:val="00327F72"/>
    <w:rsid w:val="003423E1"/>
    <w:rsid w:val="003756A9"/>
    <w:rsid w:val="003A4532"/>
    <w:rsid w:val="003B118F"/>
    <w:rsid w:val="003B7519"/>
    <w:rsid w:val="003C197D"/>
    <w:rsid w:val="003D0404"/>
    <w:rsid w:val="003D3258"/>
    <w:rsid w:val="003D7AC0"/>
    <w:rsid w:val="003E1328"/>
    <w:rsid w:val="003E2405"/>
    <w:rsid w:val="003E47C1"/>
    <w:rsid w:val="003F7337"/>
    <w:rsid w:val="00400EC0"/>
    <w:rsid w:val="0040221C"/>
    <w:rsid w:val="00415717"/>
    <w:rsid w:val="00416122"/>
    <w:rsid w:val="00416AFE"/>
    <w:rsid w:val="00435F86"/>
    <w:rsid w:val="0046455D"/>
    <w:rsid w:val="00464742"/>
    <w:rsid w:val="004766AD"/>
    <w:rsid w:val="004A06DD"/>
    <w:rsid w:val="004A29DB"/>
    <w:rsid w:val="004A46C7"/>
    <w:rsid w:val="004C35A5"/>
    <w:rsid w:val="004C5639"/>
    <w:rsid w:val="004C7942"/>
    <w:rsid w:val="004F3136"/>
    <w:rsid w:val="00504F17"/>
    <w:rsid w:val="0050721C"/>
    <w:rsid w:val="00512BC4"/>
    <w:rsid w:val="0053374C"/>
    <w:rsid w:val="00535E49"/>
    <w:rsid w:val="00540AE3"/>
    <w:rsid w:val="00552083"/>
    <w:rsid w:val="00572EDF"/>
    <w:rsid w:val="00582EEB"/>
    <w:rsid w:val="00596AB9"/>
    <w:rsid w:val="005B4336"/>
    <w:rsid w:val="005B4646"/>
    <w:rsid w:val="005B61EB"/>
    <w:rsid w:val="005C3DDE"/>
    <w:rsid w:val="005D1815"/>
    <w:rsid w:val="005D7805"/>
    <w:rsid w:val="005E3A75"/>
    <w:rsid w:val="005E46EB"/>
    <w:rsid w:val="005F0ED4"/>
    <w:rsid w:val="005F6ED9"/>
    <w:rsid w:val="0061570C"/>
    <w:rsid w:val="00615CE9"/>
    <w:rsid w:val="00621E6E"/>
    <w:rsid w:val="00625277"/>
    <w:rsid w:val="0063239B"/>
    <w:rsid w:val="00634437"/>
    <w:rsid w:val="006543D1"/>
    <w:rsid w:val="006A0FD5"/>
    <w:rsid w:val="006A6E8B"/>
    <w:rsid w:val="006A7265"/>
    <w:rsid w:val="006B2ECB"/>
    <w:rsid w:val="006D2400"/>
    <w:rsid w:val="006D603F"/>
    <w:rsid w:val="006D69AD"/>
    <w:rsid w:val="006F2595"/>
    <w:rsid w:val="006F7125"/>
    <w:rsid w:val="00732061"/>
    <w:rsid w:val="00737D0A"/>
    <w:rsid w:val="00743EDF"/>
    <w:rsid w:val="00752714"/>
    <w:rsid w:val="0075649C"/>
    <w:rsid w:val="007669B7"/>
    <w:rsid w:val="00770AA7"/>
    <w:rsid w:val="00781ED8"/>
    <w:rsid w:val="00794A95"/>
    <w:rsid w:val="007971E3"/>
    <w:rsid w:val="007A2F21"/>
    <w:rsid w:val="007A6DD0"/>
    <w:rsid w:val="007A6FC8"/>
    <w:rsid w:val="007A7C16"/>
    <w:rsid w:val="007B1C0E"/>
    <w:rsid w:val="007C2568"/>
    <w:rsid w:val="007C5EEF"/>
    <w:rsid w:val="007D1307"/>
    <w:rsid w:val="007D4F4C"/>
    <w:rsid w:val="007D5258"/>
    <w:rsid w:val="007E0034"/>
    <w:rsid w:val="007F1038"/>
    <w:rsid w:val="007F18F7"/>
    <w:rsid w:val="007F3B00"/>
    <w:rsid w:val="0080770E"/>
    <w:rsid w:val="00816A71"/>
    <w:rsid w:val="00816D03"/>
    <w:rsid w:val="00821504"/>
    <w:rsid w:val="00841AAA"/>
    <w:rsid w:val="00843024"/>
    <w:rsid w:val="00862FF5"/>
    <w:rsid w:val="00865A3E"/>
    <w:rsid w:val="008744CF"/>
    <w:rsid w:val="008A2C71"/>
    <w:rsid w:val="008B56CE"/>
    <w:rsid w:val="008C79C6"/>
    <w:rsid w:val="008D3F64"/>
    <w:rsid w:val="008E0771"/>
    <w:rsid w:val="008E3D38"/>
    <w:rsid w:val="008E41A8"/>
    <w:rsid w:val="008F06E2"/>
    <w:rsid w:val="00901D6A"/>
    <w:rsid w:val="00904138"/>
    <w:rsid w:val="00911665"/>
    <w:rsid w:val="0091427F"/>
    <w:rsid w:val="00917E61"/>
    <w:rsid w:val="00930B29"/>
    <w:rsid w:val="00942754"/>
    <w:rsid w:val="00943973"/>
    <w:rsid w:val="0096542E"/>
    <w:rsid w:val="00972F5B"/>
    <w:rsid w:val="00976FE4"/>
    <w:rsid w:val="0098733B"/>
    <w:rsid w:val="009903EC"/>
    <w:rsid w:val="009A064B"/>
    <w:rsid w:val="009A3DF1"/>
    <w:rsid w:val="009B315B"/>
    <w:rsid w:val="009C60E8"/>
    <w:rsid w:val="009C6444"/>
    <w:rsid w:val="009D367C"/>
    <w:rsid w:val="009E258B"/>
    <w:rsid w:val="009E50F3"/>
    <w:rsid w:val="009F3524"/>
    <w:rsid w:val="00A032E1"/>
    <w:rsid w:val="00A03A9D"/>
    <w:rsid w:val="00A1009F"/>
    <w:rsid w:val="00A131FD"/>
    <w:rsid w:val="00A36F62"/>
    <w:rsid w:val="00A54AB0"/>
    <w:rsid w:val="00A64568"/>
    <w:rsid w:val="00A64CBF"/>
    <w:rsid w:val="00A663A4"/>
    <w:rsid w:val="00A8754E"/>
    <w:rsid w:val="00AA4B4F"/>
    <w:rsid w:val="00AB15A5"/>
    <w:rsid w:val="00AB41E1"/>
    <w:rsid w:val="00AB69ED"/>
    <w:rsid w:val="00AD55A1"/>
    <w:rsid w:val="00AE0634"/>
    <w:rsid w:val="00AE6027"/>
    <w:rsid w:val="00B04AF9"/>
    <w:rsid w:val="00B223EF"/>
    <w:rsid w:val="00B37E13"/>
    <w:rsid w:val="00B471E9"/>
    <w:rsid w:val="00B51106"/>
    <w:rsid w:val="00B51902"/>
    <w:rsid w:val="00B53CCD"/>
    <w:rsid w:val="00B53E17"/>
    <w:rsid w:val="00B74C15"/>
    <w:rsid w:val="00BA2B82"/>
    <w:rsid w:val="00BB6040"/>
    <w:rsid w:val="00BE2B62"/>
    <w:rsid w:val="00BF403D"/>
    <w:rsid w:val="00BF6A81"/>
    <w:rsid w:val="00C06846"/>
    <w:rsid w:val="00C118C9"/>
    <w:rsid w:val="00C2577E"/>
    <w:rsid w:val="00C2761F"/>
    <w:rsid w:val="00C34247"/>
    <w:rsid w:val="00C404D5"/>
    <w:rsid w:val="00C447A5"/>
    <w:rsid w:val="00C556C3"/>
    <w:rsid w:val="00C669F5"/>
    <w:rsid w:val="00C73D4A"/>
    <w:rsid w:val="00C9106D"/>
    <w:rsid w:val="00C93C92"/>
    <w:rsid w:val="00C94602"/>
    <w:rsid w:val="00C95664"/>
    <w:rsid w:val="00CA0EFC"/>
    <w:rsid w:val="00CB057C"/>
    <w:rsid w:val="00CB1CB0"/>
    <w:rsid w:val="00CC13F0"/>
    <w:rsid w:val="00CC5E63"/>
    <w:rsid w:val="00CD3092"/>
    <w:rsid w:val="00CF4D2B"/>
    <w:rsid w:val="00D72800"/>
    <w:rsid w:val="00D90A36"/>
    <w:rsid w:val="00DA7FD2"/>
    <w:rsid w:val="00DB61C0"/>
    <w:rsid w:val="00DB66CD"/>
    <w:rsid w:val="00DF2869"/>
    <w:rsid w:val="00DF4B6B"/>
    <w:rsid w:val="00E0458C"/>
    <w:rsid w:val="00E11728"/>
    <w:rsid w:val="00E17FB9"/>
    <w:rsid w:val="00E26800"/>
    <w:rsid w:val="00E27F35"/>
    <w:rsid w:val="00E37A1B"/>
    <w:rsid w:val="00E43474"/>
    <w:rsid w:val="00E4354B"/>
    <w:rsid w:val="00E54606"/>
    <w:rsid w:val="00E5745C"/>
    <w:rsid w:val="00E57805"/>
    <w:rsid w:val="00E75C21"/>
    <w:rsid w:val="00E76456"/>
    <w:rsid w:val="00E7751D"/>
    <w:rsid w:val="00E9188C"/>
    <w:rsid w:val="00E9628F"/>
    <w:rsid w:val="00EA10C1"/>
    <w:rsid w:val="00EA1316"/>
    <w:rsid w:val="00EA3252"/>
    <w:rsid w:val="00EB1E0A"/>
    <w:rsid w:val="00EC5461"/>
    <w:rsid w:val="00EC7692"/>
    <w:rsid w:val="00ED41CF"/>
    <w:rsid w:val="00EF0DC6"/>
    <w:rsid w:val="00EF198A"/>
    <w:rsid w:val="00F01639"/>
    <w:rsid w:val="00F06218"/>
    <w:rsid w:val="00F1225F"/>
    <w:rsid w:val="00F222E3"/>
    <w:rsid w:val="00F226B6"/>
    <w:rsid w:val="00F57B61"/>
    <w:rsid w:val="00F90AB4"/>
    <w:rsid w:val="00F937C4"/>
    <w:rsid w:val="00F95589"/>
    <w:rsid w:val="00FC7FC3"/>
    <w:rsid w:val="00FD1B2C"/>
    <w:rsid w:val="00FE3CDD"/>
    <w:rsid w:val="01A00C4B"/>
    <w:rsid w:val="04B0496F"/>
    <w:rsid w:val="050E66C0"/>
    <w:rsid w:val="05B66C8F"/>
    <w:rsid w:val="06E23AB3"/>
    <w:rsid w:val="07873723"/>
    <w:rsid w:val="07D95D21"/>
    <w:rsid w:val="07F27D26"/>
    <w:rsid w:val="086E55FF"/>
    <w:rsid w:val="08AF79C5"/>
    <w:rsid w:val="094D790A"/>
    <w:rsid w:val="0ABF17DD"/>
    <w:rsid w:val="0B036D83"/>
    <w:rsid w:val="0B73433A"/>
    <w:rsid w:val="0BFB1A2F"/>
    <w:rsid w:val="0C0B7609"/>
    <w:rsid w:val="0D064E5E"/>
    <w:rsid w:val="0D9F5624"/>
    <w:rsid w:val="0DAB10A3"/>
    <w:rsid w:val="0DB77A48"/>
    <w:rsid w:val="0EFD435B"/>
    <w:rsid w:val="108A31F2"/>
    <w:rsid w:val="10C61D50"/>
    <w:rsid w:val="11587097"/>
    <w:rsid w:val="120A5DA9"/>
    <w:rsid w:val="12901BA3"/>
    <w:rsid w:val="12A06CFD"/>
    <w:rsid w:val="12E069F1"/>
    <w:rsid w:val="13C31F2F"/>
    <w:rsid w:val="13CE1D1B"/>
    <w:rsid w:val="14524026"/>
    <w:rsid w:val="15520056"/>
    <w:rsid w:val="15EC2259"/>
    <w:rsid w:val="16866209"/>
    <w:rsid w:val="16E11692"/>
    <w:rsid w:val="16F07B27"/>
    <w:rsid w:val="171C091C"/>
    <w:rsid w:val="17FA36C0"/>
    <w:rsid w:val="182255F2"/>
    <w:rsid w:val="19622F5E"/>
    <w:rsid w:val="19995F54"/>
    <w:rsid w:val="1A753EF5"/>
    <w:rsid w:val="1B5E7755"/>
    <w:rsid w:val="1C6C7C4F"/>
    <w:rsid w:val="1CE75528"/>
    <w:rsid w:val="1DC67833"/>
    <w:rsid w:val="1DFD14A7"/>
    <w:rsid w:val="1FBC2C9C"/>
    <w:rsid w:val="203E07CD"/>
    <w:rsid w:val="21352D06"/>
    <w:rsid w:val="23126D34"/>
    <w:rsid w:val="241A2687"/>
    <w:rsid w:val="24253C3D"/>
    <w:rsid w:val="259049AF"/>
    <w:rsid w:val="25E44CFA"/>
    <w:rsid w:val="26A821CC"/>
    <w:rsid w:val="26E01966"/>
    <w:rsid w:val="27182EAE"/>
    <w:rsid w:val="289B1FE8"/>
    <w:rsid w:val="29634188"/>
    <w:rsid w:val="2A872C04"/>
    <w:rsid w:val="2AC05D36"/>
    <w:rsid w:val="2B141BDE"/>
    <w:rsid w:val="2B9B5E5B"/>
    <w:rsid w:val="2CBD0053"/>
    <w:rsid w:val="2D256324"/>
    <w:rsid w:val="2E76670C"/>
    <w:rsid w:val="2F2B74F6"/>
    <w:rsid w:val="303074BA"/>
    <w:rsid w:val="303845C1"/>
    <w:rsid w:val="3049057C"/>
    <w:rsid w:val="328D7F33"/>
    <w:rsid w:val="355C665B"/>
    <w:rsid w:val="36E7289C"/>
    <w:rsid w:val="3769305E"/>
    <w:rsid w:val="3AB24F6F"/>
    <w:rsid w:val="3BAA3A7D"/>
    <w:rsid w:val="3BFA2C9F"/>
    <w:rsid w:val="3C29300F"/>
    <w:rsid w:val="3E720C9E"/>
    <w:rsid w:val="3EB33917"/>
    <w:rsid w:val="3EB412B6"/>
    <w:rsid w:val="3EEB0A50"/>
    <w:rsid w:val="3F0044FB"/>
    <w:rsid w:val="3F1735F3"/>
    <w:rsid w:val="3F1F14AC"/>
    <w:rsid w:val="400F7F20"/>
    <w:rsid w:val="41432DC5"/>
    <w:rsid w:val="42116A20"/>
    <w:rsid w:val="425C5EED"/>
    <w:rsid w:val="433724B6"/>
    <w:rsid w:val="44054362"/>
    <w:rsid w:val="4440651E"/>
    <w:rsid w:val="453E7B2C"/>
    <w:rsid w:val="460A3EB2"/>
    <w:rsid w:val="46C71DA3"/>
    <w:rsid w:val="47834136"/>
    <w:rsid w:val="47B0504B"/>
    <w:rsid w:val="48D10CB7"/>
    <w:rsid w:val="4BA6642B"/>
    <w:rsid w:val="4E832A53"/>
    <w:rsid w:val="50B12FCF"/>
    <w:rsid w:val="51A0391C"/>
    <w:rsid w:val="52E37F64"/>
    <w:rsid w:val="548117E3"/>
    <w:rsid w:val="54A97900"/>
    <w:rsid w:val="54D51B2F"/>
    <w:rsid w:val="54E104D3"/>
    <w:rsid w:val="56660C90"/>
    <w:rsid w:val="566B704D"/>
    <w:rsid w:val="56F903A3"/>
    <w:rsid w:val="58354DBE"/>
    <w:rsid w:val="58A345CB"/>
    <w:rsid w:val="58C41043"/>
    <w:rsid w:val="5B74751A"/>
    <w:rsid w:val="5DE90C38"/>
    <w:rsid w:val="5E7E6D93"/>
    <w:rsid w:val="5EB05E66"/>
    <w:rsid w:val="5FFC08B7"/>
    <w:rsid w:val="609D79A4"/>
    <w:rsid w:val="60E66F95"/>
    <w:rsid w:val="60EF4C1A"/>
    <w:rsid w:val="61CB73F0"/>
    <w:rsid w:val="61E12E4A"/>
    <w:rsid w:val="64A07A63"/>
    <w:rsid w:val="64B945B0"/>
    <w:rsid w:val="652609B9"/>
    <w:rsid w:val="65BD63F3"/>
    <w:rsid w:val="65DA0D53"/>
    <w:rsid w:val="66274C9E"/>
    <w:rsid w:val="66732D9F"/>
    <w:rsid w:val="668016D1"/>
    <w:rsid w:val="66903B07"/>
    <w:rsid w:val="680D76C2"/>
    <w:rsid w:val="6897117D"/>
    <w:rsid w:val="695568C1"/>
    <w:rsid w:val="6B460C38"/>
    <w:rsid w:val="6D151E2E"/>
    <w:rsid w:val="6D9739CD"/>
    <w:rsid w:val="6E875380"/>
    <w:rsid w:val="6F152DFC"/>
    <w:rsid w:val="6F3C65DA"/>
    <w:rsid w:val="6F806E0F"/>
    <w:rsid w:val="6FD44A65"/>
    <w:rsid w:val="703B6CD7"/>
    <w:rsid w:val="70744886"/>
    <w:rsid w:val="70744899"/>
    <w:rsid w:val="71466E88"/>
    <w:rsid w:val="73BE4E07"/>
    <w:rsid w:val="74277859"/>
    <w:rsid w:val="751678CE"/>
    <w:rsid w:val="753D12FE"/>
    <w:rsid w:val="75495E5E"/>
    <w:rsid w:val="756C2C1F"/>
    <w:rsid w:val="758D193E"/>
    <w:rsid w:val="76085468"/>
    <w:rsid w:val="761E2EDE"/>
    <w:rsid w:val="767F53BF"/>
    <w:rsid w:val="770E6AAE"/>
    <w:rsid w:val="79A25548"/>
    <w:rsid w:val="79AE184D"/>
    <w:rsid w:val="7A546ECE"/>
    <w:rsid w:val="7ACB4CB6"/>
    <w:rsid w:val="7BE44282"/>
    <w:rsid w:val="7CA57EB5"/>
    <w:rsid w:val="7CF7298B"/>
    <w:rsid w:val="7D595DEB"/>
    <w:rsid w:val="7EB22415"/>
    <w:rsid w:val="7ED56104"/>
    <w:rsid w:val="7F1B0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3"/>
        <o:r id="V:Rule2" type="connector" idref="#直接箭头连接符 1"/>
        <o:r id="V:Rule3"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脚 Char"/>
    <w:basedOn w:val="9"/>
    <w:link w:val="5"/>
    <w:qFormat/>
    <w:uiPriority w:val="0"/>
    <w:rPr>
      <w:rFonts w:ascii="Calibri" w:hAnsi="Calibri" w:eastAsia="宋体" w:cs="Times New Roman"/>
      <w:sz w:val="18"/>
      <w:szCs w:val="18"/>
    </w:rPr>
  </w:style>
  <w:style w:type="character" w:customStyle="1" w:styleId="13">
    <w:name w:val="纯文本 Char"/>
    <w:basedOn w:val="9"/>
    <w:link w:val="3"/>
    <w:qFormat/>
    <w:uiPriority w:val="0"/>
    <w:rPr>
      <w:rFonts w:ascii="宋体" w:hAnsi="Courier New" w:eastAsia="宋体" w:cs="Courier New"/>
      <w:szCs w:val="21"/>
    </w:rPr>
  </w:style>
  <w:style w:type="character" w:customStyle="1" w:styleId="14">
    <w:name w:val="批注框文本 Char"/>
    <w:basedOn w:val="9"/>
    <w:link w:val="4"/>
    <w:semiHidden/>
    <w:qFormat/>
    <w:uiPriority w:val="99"/>
    <w:rPr>
      <w:sz w:val="18"/>
      <w:szCs w:val="18"/>
    </w:rPr>
  </w:style>
  <w:style w:type="paragraph" w:customStyle="1" w:styleId="15">
    <w:name w:val="默认段落字体 Para Char Char Char Char Char Char Char"/>
    <w:basedOn w:val="1"/>
    <w:qFormat/>
    <w:uiPriority w:val="0"/>
    <w:rPr>
      <w:rFonts w:ascii="Times New Roman" w:hAnsi="Times New Roman" w:eastAsia="宋体" w:cs="Times New Roman"/>
    </w:rPr>
  </w:style>
  <w:style w:type="paragraph" w:styleId="16">
    <w:name w:val="List Paragraph"/>
    <w:basedOn w:val="1"/>
    <w:qFormat/>
    <w:uiPriority w:val="34"/>
    <w:pPr>
      <w:ind w:firstLine="420" w:firstLineChars="200"/>
    </w:pPr>
  </w:style>
  <w:style w:type="character" w:customStyle="1" w:styleId="17">
    <w:name w:val="页眉 Char"/>
    <w:basedOn w:val="9"/>
    <w:link w:val="6"/>
    <w:semiHidden/>
    <w:qFormat/>
    <w:uiPriority w:val="99"/>
    <w:rPr>
      <w:sz w:val="18"/>
      <w:szCs w:val="18"/>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正文 New"/>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0">
    <w:name w:val="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14138</Words>
  <Characters>14818</Characters>
  <Lines>160</Lines>
  <Paragraphs>45</Paragraphs>
  <TotalTime>0</TotalTime>
  <ScaleCrop>false</ScaleCrop>
  <LinksUpToDate>false</LinksUpToDate>
  <CharactersWithSpaces>18178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2019-03-07T12:52:00Z</dcterms:created>
  <dc:creator>Windows 用户</dc:creator>
  <cp:lastModifiedBy>听潮</cp:lastModifiedBy>
  <cp:lastPrinted>2019-03-15T01:12:00Z</cp:lastPrinted>
  <dcterms:modified xsi:type="dcterms:W3CDTF">2025-05-14T09:05:21Z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81BB71B09E5D45BB932A324DBF3FEA34</vt:lpwstr>
  </property>
  <property fmtid="{D5CDD505-2E9C-101B-9397-08002B2CF9AE}" pid="4" name="KSOTemplateDocerSaveRecord">
    <vt:lpwstr>eyJoZGlkIjoiYjU3YWRkZmU5OTJhNGQyMDFmYzgxYmU0MjIxODYxNTUiLCJ1c2VySWQiOiIyNDE4NzAyOTkifQ==</vt:lpwstr>
  </property>
</Properties>
</file>