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FFF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昆明市生态环境局寻甸分局关于对《寻甸县大箐采石场扩建50万吨年建筑石料用灰岩项目环境影响报告表》的批复</w:t>
      </w:r>
    </w:p>
    <w:p w14:paraId="162B20A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2844AD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昆明凤合大箐采石场：</w:t>
      </w:r>
    </w:p>
    <w:p w14:paraId="4AB9BF8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你单位上报的委托云南晨铭环境科技有限公司编制的《寻甸县大箐采石场扩建50万吨年建筑石料用灰岩项目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》（以下简称《报告表》）收悉。根据《中华人民共和国环境影响评价法》第二十二条、《建设项目环境保护管理条例》第九条，经研究，批复如下：</w:t>
      </w:r>
    </w:p>
    <w:p w14:paraId="5C6B1B9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bookmarkStart w:id="0" w:name="OLE_LINK2"/>
      <w:r>
        <w:rPr>
          <w:rFonts w:hint="eastAsia" w:ascii="Times New Roman" w:hAnsi="Times New Roman" w:eastAsia="仿宋_GB2312" w:cs="Times New Roman"/>
          <w:color w:val="000000"/>
          <w:kern w:val="0"/>
          <w:sz w:val="32"/>
          <w:szCs w:val="32"/>
          <w:lang w:val="en-US" w:eastAsia="zh-CN" w:bidi="ar"/>
        </w:rPr>
        <w:t>项目建设地点位于云南省昆明市寻甸县凤合镇大箐村，</w:t>
      </w:r>
      <w:r>
        <w:rPr>
          <w:rFonts w:hint="default" w:ascii="Times New Roman" w:hAnsi="Times New Roman" w:eastAsia="仿宋_GB2312" w:cs="Times New Roman"/>
          <w:color w:val="000000"/>
          <w:kern w:val="0"/>
          <w:sz w:val="32"/>
          <w:szCs w:val="32"/>
          <w:lang w:val="en-US" w:eastAsia="zh-CN" w:bidi="ar"/>
        </w:rPr>
        <w:t>（项目中心位置地理坐标为：</w:t>
      </w:r>
      <w:r>
        <w:rPr>
          <w:rFonts w:hint="eastAsia" w:ascii="Times New Roman" w:hAnsi="Times New Roman" w:eastAsia="仿宋_GB2312" w:cs="Times New Roman"/>
          <w:color w:val="000000"/>
          <w:kern w:val="0"/>
          <w:sz w:val="32"/>
          <w:szCs w:val="32"/>
          <w:lang w:val="en-US" w:eastAsia="zh-CN" w:bidi="ar"/>
        </w:rPr>
        <w:t>东经103°01′15.787″，北纬25°49′33.139″</w:t>
      </w:r>
      <w:r>
        <w:rPr>
          <w:rFonts w:hint="default" w:ascii="Times New Roman" w:hAnsi="Times New Roman" w:eastAsia="仿宋_GB2312" w:cs="Times New Roman"/>
          <w:color w:val="000000"/>
          <w:kern w:val="0"/>
          <w:sz w:val="32"/>
          <w:szCs w:val="32"/>
          <w:lang w:val="en-US" w:eastAsia="zh-CN" w:bidi="ar"/>
        </w:rPr>
        <w:t>）。本次扩建矿区面积由原来的0.014km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扩大为0.0969km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，并将开采规模由10万吨/年扩至50万吨/年</w:t>
      </w:r>
      <w:r>
        <w:rPr>
          <w:rFonts w:hint="eastAsia" w:ascii="Times New Roman" w:hAnsi="Times New Roman" w:eastAsia="仿宋_GB2312" w:cs="Times New Roman"/>
          <w:color w:val="000000"/>
          <w:kern w:val="0"/>
          <w:sz w:val="32"/>
          <w:szCs w:val="32"/>
          <w:lang w:val="en-US" w:eastAsia="zh-CN" w:bidi="ar"/>
        </w:rPr>
        <w:t>，产品为公分石、公粒石、瓜子石、粗、细砂，同时</w:t>
      </w:r>
      <w:r>
        <w:rPr>
          <w:rFonts w:hint="default" w:ascii="Times New Roman" w:hAnsi="Times New Roman" w:eastAsia="仿宋_GB2312" w:cs="Times New Roman"/>
          <w:color w:val="000000"/>
          <w:kern w:val="0"/>
          <w:sz w:val="32"/>
          <w:szCs w:val="32"/>
          <w:lang w:val="en-US" w:eastAsia="zh-CN" w:bidi="ar"/>
        </w:rPr>
        <w:t>配套建设公辅工程和环保工</w:t>
      </w:r>
      <w:r>
        <w:rPr>
          <w:rFonts w:hint="eastAsia" w:ascii="Times New Roman" w:hAnsi="Times New Roman" w:eastAsia="仿宋_GB2312" w:cs="Times New Roman"/>
          <w:color w:val="000000"/>
          <w:kern w:val="0"/>
          <w:sz w:val="32"/>
          <w:szCs w:val="32"/>
          <w:lang w:val="en-US" w:eastAsia="zh-CN" w:bidi="ar"/>
        </w:rPr>
        <w:t>程</w:t>
      </w:r>
      <w:r>
        <w:rPr>
          <w:rFonts w:hint="default" w:ascii="Times New Roman" w:hAnsi="Times New Roman" w:eastAsia="仿宋_GB2312" w:cs="Times New Roman"/>
          <w:color w:val="000000"/>
          <w:kern w:val="0"/>
          <w:sz w:val="32"/>
          <w:szCs w:val="32"/>
          <w:lang w:val="en-US" w:eastAsia="zh-CN" w:bidi="ar"/>
        </w:rPr>
        <w:t>。建设单位原项目破碎生产线设计产能即为50万t/a，因此本次扩建项目仅扩大矿区开采面积，其余破碎生产线、环保设施等均依托原项目生产设备和环保设（措）施，对不满足现行环境管理要求的环保设（措）施提出整改要求</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sz w:val="32"/>
          <w:szCs w:val="32"/>
        </w:rPr>
        <w:t>开采方式为露天开采，服务年限</w:t>
      </w:r>
      <w:r>
        <w:rPr>
          <w:rFonts w:hint="eastAsia" w:ascii="Times New Roman" w:hAnsi="Times New Roman" w:eastAsia="仿宋_GB2312" w:cs="Times New Roman"/>
          <w:sz w:val="32"/>
          <w:szCs w:val="32"/>
          <w:lang w:val="en-US" w:eastAsia="zh-CN"/>
        </w:rPr>
        <w:t>9.3</w:t>
      </w:r>
      <w:r>
        <w:rPr>
          <w:rFonts w:hint="default" w:ascii="Times New Roman" w:hAnsi="Times New Roman" w:eastAsia="仿宋_GB2312" w:cs="Times New Roman"/>
          <w:sz w:val="32"/>
          <w:szCs w:val="32"/>
        </w:rPr>
        <w:t>年</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项目</w:t>
      </w:r>
      <w:r>
        <w:rPr>
          <w:rFonts w:hint="default" w:ascii="Times New Roman" w:hAnsi="Times New Roman" w:eastAsia="仿宋_GB2312" w:cs="Times New Roman"/>
          <w:color w:val="000000"/>
          <w:kern w:val="0"/>
          <w:sz w:val="32"/>
          <w:szCs w:val="32"/>
          <w:lang w:val="en-US" w:eastAsia="zh-CN" w:bidi="ar"/>
        </w:rPr>
        <w:t>总投资1836.04万元，</w:t>
      </w:r>
      <w:r>
        <w:rPr>
          <w:rFonts w:hint="eastAsia" w:ascii="Times New Roman" w:hAnsi="Times New Roman" w:eastAsia="仿宋_GB2312" w:cs="Times New Roman"/>
          <w:color w:val="000000"/>
          <w:kern w:val="0"/>
          <w:sz w:val="32"/>
          <w:szCs w:val="32"/>
          <w:lang w:val="en-US" w:eastAsia="zh-CN" w:bidi="ar"/>
        </w:rPr>
        <w:t>其中</w:t>
      </w:r>
      <w:r>
        <w:rPr>
          <w:rFonts w:hint="default" w:ascii="Times New Roman" w:hAnsi="Times New Roman" w:eastAsia="仿宋_GB2312" w:cs="Times New Roman"/>
          <w:color w:val="000000"/>
          <w:kern w:val="0"/>
          <w:sz w:val="32"/>
          <w:szCs w:val="32"/>
          <w:lang w:val="en-US" w:eastAsia="zh-CN" w:bidi="ar"/>
        </w:rPr>
        <w:t>环保投资170.5万元。</w:t>
      </w:r>
      <w:bookmarkEnd w:id="0"/>
    </w:p>
    <w:p w14:paraId="5F952AC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根据昆明市生态环境工程评估中心《关于对〈寻甸县大箐采石场扩建50万吨年建筑石料用灰岩项目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〉的技术评估意见》</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昆环评估意见 寻甸〔202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16</w:t>
      </w:r>
      <w:r>
        <w:rPr>
          <w:rFonts w:hint="default" w:ascii="Times New Roman" w:hAnsi="Times New Roman" w:eastAsia="仿宋_GB2312" w:cs="Times New Roman"/>
          <w:color w:val="000000"/>
          <w:kern w:val="0"/>
          <w:sz w:val="32"/>
          <w:szCs w:val="32"/>
          <w:lang w:val="en-US" w:eastAsia="zh-CN" w:bidi="ar"/>
        </w:rPr>
        <w:t>号</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，在全面落实环境影响报告表提出的各项生态保护和污染防治措施后，项目建设和运营的不良环境影响可以得到缓解和控制。同意项目按照《报告表》所述工程内容、规模、功能以及环保对策措施建设。</w:t>
      </w:r>
    </w:p>
    <w:p w14:paraId="5FC19C4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14:paraId="31AEF973">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sz w:val="32"/>
          <w:szCs w:val="32"/>
          <w:lang w:eastAsia="zh-CN"/>
        </w:rPr>
        <w:t>确保厂区已建污水处理设施正常运行。</w:t>
      </w:r>
    </w:p>
    <w:p w14:paraId="7363417D">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项目食堂废水经隔油池处理后与员工生活污水一起经化粪池处理后委托有资质的单位清运至污水处理厂处理。露天采场初期雨水经在矿区低洼处设置的1个容积为150m</w:t>
      </w:r>
      <w:r>
        <w:rPr>
          <w:rFonts w:hint="eastAsia" w:ascii="Times New Roman" w:hAnsi="Times New Roman" w:eastAsia="仿宋_GB2312" w:cs="Times New Roman"/>
          <w:sz w:val="32"/>
          <w:szCs w:val="32"/>
          <w:vertAlign w:val="superscript"/>
          <w:lang w:val="en-US" w:eastAsia="zh-CN"/>
        </w:rPr>
        <w:t>3</w:t>
      </w:r>
      <w:r>
        <w:rPr>
          <w:rFonts w:hint="eastAsia" w:ascii="Times New Roman" w:hAnsi="Times New Roman" w:eastAsia="仿宋_GB2312" w:cs="Times New Roman"/>
          <w:sz w:val="32"/>
          <w:szCs w:val="32"/>
          <w:lang w:val="en-US" w:eastAsia="zh-CN"/>
        </w:rPr>
        <w:t>的沉砂池沉淀处理后回用于洒水降尘和厂区绿化；工业场地内初期雨水和临时表土堆场淋滤水经收集至临时表土堆场沉砂池沉淀处理后回用于洒水降尘和厂区绿化。</w:t>
      </w:r>
    </w:p>
    <w:p w14:paraId="04DFA74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14:paraId="648070F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14:paraId="268F7BFB">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破碎、筛分产生的粉尘通过管道收集，经布袋除尘器处理达《大气污染物综合排放标准》（GB16297-1996）表2中二级排放限值，经1根15m高的排气筒排放。</w:t>
      </w:r>
    </w:p>
    <w:p w14:paraId="3F89F91E">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对破碎筛分、装卸工序及工业场地、运输道路、排土场等进行洒水抑尘，项目区产生的无组织粉尘达到GB16297-1996《大气污染物综合排放标准》表二无组织排放监控浓度限值</w:t>
      </w:r>
      <w:r>
        <w:rPr>
          <w:rFonts w:hint="eastAsia" w:ascii="Times New Roman" w:hAnsi="Times New Roman" w:eastAsia="仿宋_GB2312" w:cs="Times New Roman"/>
          <w:sz w:val="32"/>
          <w:szCs w:val="32"/>
          <w:lang w:eastAsia="zh-CN"/>
        </w:rPr>
        <w:t>。</w:t>
      </w:r>
    </w:p>
    <w:p w14:paraId="3D726595">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食堂油烟经油烟净化设施处理达《饮食业油烟排放标准（试行）》（GB18483-2001）最高允许排放浓度标准后，通过专用烟道排放。</w:t>
      </w:r>
    </w:p>
    <w:p w14:paraId="2F7C13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14:paraId="4FACED0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w:t>
      </w:r>
      <w:r>
        <w:rPr>
          <w:rFonts w:hint="eastAsia" w:ascii="Times New Roman" w:hAnsi="Times New Roman" w:eastAsia="仿宋_GB2312" w:cs="Times New Roman"/>
          <w:color w:val="000000"/>
          <w:kern w:val="0"/>
          <w:sz w:val="32"/>
          <w:szCs w:val="32"/>
          <w:lang w:val="en-US" w:eastAsia="zh-CN" w:bidi="ar"/>
        </w:rPr>
        <w:t>做</w:t>
      </w:r>
      <w:r>
        <w:rPr>
          <w:rFonts w:hint="default" w:ascii="Times New Roman" w:hAnsi="Times New Roman" w:eastAsia="仿宋_GB2312" w:cs="Times New Roman"/>
          <w:color w:val="000000"/>
          <w:kern w:val="0"/>
          <w:sz w:val="32"/>
          <w:szCs w:val="32"/>
          <w:lang w:val="en-US" w:eastAsia="zh-CN" w:bidi="ar"/>
        </w:rPr>
        <w:t>隔声降噪处理，加强运输车辆的管理。项目建成后东、南、西、北厂界噪声贡献值满足《工业企业厂界环境噪声排放标准》（GB12348-2008）2类标准</w:t>
      </w:r>
      <w:r>
        <w:rPr>
          <w:rFonts w:hint="eastAsia" w:ascii="Times New Roman" w:hAnsi="Times New Roman" w:eastAsia="仿宋_GB2312" w:cs="Times New Roman"/>
          <w:color w:val="000000"/>
          <w:kern w:val="0"/>
          <w:sz w:val="32"/>
          <w:szCs w:val="32"/>
          <w:lang w:val="en-US" w:eastAsia="zh-CN" w:bidi="ar"/>
        </w:rPr>
        <w:t>。</w:t>
      </w:r>
    </w:p>
    <w:p w14:paraId="3CA98FC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施工过程中应合理安排施工时间，严格控制各类施工机械产生的噪声，施工场界噪声应符合《建筑施工场界环境噪声排放标准》（GB12523-2011）要求。</w:t>
      </w:r>
    </w:p>
    <w:p w14:paraId="0166D7DA">
      <w:pPr>
        <w:keepNext w:val="0"/>
        <w:keepLines w:val="0"/>
        <w:pageBreakBefore w:val="0"/>
        <w:widowControl w:val="0"/>
        <w:numPr>
          <w:ilvl w:val="0"/>
          <w:numId w:val="1"/>
        </w:numPr>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按照《报告表》提出的固废处置措施加强固体废物综合利用和规范处置，防止产生二次污染。表土堆存于临时表土堆场，用于矿山绿化覆土；废石和布袋除尘器收尘灰</w:t>
      </w:r>
      <w:r>
        <w:rPr>
          <w:rFonts w:hint="eastAsia" w:ascii="Times New Roman" w:hAnsi="Times New Roman" w:eastAsia="仿宋_GB2312" w:cs="Times New Roman"/>
          <w:color w:val="000000"/>
          <w:kern w:val="0"/>
          <w:sz w:val="32"/>
          <w:szCs w:val="32"/>
          <w:lang w:val="en-US" w:eastAsia="zh-CN" w:bidi="ar"/>
        </w:rPr>
        <w:t>和</w:t>
      </w:r>
      <w:r>
        <w:rPr>
          <w:rFonts w:hint="default" w:ascii="Times New Roman" w:hAnsi="Times New Roman" w:eastAsia="仿宋_GB2312" w:cs="Times New Roman"/>
          <w:color w:val="000000"/>
          <w:kern w:val="0"/>
          <w:sz w:val="32"/>
          <w:szCs w:val="32"/>
          <w:lang w:val="en-US" w:eastAsia="zh-CN" w:bidi="ar"/>
        </w:rPr>
        <w:t>定期清理</w:t>
      </w:r>
      <w:r>
        <w:rPr>
          <w:rFonts w:hint="eastAsia" w:ascii="Times New Roman" w:hAnsi="Times New Roman" w:eastAsia="仿宋_GB2312" w:cs="Times New Roman"/>
          <w:color w:val="000000"/>
          <w:kern w:val="0"/>
          <w:sz w:val="32"/>
          <w:szCs w:val="32"/>
          <w:lang w:val="en-US" w:eastAsia="zh-CN" w:bidi="ar"/>
        </w:rPr>
        <w:t>的</w:t>
      </w:r>
      <w:r>
        <w:rPr>
          <w:rFonts w:hint="default" w:ascii="Times New Roman" w:hAnsi="Times New Roman" w:eastAsia="仿宋_GB2312" w:cs="Times New Roman"/>
          <w:color w:val="000000"/>
          <w:kern w:val="0"/>
          <w:sz w:val="32"/>
          <w:szCs w:val="32"/>
          <w:lang w:val="en-US" w:eastAsia="zh-CN" w:bidi="ar"/>
        </w:rPr>
        <w:t>沉砂池泥沙外售给昆明东山水泥生产有限公司用作生产原料；隔油池废油</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化粪池污泥收集后委托有资质单位进行清运处置</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废机油</w:t>
      </w:r>
      <w:r>
        <w:rPr>
          <w:rFonts w:hint="eastAsia" w:ascii="Times New Roman" w:hAnsi="Times New Roman" w:eastAsia="仿宋_GB2312" w:cs="Times New Roman"/>
          <w:color w:val="000000"/>
          <w:kern w:val="0"/>
          <w:sz w:val="32"/>
          <w:szCs w:val="32"/>
          <w:lang w:val="en-US" w:eastAsia="zh-CN" w:bidi="ar"/>
        </w:rPr>
        <w:t>等危险废物</w:t>
      </w:r>
      <w:r>
        <w:rPr>
          <w:rFonts w:hint="default" w:ascii="Times New Roman" w:hAnsi="Times New Roman" w:eastAsia="仿宋_GB2312" w:cs="Times New Roman"/>
          <w:sz w:val="32"/>
          <w:szCs w:val="32"/>
        </w:rPr>
        <w:t>按《危险废物贮存污染控制标准》（GB18597-20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妥善收集、暂存，</w:t>
      </w:r>
      <w:r>
        <w:rPr>
          <w:rFonts w:hint="eastAsia" w:ascii="Times New Roman" w:hAnsi="Times New Roman" w:eastAsia="仿宋_GB2312" w:cs="Times New Roman"/>
          <w:sz w:val="32"/>
          <w:szCs w:val="32"/>
          <w:lang w:eastAsia="zh-CN"/>
        </w:rPr>
        <w:t>规范设置危险废物暂存间，</w:t>
      </w:r>
      <w:r>
        <w:rPr>
          <w:rFonts w:hint="default" w:ascii="Times New Roman" w:hAnsi="Times New Roman" w:eastAsia="仿宋_GB2312" w:cs="Times New Roman"/>
          <w:sz w:val="32"/>
          <w:szCs w:val="32"/>
        </w:rPr>
        <w:t>并</w:t>
      </w:r>
      <w:r>
        <w:rPr>
          <w:rFonts w:hint="eastAsia" w:ascii="Times New Roman" w:hAnsi="Times New Roman" w:eastAsia="仿宋_GB2312" w:cs="Times New Roman"/>
          <w:sz w:val="32"/>
          <w:szCs w:val="32"/>
          <w:lang w:eastAsia="zh-CN"/>
        </w:rPr>
        <w:t>委托</w:t>
      </w:r>
      <w:r>
        <w:rPr>
          <w:rFonts w:hint="default" w:ascii="Times New Roman" w:hAnsi="Times New Roman" w:eastAsia="仿宋_GB2312" w:cs="Times New Roman"/>
          <w:sz w:val="32"/>
          <w:szCs w:val="32"/>
        </w:rPr>
        <w:t>有资质的单位</w:t>
      </w:r>
      <w:r>
        <w:rPr>
          <w:rFonts w:hint="eastAsia" w:ascii="Times New Roman" w:hAnsi="Times New Roman" w:eastAsia="仿宋_GB2312" w:cs="Times New Roman"/>
          <w:sz w:val="32"/>
          <w:szCs w:val="32"/>
          <w:lang w:eastAsia="zh-CN"/>
        </w:rPr>
        <w:t>清运</w:t>
      </w:r>
      <w:r>
        <w:rPr>
          <w:rFonts w:hint="default" w:ascii="Times New Roman" w:hAnsi="Times New Roman" w:eastAsia="仿宋_GB2312" w:cs="Times New Roman"/>
          <w:sz w:val="32"/>
          <w:szCs w:val="32"/>
        </w:rPr>
        <w:t>处置</w:t>
      </w:r>
      <w:r>
        <w:rPr>
          <w:rFonts w:hint="default" w:ascii="Times New Roman" w:hAnsi="Times New Roman" w:eastAsia="仿宋_GB2312" w:cs="Times New Roman"/>
          <w:color w:val="000000"/>
          <w:kern w:val="0"/>
          <w:sz w:val="32"/>
          <w:szCs w:val="32"/>
          <w:lang w:val="en-US" w:eastAsia="zh-CN" w:bidi="ar"/>
        </w:rPr>
        <w:t>；废弃的含油抹布、劳保用品收集后</w:t>
      </w:r>
      <w:r>
        <w:rPr>
          <w:rFonts w:hint="eastAsia" w:ascii="Times New Roman" w:hAnsi="Times New Roman" w:eastAsia="仿宋_GB2312" w:cs="Times New Roman"/>
          <w:color w:val="000000"/>
          <w:kern w:val="0"/>
          <w:sz w:val="32"/>
          <w:szCs w:val="32"/>
          <w:lang w:val="en-US" w:eastAsia="zh-CN" w:bidi="ar"/>
        </w:rPr>
        <w:t>同</w:t>
      </w:r>
      <w:r>
        <w:rPr>
          <w:rFonts w:hint="default" w:ascii="Times New Roman" w:hAnsi="Times New Roman" w:eastAsia="仿宋_GB2312" w:cs="Times New Roman"/>
          <w:color w:val="000000"/>
          <w:kern w:val="0"/>
          <w:sz w:val="32"/>
          <w:szCs w:val="32"/>
          <w:lang w:val="en-US" w:eastAsia="zh-CN" w:bidi="ar"/>
        </w:rPr>
        <w:t>生活垃圾集中收集后清运至大箐村生活垃圾集中收集点，由环卫部门统一清运处置</w:t>
      </w:r>
      <w:r>
        <w:rPr>
          <w:rFonts w:hint="eastAsia" w:ascii="Times New Roman" w:hAnsi="Times New Roman" w:eastAsia="仿宋_GB2312" w:cs="Times New Roman"/>
          <w:color w:val="000000"/>
          <w:kern w:val="0"/>
          <w:sz w:val="32"/>
          <w:szCs w:val="32"/>
          <w:lang w:val="en-US" w:eastAsia="zh-CN" w:bidi="ar"/>
        </w:rPr>
        <w:t>。</w:t>
      </w:r>
    </w:p>
    <w:p w14:paraId="2FEF1DD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lang w:val="en-US" w:eastAsia="zh-CN" w:bidi="ar"/>
        </w:rPr>
        <w:t>（五）</w:t>
      </w:r>
      <w:r>
        <w:rPr>
          <w:rFonts w:hint="default" w:ascii="Times New Roman" w:hAnsi="Times New Roman" w:eastAsia="仿宋_GB2312" w:cs="Times New Roman"/>
          <w:sz w:val="32"/>
          <w:szCs w:val="32"/>
        </w:rPr>
        <w:t>落实生态环境保护和恢复措施，防止水土流失和地质灾害发生。矿山服务期满后，应采取有效措施，做好生态恢复工作。</w:t>
      </w:r>
    </w:p>
    <w:p w14:paraId="38E026B1">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六）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14:paraId="61B1A49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000000"/>
          <w:kern w:val="0"/>
          <w:sz w:val="32"/>
          <w:szCs w:val="32"/>
          <w:lang w:val="en-US" w:eastAsia="zh-CN" w:bidi="ar"/>
        </w:rPr>
        <w:t>编制突发环境事件应急预案，并报昆明市生态环境局寻甸分局备案，加强应急演练，建立完善应急报告制度，落实应急物资和经费，最大限度减轻风险事故对周围环境的影响。</w:t>
      </w:r>
    </w:p>
    <w:p w14:paraId="4A679DE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w:t>
      </w:r>
      <w:r>
        <w:rPr>
          <w:rFonts w:hint="eastAsia" w:ascii="Times New Roman" w:hAnsi="Times New Roman" w:eastAsia="仿宋_GB2312" w:cs="Times New Roman"/>
          <w:color w:val="000000"/>
          <w:kern w:val="0"/>
          <w:sz w:val="32"/>
          <w:szCs w:val="32"/>
          <w:lang w:val="en-US" w:eastAsia="zh-CN" w:bidi="ar"/>
        </w:rPr>
        <w:t>按照经批准的环境影响评价文件认真梳理并确认各项环保措施落实后，</w:t>
      </w:r>
      <w:r>
        <w:rPr>
          <w:rFonts w:hint="default" w:ascii="Times New Roman" w:hAnsi="Times New Roman" w:eastAsia="仿宋_GB2312" w:cs="Times New Roman"/>
          <w:color w:val="000000"/>
          <w:kern w:val="0"/>
          <w:sz w:val="32"/>
          <w:szCs w:val="32"/>
          <w:lang w:val="en-US" w:eastAsia="zh-CN" w:bidi="ar"/>
        </w:rPr>
        <w:t>依法</w:t>
      </w:r>
      <w:r>
        <w:rPr>
          <w:rFonts w:hint="eastAsia" w:ascii="Times New Roman" w:hAnsi="Times New Roman" w:eastAsia="仿宋_GB2312" w:cs="Times New Roman"/>
          <w:color w:val="000000"/>
          <w:kern w:val="0"/>
          <w:sz w:val="32"/>
          <w:szCs w:val="32"/>
          <w:lang w:val="en-US" w:eastAsia="zh-CN" w:bidi="ar"/>
        </w:rPr>
        <w:t>重新申领</w:t>
      </w:r>
      <w:r>
        <w:rPr>
          <w:rFonts w:hint="default" w:ascii="Times New Roman" w:hAnsi="Times New Roman" w:eastAsia="仿宋_GB2312" w:cs="Times New Roman"/>
          <w:color w:val="000000"/>
          <w:kern w:val="0"/>
          <w:sz w:val="32"/>
          <w:szCs w:val="32"/>
          <w:lang w:val="en-US" w:eastAsia="zh-CN" w:bidi="ar"/>
        </w:rPr>
        <w:t>排污许可证，未取得排污许可证不得排放污染物。</w:t>
      </w:r>
    </w:p>
    <w:p w14:paraId="09634B5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14:paraId="29C352D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项目建成投入试运行后，按规定自主开展竣工环保验收，项目配套建设的环境保护设施经验收合格，方可投入生产</w:t>
      </w:r>
      <w:r>
        <w:rPr>
          <w:rFonts w:hint="eastAsia" w:ascii="Times New Roman" w:hAnsi="Times New Roman" w:eastAsia="仿宋_GB2312" w:cs="Times New Roman"/>
          <w:color w:val="000000"/>
          <w:kern w:val="0"/>
          <w:sz w:val="32"/>
          <w:szCs w:val="32"/>
          <w:lang w:val="en-US" w:eastAsia="zh-CN" w:bidi="ar"/>
        </w:rPr>
        <w:t>或</w:t>
      </w:r>
      <w:r>
        <w:rPr>
          <w:rFonts w:hint="default" w:ascii="Times New Roman" w:hAnsi="Times New Roman" w:eastAsia="仿宋_GB2312" w:cs="Times New Roman"/>
          <w:color w:val="000000"/>
          <w:kern w:val="0"/>
          <w:sz w:val="32"/>
          <w:szCs w:val="32"/>
          <w:lang w:val="en-US" w:eastAsia="zh-CN" w:bidi="ar"/>
        </w:rPr>
        <w:t xml:space="preserve">使用。 </w:t>
      </w:r>
    </w:p>
    <w:p w14:paraId="4EE642E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14:paraId="5E52765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自本批复之日起超过五年，方决定该项目开工建设的，环境影响评价文件应当报</w:t>
      </w:r>
      <w:r>
        <w:rPr>
          <w:rFonts w:hint="eastAsia" w:ascii="Times New Roman" w:hAnsi="Times New Roman" w:eastAsia="仿宋_GB2312" w:cs="Times New Roman"/>
          <w:color w:val="000000"/>
          <w:kern w:val="0"/>
          <w:sz w:val="32"/>
          <w:szCs w:val="32"/>
          <w:lang w:val="en-US" w:eastAsia="zh-CN" w:bidi="ar"/>
        </w:rPr>
        <w:t>昆明市生态环境局寻甸分局</w:t>
      </w:r>
      <w:r>
        <w:rPr>
          <w:rFonts w:hint="default" w:ascii="Times New Roman" w:hAnsi="Times New Roman" w:eastAsia="仿宋_GB2312" w:cs="Times New Roman"/>
          <w:color w:val="000000"/>
          <w:kern w:val="0"/>
          <w:sz w:val="32"/>
          <w:szCs w:val="32"/>
          <w:lang w:val="en-US" w:eastAsia="zh-CN" w:bidi="ar"/>
        </w:rPr>
        <w:t xml:space="preserve">重新审核。 </w:t>
      </w:r>
    </w:p>
    <w:p w14:paraId="3EAF755C">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14:paraId="62A3228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14:paraId="2A674319">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14:paraId="21AE274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4019A8C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59AB660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6B6B5107">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14:paraId="1B80009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14</w:t>
      </w:r>
      <w:bookmarkStart w:id="1" w:name="_GoBack"/>
      <w:bookmarkEnd w:id="1"/>
      <w:r>
        <w:rPr>
          <w:rFonts w:hint="default" w:ascii="Times New Roman" w:hAnsi="Times New Roman" w:eastAsia="仿宋_GB2312" w:cs="Times New Roman"/>
          <w:color w:val="000000"/>
          <w:kern w:val="0"/>
          <w:sz w:val="32"/>
          <w:szCs w:val="32"/>
          <w:lang w:val="en-US" w:eastAsia="zh-CN" w:bidi="ar"/>
        </w:rPr>
        <w:t>日</w:t>
      </w:r>
    </w:p>
    <w:p w14:paraId="2A0AFA2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A2A8CFB8-1A52-479B-9491-31D38B0D669D}"/>
  </w:font>
  <w:font w:name="仿宋_GB2312">
    <w:panose1 w:val="02010609030101010101"/>
    <w:charset w:val="86"/>
    <w:family w:val="auto"/>
    <w:pitch w:val="default"/>
    <w:sig w:usb0="00000001" w:usb1="080E0000" w:usb2="00000000" w:usb3="00000000" w:csb0="00040000" w:csb1="00000000"/>
    <w:embedRegular r:id="rId2" w:fontKey="{982290FB-C3CC-4238-B066-1AA2245ACAB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A5BE48B5"/>
    <w:multiLevelType w:val="singleLevel"/>
    <w:tmpl w:val="A5BE48B5"/>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 w:name="KSO_WPS_MARK_KEY" w:val="502a8391-6710-4046-b5c3-4193186e550e"/>
  </w:docVars>
  <w:rsids>
    <w:rsidRoot w:val="205A64FE"/>
    <w:rsid w:val="015E4AD6"/>
    <w:rsid w:val="04E43544"/>
    <w:rsid w:val="04F91383"/>
    <w:rsid w:val="05526700"/>
    <w:rsid w:val="07056611"/>
    <w:rsid w:val="074F1149"/>
    <w:rsid w:val="07B92A66"/>
    <w:rsid w:val="08234384"/>
    <w:rsid w:val="085E3063"/>
    <w:rsid w:val="08DA7138"/>
    <w:rsid w:val="0AF81AF7"/>
    <w:rsid w:val="0BCD4D32"/>
    <w:rsid w:val="0C7B6998"/>
    <w:rsid w:val="0D4C612B"/>
    <w:rsid w:val="0E9E29B6"/>
    <w:rsid w:val="0EF76509"/>
    <w:rsid w:val="0EF9276D"/>
    <w:rsid w:val="10872711"/>
    <w:rsid w:val="10C04DE6"/>
    <w:rsid w:val="11052878"/>
    <w:rsid w:val="114E7FBF"/>
    <w:rsid w:val="13063B49"/>
    <w:rsid w:val="14740441"/>
    <w:rsid w:val="1565422D"/>
    <w:rsid w:val="15FF01DE"/>
    <w:rsid w:val="16E01DBD"/>
    <w:rsid w:val="1C1B5646"/>
    <w:rsid w:val="1DA32750"/>
    <w:rsid w:val="1EF6141C"/>
    <w:rsid w:val="1F2B3DF2"/>
    <w:rsid w:val="1F444545"/>
    <w:rsid w:val="1F5302BA"/>
    <w:rsid w:val="205A64FE"/>
    <w:rsid w:val="20DA66DB"/>
    <w:rsid w:val="20E424AA"/>
    <w:rsid w:val="23201794"/>
    <w:rsid w:val="239A1546"/>
    <w:rsid w:val="23F23130"/>
    <w:rsid w:val="24B86128"/>
    <w:rsid w:val="28B7647D"/>
    <w:rsid w:val="2A727AC6"/>
    <w:rsid w:val="2AB949A8"/>
    <w:rsid w:val="2ADB7F84"/>
    <w:rsid w:val="2B091374"/>
    <w:rsid w:val="2C1A0883"/>
    <w:rsid w:val="2D60110A"/>
    <w:rsid w:val="2DAC1C89"/>
    <w:rsid w:val="2E8452CD"/>
    <w:rsid w:val="2F193C67"/>
    <w:rsid w:val="31DB72C2"/>
    <w:rsid w:val="34C42C27"/>
    <w:rsid w:val="34F8431E"/>
    <w:rsid w:val="374675C3"/>
    <w:rsid w:val="38795776"/>
    <w:rsid w:val="387C6C76"/>
    <w:rsid w:val="39A83B0F"/>
    <w:rsid w:val="3B3E47A6"/>
    <w:rsid w:val="3E5D22C8"/>
    <w:rsid w:val="3FA96CA4"/>
    <w:rsid w:val="3FD5481D"/>
    <w:rsid w:val="41AE7862"/>
    <w:rsid w:val="44D8697E"/>
    <w:rsid w:val="46383B74"/>
    <w:rsid w:val="48621714"/>
    <w:rsid w:val="491F7C74"/>
    <w:rsid w:val="49B20AE8"/>
    <w:rsid w:val="4AA448D5"/>
    <w:rsid w:val="4C003D8D"/>
    <w:rsid w:val="4DE64285"/>
    <w:rsid w:val="4E1224B1"/>
    <w:rsid w:val="4F376033"/>
    <w:rsid w:val="4F4860A0"/>
    <w:rsid w:val="500130CE"/>
    <w:rsid w:val="50F419E6"/>
    <w:rsid w:val="52C91149"/>
    <w:rsid w:val="5415323C"/>
    <w:rsid w:val="54E2330F"/>
    <w:rsid w:val="55E63D85"/>
    <w:rsid w:val="56E60023"/>
    <w:rsid w:val="57BB325E"/>
    <w:rsid w:val="5A87563E"/>
    <w:rsid w:val="5D5F6439"/>
    <w:rsid w:val="5F045C1D"/>
    <w:rsid w:val="5FB75E92"/>
    <w:rsid w:val="607641C6"/>
    <w:rsid w:val="61B54D3F"/>
    <w:rsid w:val="64326150"/>
    <w:rsid w:val="64850E7B"/>
    <w:rsid w:val="66100C18"/>
    <w:rsid w:val="66B52319"/>
    <w:rsid w:val="66EA1469"/>
    <w:rsid w:val="687A4A6F"/>
    <w:rsid w:val="69405E80"/>
    <w:rsid w:val="694F3806"/>
    <w:rsid w:val="69845BA5"/>
    <w:rsid w:val="69FF347E"/>
    <w:rsid w:val="6A184540"/>
    <w:rsid w:val="6B243229"/>
    <w:rsid w:val="6D7825A4"/>
    <w:rsid w:val="6E6052A1"/>
    <w:rsid w:val="6E8421A4"/>
    <w:rsid w:val="6F9F6C7F"/>
    <w:rsid w:val="6FD95334"/>
    <w:rsid w:val="71C31235"/>
    <w:rsid w:val="72AC2FFA"/>
    <w:rsid w:val="7541595C"/>
    <w:rsid w:val="75690305"/>
    <w:rsid w:val="75703482"/>
    <w:rsid w:val="77071BC4"/>
    <w:rsid w:val="778F4AD4"/>
    <w:rsid w:val="7AE42945"/>
    <w:rsid w:val="7CC115F7"/>
    <w:rsid w:val="7D205DB3"/>
    <w:rsid w:val="7D3F6EC8"/>
    <w:rsid w:val="7DF21E63"/>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2335</Words>
  <Characters>2476</Characters>
  <Lines>0</Lines>
  <Paragraphs>0</Paragraphs>
  <TotalTime>29</TotalTime>
  <ScaleCrop>false</ScaleCrop>
  <LinksUpToDate>false</LinksUpToDate>
  <CharactersWithSpaces>2481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Administrator</cp:lastModifiedBy>
  <dcterms:modified xsi:type="dcterms:W3CDTF">2025-05-20T08:29:11Z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8826B6D73EFB4F4E863A61D131734486_13</vt:lpwstr>
  </property>
  <property fmtid="{D5CDD505-2E9C-101B-9397-08002B2CF9AE}" pid="4" name="KSOTemplateDocerSaveRecord">
    <vt:lpwstr>eyJoZGlkIjoiOTc5MzZiOTVlYzA1Y2QxZjJhNzRkYjUxYWVhZGEwN2UifQ==</vt:lpwstr>
  </property>
</Properties>
</file>